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06849">
              <w:t>0872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95B95" w:rsidRPr="00D06849" w:rsidRDefault="00D06849" w:rsidP="00D06849">
      <w:pPr>
        <w:pStyle w:val="Heading2"/>
      </w:pPr>
      <w:r w:rsidRPr="00D06849">
        <w:t xml:space="preserve">Figures and details of reports and cases your force has dealt with year by year from 2019-2023 regarding vehicle hit-and-runs.  </w:t>
      </w:r>
      <w:r w:rsidR="002F208B">
        <w:br/>
      </w:r>
      <w:bookmarkStart w:id="0" w:name="_GoBack"/>
      <w:bookmarkEnd w:id="0"/>
      <w:r w:rsidRPr="00D06849">
        <w:t>Please state the year, the outcome of the report/case, and if the victim was seriously injured or died in the crash.</w:t>
      </w:r>
    </w:p>
    <w:p w:rsidR="00D06849" w:rsidRDefault="00D06849" w:rsidP="00793DD5">
      <w:pPr>
        <w:tabs>
          <w:tab w:val="left" w:pos="5400"/>
        </w:tabs>
      </w:pPr>
      <w:r>
        <w:t>In response to your request, the table below details recorded road traffic collisions (RTCs) w</w:t>
      </w:r>
      <w:r w:rsidRPr="00D06849">
        <w:t>here at least one vehicle invol</w:t>
      </w:r>
      <w:r>
        <w:t xml:space="preserve">ved is </w:t>
      </w:r>
      <w:r w:rsidR="002F208B">
        <w:t>recorded</w:t>
      </w:r>
      <w:r>
        <w:t xml:space="preserve"> as </w:t>
      </w:r>
      <w:r w:rsidR="006E11DE">
        <w:t>‘</w:t>
      </w:r>
      <w:r>
        <w:t>hit and run</w:t>
      </w:r>
      <w:r w:rsidR="006E11DE">
        <w:t>’</w:t>
      </w:r>
      <w:r>
        <w:t xml:space="preserve"> on the Police Scotland RTC </w:t>
      </w:r>
      <w:proofErr w:type="spellStart"/>
      <w:r>
        <w:t>CRaSH</w:t>
      </w:r>
      <w:proofErr w:type="spellEnd"/>
      <w:r>
        <w:t xml:space="preserve"> database.</w:t>
      </w:r>
    </w:p>
    <w:p w:rsidR="00D06849" w:rsidRDefault="00D06849" w:rsidP="00793DD5">
      <w:pPr>
        <w:tabs>
          <w:tab w:val="left" w:pos="5400"/>
        </w:tabs>
      </w:pPr>
      <w:r>
        <w:t>By ‘outcome’ it is assumed you are looking for any information as regards associated criminality.</w:t>
      </w:r>
    </w:p>
    <w:p w:rsidR="00D06849" w:rsidRPr="00453F0A" w:rsidRDefault="00D06849" w:rsidP="000F4F01">
      <w:r>
        <w:t xml:space="preserve">On that basis </w:t>
      </w:r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D06849" w:rsidRDefault="00D06849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D06849" w:rsidRDefault="00D06849" w:rsidP="000F4F01">
      <w:r>
        <w:t xml:space="preserve">To explain, any such information would be held in crime/ case recording systems as opposed to the RTC </w:t>
      </w:r>
      <w:proofErr w:type="spellStart"/>
      <w:r>
        <w:t>CRaSH</w:t>
      </w:r>
      <w:proofErr w:type="spellEnd"/>
      <w:r>
        <w:t xml:space="preserve"> database, meaning that all road traffic offence data would have to be cross referred with the RTCs listed below, to establish what recorded/ detected offences were connected to the collision.</w:t>
      </w:r>
    </w:p>
    <w:p w:rsidR="00D06849" w:rsidRDefault="00D06849" w:rsidP="000F4F01">
      <w:r>
        <w:t>Given the numbers involved, that is an exercise we estimate would far excess the £600 limit in terms of resources.</w:t>
      </w:r>
    </w:p>
    <w:p w:rsidR="00D06849" w:rsidRPr="00453F0A" w:rsidRDefault="00D06849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D06849" w:rsidRDefault="00D06849" w:rsidP="00793DD5">
      <w:pPr>
        <w:tabs>
          <w:tab w:val="left" w:pos="5400"/>
        </w:tabs>
      </w:pPr>
    </w:p>
    <w:p w:rsidR="00D06849" w:rsidRDefault="00D06849" w:rsidP="00793DD5">
      <w:pPr>
        <w:tabs>
          <w:tab w:val="left" w:pos="5400"/>
        </w:tabs>
      </w:pPr>
    </w:p>
    <w:tbl>
      <w:tblPr>
        <w:tblStyle w:val="TableGrid"/>
        <w:tblW w:w="9741" w:type="dxa"/>
        <w:tblLook w:val="04A0" w:firstRow="1" w:lastRow="0" w:firstColumn="1" w:lastColumn="0" w:noHBand="0" w:noVBand="1"/>
        <w:tblCaption w:val="RTC data"/>
        <w:tblDescription w:val="RTC data"/>
      </w:tblPr>
      <w:tblGrid>
        <w:gridCol w:w="2364"/>
        <w:gridCol w:w="1291"/>
        <w:gridCol w:w="1291"/>
        <w:gridCol w:w="1291"/>
        <w:gridCol w:w="1291"/>
        <w:gridCol w:w="2213"/>
      </w:tblGrid>
      <w:tr w:rsidR="00D06849" w:rsidRPr="00D06849" w:rsidTr="00D06849">
        <w:trPr>
          <w:cantSplit/>
          <w:trHeight w:val="20"/>
          <w:tblHeader/>
        </w:trPr>
        <w:tc>
          <w:tcPr>
            <w:tcW w:w="2364" w:type="dxa"/>
            <w:shd w:val="clear" w:color="auto" w:fill="D9D9D9" w:themeFill="background1" w:themeFillShade="D9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D06849">
              <w:rPr>
                <w:b/>
                <w:bCs/>
              </w:rPr>
              <w:lastRenderedPageBreak/>
              <w:t>Collision Severity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D06849">
              <w:rPr>
                <w:b/>
                <w:bCs/>
              </w:rPr>
              <w:t>2019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D06849">
              <w:rPr>
                <w:b/>
                <w:bCs/>
              </w:rPr>
              <w:t>2020</w:t>
            </w:r>
          </w:p>
        </w:tc>
        <w:tc>
          <w:tcPr>
            <w:tcW w:w="1291" w:type="dxa"/>
            <w:shd w:val="clear" w:color="auto" w:fill="D9D9D9" w:themeFill="background1" w:themeFillShade="D9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D06849">
              <w:rPr>
                <w:b/>
                <w:bCs/>
              </w:rPr>
              <w:t>2021</w:t>
            </w:r>
          </w:p>
        </w:tc>
        <w:tc>
          <w:tcPr>
            <w:tcW w:w="1291" w:type="dxa"/>
            <w:shd w:val="clear" w:color="auto" w:fill="D9D9D9" w:themeFill="background1" w:themeFillShade="D9"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D06849">
              <w:rPr>
                <w:b/>
                <w:bCs/>
              </w:rPr>
              <w:t>2022</w:t>
            </w:r>
          </w:p>
        </w:tc>
        <w:tc>
          <w:tcPr>
            <w:tcW w:w="2213" w:type="dxa"/>
            <w:shd w:val="clear" w:color="auto" w:fill="D9D9D9" w:themeFill="background1" w:themeFillShade="D9"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to 31 March</w:t>
            </w:r>
          </w:p>
        </w:tc>
      </w:tr>
      <w:tr w:rsidR="00D06849" w:rsidRPr="00D06849" w:rsidTr="00D06849">
        <w:trPr>
          <w:trHeight w:val="285"/>
        </w:trPr>
        <w:tc>
          <w:tcPr>
            <w:tcW w:w="2364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Fatal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4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3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6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3</w:t>
            </w:r>
          </w:p>
        </w:tc>
        <w:tc>
          <w:tcPr>
            <w:tcW w:w="2213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0</w:t>
            </w:r>
          </w:p>
        </w:tc>
      </w:tr>
      <w:tr w:rsidR="00D06849" w:rsidRPr="00D06849" w:rsidTr="00D06849">
        <w:trPr>
          <w:trHeight w:val="285"/>
        </w:trPr>
        <w:tc>
          <w:tcPr>
            <w:tcW w:w="2364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Serious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80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66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53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63</w:t>
            </w:r>
          </w:p>
        </w:tc>
        <w:tc>
          <w:tcPr>
            <w:tcW w:w="2213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13</w:t>
            </w:r>
          </w:p>
        </w:tc>
      </w:tr>
      <w:tr w:rsidR="00D06849" w:rsidRPr="00D06849" w:rsidTr="00D06849">
        <w:trPr>
          <w:trHeight w:val="285"/>
        </w:trPr>
        <w:tc>
          <w:tcPr>
            <w:tcW w:w="2364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Slight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246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177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170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139</w:t>
            </w:r>
          </w:p>
        </w:tc>
        <w:tc>
          <w:tcPr>
            <w:tcW w:w="2213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</w:pPr>
            <w:r w:rsidRPr="00D06849">
              <w:t>17</w:t>
            </w:r>
          </w:p>
        </w:tc>
      </w:tr>
      <w:tr w:rsidR="00D06849" w:rsidRPr="00D06849" w:rsidTr="00D06849">
        <w:trPr>
          <w:trHeight w:val="315"/>
        </w:trPr>
        <w:tc>
          <w:tcPr>
            <w:tcW w:w="2364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Total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330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246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229</w:t>
            </w:r>
          </w:p>
        </w:tc>
        <w:tc>
          <w:tcPr>
            <w:tcW w:w="1291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205</w:t>
            </w:r>
          </w:p>
        </w:tc>
        <w:tc>
          <w:tcPr>
            <w:tcW w:w="2213" w:type="dxa"/>
            <w:noWrap/>
            <w:hideMark/>
          </w:tcPr>
          <w:p w:rsidR="00D06849" w:rsidRPr="00D06849" w:rsidRDefault="00D06849" w:rsidP="00D06849">
            <w:pPr>
              <w:tabs>
                <w:tab w:val="left" w:pos="5400"/>
              </w:tabs>
              <w:rPr>
                <w:b/>
                <w:bCs/>
              </w:rPr>
            </w:pPr>
            <w:r w:rsidRPr="00D06849">
              <w:rPr>
                <w:b/>
                <w:bCs/>
              </w:rPr>
              <w:t>30</w:t>
            </w:r>
          </w:p>
        </w:tc>
      </w:tr>
    </w:tbl>
    <w:p w:rsidR="00D06849" w:rsidRPr="00D06849" w:rsidRDefault="00D06849" w:rsidP="00D06849">
      <w:pPr>
        <w:tabs>
          <w:tab w:val="left" w:pos="5400"/>
        </w:tabs>
        <w:rPr>
          <w:i/>
          <w:sz w:val="20"/>
        </w:rPr>
      </w:pPr>
      <w:r w:rsidRPr="00D06849">
        <w:rPr>
          <w:i/>
          <w:sz w:val="20"/>
        </w:rPr>
        <w:t xml:space="preserve">All statistics are provisional and should be treated as management information. </w:t>
      </w:r>
      <w:r>
        <w:rPr>
          <w:i/>
          <w:sz w:val="20"/>
        </w:rPr>
        <w:br/>
      </w:r>
      <w:r w:rsidRPr="00D06849">
        <w:rPr>
          <w:i/>
          <w:sz w:val="20"/>
        </w:rPr>
        <w:t>All data have been extracted from Police Scotland internal systems an</w:t>
      </w:r>
      <w:r>
        <w:rPr>
          <w:i/>
          <w:sz w:val="20"/>
        </w:rPr>
        <w:t>d are correct as at 11/04/2023.</w:t>
      </w:r>
      <w:r>
        <w:rPr>
          <w:i/>
          <w:sz w:val="20"/>
        </w:rPr>
        <w:br/>
      </w:r>
      <w:r w:rsidRPr="00D06849">
        <w:rPr>
          <w:i/>
          <w:sz w:val="20"/>
        </w:rPr>
        <w:t>Data excludes non-injury collisions as pe</w:t>
      </w:r>
      <w:r>
        <w:rPr>
          <w:i/>
          <w:sz w:val="20"/>
        </w:rPr>
        <w:t>r standard operating procedure.</w:t>
      </w:r>
      <w:r>
        <w:rPr>
          <w:i/>
          <w:sz w:val="20"/>
        </w:rPr>
        <w:br/>
      </w:r>
      <w:proofErr w:type="spellStart"/>
      <w:r w:rsidRPr="00D06849">
        <w:rPr>
          <w:i/>
          <w:sz w:val="20"/>
        </w:rPr>
        <w:t>CRaSH</w:t>
      </w:r>
      <w:proofErr w:type="spellEnd"/>
      <w:r w:rsidRPr="00D06849">
        <w:rPr>
          <w:i/>
          <w:sz w:val="20"/>
        </w:rPr>
        <w:t xml:space="preserve"> was implemented within D Division</w:t>
      </w:r>
      <w:r>
        <w:rPr>
          <w:i/>
          <w:sz w:val="20"/>
        </w:rPr>
        <w:t xml:space="preserve"> on</w:t>
      </w:r>
      <w:r w:rsidRPr="00D06849">
        <w:rPr>
          <w:i/>
          <w:sz w:val="20"/>
        </w:rPr>
        <w:t xml:space="preserve"> 12th June 2019</w:t>
      </w:r>
      <w:r>
        <w:rPr>
          <w:i/>
          <w:sz w:val="20"/>
        </w:rPr>
        <w:t xml:space="preserve"> and on </w:t>
      </w:r>
      <w:r w:rsidRPr="00D06849">
        <w:rPr>
          <w:i/>
          <w:sz w:val="20"/>
        </w:rPr>
        <w:t xml:space="preserve">3rd July 2019 across the other Police Divisions within Police Scotland. </w:t>
      </w:r>
      <w:proofErr w:type="spellStart"/>
      <w:r w:rsidRPr="00D06849">
        <w:rPr>
          <w:i/>
          <w:sz w:val="20"/>
        </w:rPr>
        <w:t>CRaSH</w:t>
      </w:r>
      <w:proofErr w:type="spellEnd"/>
      <w:r w:rsidRPr="00D06849">
        <w:rPr>
          <w:i/>
          <w:sz w:val="20"/>
        </w:rPr>
        <w:t xml:space="preserve"> replaced the existing procedures for rec</w:t>
      </w:r>
      <w:r>
        <w:rPr>
          <w:i/>
          <w:sz w:val="20"/>
        </w:rPr>
        <w:t>ording Road Traffic Collisions.</w:t>
      </w:r>
      <w:r>
        <w:rPr>
          <w:i/>
          <w:sz w:val="20"/>
        </w:rPr>
        <w:br/>
        <w:t>T</w:t>
      </w:r>
      <w:r w:rsidRPr="00D06849">
        <w:rPr>
          <w:i/>
          <w:sz w:val="20"/>
        </w:rPr>
        <w:t xml:space="preserve">he data is subject to change and will be updated on the next extract of data from </w:t>
      </w:r>
      <w:proofErr w:type="spellStart"/>
      <w:r w:rsidRPr="00D06849">
        <w:rPr>
          <w:i/>
          <w:sz w:val="20"/>
        </w:rPr>
        <w:t>CRaSH</w:t>
      </w:r>
      <w:proofErr w:type="spellEnd"/>
      <w:r w:rsidRPr="00D06849">
        <w:rPr>
          <w:i/>
          <w:sz w:val="20"/>
        </w:rPr>
        <w:t xml:space="preserve"> on 3rd May 2023.</w:t>
      </w:r>
      <w:r>
        <w:rPr>
          <w:i/>
          <w:sz w:val="20"/>
        </w:rPr>
        <w:br/>
      </w:r>
      <w:r w:rsidRPr="00D06849">
        <w:rPr>
          <w:i/>
          <w:sz w:val="20"/>
        </w:rPr>
        <w:t xml:space="preserve">Road Traffic Collisions have been identified between the specified time </w:t>
      </w:r>
      <w:proofErr w:type="gramStart"/>
      <w:r w:rsidRPr="00D06849">
        <w:rPr>
          <w:i/>
          <w:sz w:val="20"/>
        </w:rPr>
        <w:t>period</w:t>
      </w:r>
      <w:proofErr w:type="gramEnd"/>
      <w:r w:rsidRPr="00D06849">
        <w:rPr>
          <w:i/>
          <w:sz w:val="20"/>
        </w:rPr>
        <w:t xml:space="preserve"> for Police Scotland.  </w:t>
      </w:r>
      <w:r>
        <w:rPr>
          <w:i/>
          <w:sz w:val="20"/>
        </w:rPr>
        <w:br/>
      </w:r>
      <w:r w:rsidRPr="00D06849">
        <w:rPr>
          <w:i/>
          <w:sz w:val="20"/>
        </w:rPr>
        <w:t>Where at lea</w:t>
      </w:r>
      <w:r w:rsidRPr="00D06849">
        <w:rPr>
          <w:i/>
          <w:sz w:val="20"/>
        </w:rPr>
        <w:t xml:space="preserve">st one vehicle involved in the </w:t>
      </w:r>
      <w:r w:rsidRPr="00D06849">
        <w:rPr>
          <w:i/>
          <w:sz w:val="20"/>
        </w:rPr>
        <w:t xml:space="preserve">Road Traffic Collision has been identified as a "Hit and Run", the Road Traffic Collision has been selected and displayed within Table1. </w:t>
      </w:r>
      <w:r>
        <w:rPr>
          <w:i/>
          <w:sz w:val="20"/>
        </w:rPr>
        <w:br/>
      </w:r>
      <w:r w:rsidRPr="00D06849">
        <w:rPr>
          <w:i/>
          <w:sz w:val="20"/>
        </w:rPr>
        <w:t>Please note, this is a count of Road Traffi</w:t>
      </w:r>
      <w:r>
        <w:rPr>
          <w:i/>
          <w:sz w:val="20"/>
        </w:rPr>
        <w:t>c Collisions, and not vehicles.</w:t>
      </w:r>
      <w:r>
        <w:rPr>
          <w:i/>
          <w:sz w:val="20"/>
        </w:rPr>
        <w:br/>
      </w:r>
      <w:r w:rsidRPr="00D06849">
        <w:rPr>
          <w:i/>
          <w:sz w:val="20"/>
        </w:rPr>
        <w:t>Please note, each record would need to be read to confirm the full circumstances.</w:t>
      </w:r>
    </w:p>
    <w:p w:rsidR="00D06849" w:rsidRDefault="00D06849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D068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D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2F208B"/>
    <w:rsid w:val="00361D5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E11D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2342B"/>
    <w:rsid w:val="00C606A2"/>
    <w:rsid w:val="00C63872"/>
    <w:rsid w:val="00C84948"/>
    <w:rsid w:val="00CF1111"/>
    <w:rsid w:val="00D05706"/>
    <w:rsid w:val="00D06849"/>
    <w:rsid w:val="00D27DC5"/>
    <w:rsid w:val="00D47E36"/>
    <w:rsid w:val="00E55D79"/>
    <w:rsid w:val="00EF4761"/>
    <w:rsid w:val="00F95B9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F95B95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3">
    <w:name w:val="contentpasted3"/>
    <w:basedOn w:val="DefaultParagraphFont"/>
    <w:rsid w:val="00F9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598</Words>
  <Characters>3410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