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610ED" w14:textId="19620887" w:rsidR="00301716" w:rsidRDefault="00400D62" w:rsidP="00953564">
      <w:pPr>
        <w:pStyle w:val="Heading4"/>
      </w:pPr>
      <w:bookmarkStart w:id="0" w:name="_Toc157687357"/>
      <w:bookmarkStart w:id="1" w:name="_Toc157696601"/>
      <w:bookmarkStart w:id="2" w:name="_Toc140746121"/>
      <w:r w:rsidRPr="00400D62">
        <w:t xml:space="preserve">Police Scotland Quarter </w:t>
      </w:r>
      <w:r w:rsidR="00FF2F06">
        <w:t>2</w:t>
      </w:r>
      <w:r w:rsidRPr="00400D62">
        <w:t xml:space="preserve"> YTD Performance Report: April to </w:t>
      </w:r>
      <w:r w:rsidR="00FF2F06">
        <w:t>September</w:t>
      </w:r>
      <w:r w:rsidR="00DC1350">
        <w:t xml:space="preserve"> 2</w:t>
      </w:r>
      <w:bookmarkEnd w:id="0"/>
      <w:bookmarkEnd w:id="1"/>
      <w:r w:rsidR="00CB49B4">
        <w:t>024</w:t>
      </w:r>
    </w:p>
    <w:bookmarkEnd w:id="2" w:displacedByCustomXml="next"/>
    <w:bookmarkStart w:id="3" w:name="_Hlk150507707" w:displacedByCustomXml="next"/>
    <w:bookmarkStart w:id="4" w:name="_Toc77150407" w:displacedByCustomXml="next"/>
    <w:sdt>
      <w:sdtPr>
        <w:rPr>
          <w:rFonts w:ascii="Arial" w:eastAsiaTheme="minorHAnsi" w:hAnsi="Arial" w:cstheme="minorBidi"/>
          <w:color w:val="auto"/>
          <w:sz w:val="24"/>
          <w:szCs w:val="24"/>
          <w:lang w:val="en-GB"/>
        </w:rPr>
        <w:id w:val="351846396"/>
        <w:docPartObj>
          <w:docPartGallery w:val="Table of Contents"/>
          <w:docPartUnique/>
        </w:docPartObj>
      </w:sdtPr>
      <w:sdtEndPr>
        <w:rPr>
          <w:b/>
          <w:bCs/>
        </w:rPr>
      </w:sdtEndPr>
      <w:sdtContent>
        <w:p w14:paraId="3C0066A1" w14:textId="59220DE8" w:rsidR="00D50A08" w:rsidRDefault="00D50A08">
          <w:pPr>
            <w:pStyle w:val="TOCHeading"/>
          </w:pPr>
          <w:r>
            <w:rPr>
              <w:lang w:val="en-GB"/>
            </w:rPr>
            <w:t>Contents</w:t>
          </w:r>
        </w:p>
        <w:p w14:paraId="2AE39FF7" w14:textId="3D205D82" w:rsidR="00953702" w:rsidRDefault="00D50A08">
          <w:pPr>
            <w:pStyle w:val="TOC3"/>
            <w:rPr>
              <w:rFonts w:asciiTheme="minorHAnsi" w:eastAsiaTheme="minorEastAsia" w:hAnsiTheme="minorHAnsi"/>
              <w:noProof/>
              <w:kern w:val="2"/>
              <w:lang w:eastAsia="en-GB"/>
              <w14:ligatures w14:val="standardContextual"/>
            </w:rPr>
          </w:pPr>
          <w:r>
            <w:fldChar w:fldCharType="begin"/>
          </w:r>
          <w:r>
            <w:instrText xml:space="preserve"> TOC \o "1-3" \h \z \u </w:instrText>
          </w:r>
          <w:r>
            <w:fldChar w:fldCharType="separate"/>
          </w:r>
          <w:hyperlink w:anchor="_Toc182915887" w:history="1">
            <w:r w:rsidR="00953702" w:rsidRPr="001D005C">
              <w:rPr>
                <w:rStyle w:val="Hyperlink"/>
                <w:noProof/>
              </w:rPr>
              <w:t>Introduction by the Deputy Chief Constable</w:t>
            </w:r>
            <w:r w:rsidR="00953702">
              <w:rPr>
                <w:noProof/>
                <w:webHidden/>
              </w:rPr>
              <w:tab/>
            </w:r>
            <w:r w:rsidR="00953702">
              <w:rPr>
                <w:noProof/>
                <w:webHidden/>
              </w:rPr>
              <w:fldChar w:fldCharType="begin"/>
            </w:r>
            <w:r w:rsidR="00953702">
              <w:rPr>
                <w:noProof/>
                <w:webHidden/>
              </w:rPr>
              <w:instrText xml:space="preserve"> PAGEREF _Toc182915887 \h </w:instrText>
            </w:r>
            <w:r w:rsidR="00953702">
              <w:rPr>
                <w:noProof/>
                <w:webHidden/>
              </w:rPr>
            </w:r>
            <w:r w:rsidR="00953702">
              <w:rPr>
                <w:noProof/>
                <w:webHidden/>
              </w:rPr>
              <w:fldChar w:fldCharType="separate"/>
            </w:r>
            <w:r w:rsidR="00953702">
              <w:rPr>
                <w:noProof/>
                <w:webHidden/>
              </w:rPr>
              <w:t>2</w:t>
            </w:r>
            <w:r w:rsidR="00953702">
              <w:rPr>
                <w:noProof/>
                <w:webHidden/>
              </w:rPr>
              <w:fldChar w:fldCharType="end"/>
            </w:r>
          </w:hyperlink>
        </w:p>
        <w:p w14:paraId="797C8C09" w14:textId="1C6FCA31" w:rsidR="00953702" w:rsidRDefault="00CE327E">
          <w:pPr>
            <w:pStyle w:val="TOC3"/>
            <w:rPr>
              <w:rFonts w:asciiTheme="minorHAnsi" w:eastAsiaTheme="minorEastAsia" w:hAnsiTheme="minorHAnsi"/>
              <w:noProof/>
              <w:kern w:val="2"/>
              <w:lang w:eastAsia="en-GB"/>
              <w14:ligatures w14:val="standardContextual"/>
            </w:rPr>
          </w:pPr>
          <w:hyperlink w:anchor="_Toc182915888" w:history="1">
            <w:r w:rsidR="00953702" w:rsidRPr="001D005C">
              <w:rPr>
                <w:rStyle w:val="Hyperlink"/>
                <w:noProof/>
              </w:rPr>
              <w:t>Executive Summary</w:t>
            </w:r>
            <w:r w:rsidR="00953702">
              <w:rPr>
                <w:noProof/>
                <w:webHidden/>
              </w:rPr>
              <w:tab/>
            </w:r>
            <w:r w:rsidR="00953702">
              <w:rPr>
                <w:noProof/>
                <w:webHidden/>
              </w:rPr>
              <w:fldChar w:fldCharType="begin"/>
            </w:r>
            <w:r w:rsidR="00953702">
              <w:rPr>
                <w:noProof/>
                <w:webHidden/>
              </w:rPr>
              <w:instrText xml:space="preserve"> PAGEREF _Toc182915888 \h </w:instrText>
            </w:r>
            <w:r w:rsidR="00953702">
              <w:rPr>
                <w:noProof/>
                <w:webHidden/>
              </w:rPr>
            </w:r>
            <w:r w:rsidR="00953702">
              <w:rPr>
                <w:noProof/>
                <w:webHidden/>
              </w:rPr>
              <w:fldChar w:fldCharType="separate"/>
            </w:r>
            <w:r w:rsidR="00953702">
              <w:rPr>
                <w:noProof/>
                <w:webHidden/>
              </w:rPr>
              <w:t>3</w:t>
            </w:r>
            <w:r w:rsidR="00953702">
              <w:rPr>
                <w:noProof/>
                <w:webHidden/>
              </w:rPr>
              <w:fldChar w:fldCharType="end"/>
            </w:r>
          </w:hyperlink>
        </w:p>
        <w:p w14:paraId="3A153626" w14:textId="3F48D86A" w:rsidR="00953702" w:rsidRDefault="00CE327E">
          <w:pPr>
            <w:pStyle w:val="TOC3"/>
            <w:rPr>
              <w:rFonts w:asciiTheme="minorHAnsi" w:eastAsiaTheme="minorEastAsia" w:hAnsiTheme="minorHAnsi"/>
              <w:noProof/>
              <w:kern w:val="2"/>
              <w:lang w:eastAsia="en-GB"/>
              <w14:ligatures w14:val="standardContextual"/>
            </w:rPr>
          </w:pPr>
          <w:hyperlink w:anchor="_Toc182915889" w:history="1">
            <w:r w:rsidR="00953702" w:rsidRPr="001D005C">
              <w:rPr>
                <w:rStyle w:val="Hyperlink"/>
                <w:noProof/>
                <w:lang w:eastAsia="en-GB"/>
              </w:rPr>
              <w:t>Performance Focus: Crimes of Dishonesty - Shoplifting</w:t>
            </w:r>
            <w:r w:rsidR="00953702">
              <w:rPr>
                <w:noProof/>
                <w:webHidden/>
              </w:rPr>
              <w:tab/>
            </w:r>
            <w:r w:rsidR="00953702">
              <w:rPr>
                <w:noProof/>
                <w:webHidden/>
              </w:rPr>
              <w:fldChar w:fldCharType="begin"/>
            </w:r>
            <w:r w:rsidR="00953702">
              <w:rPr>
                <w:noProof/>
                <w:webHidden/>
              </w:rPr>
              <w:instrText xml:space="preserve"> PAGEREF _Toc182915889 \h </w:instrText>
            </w:r>
            <w:r w:rsidR="00953702">
              <w:rPr>
                <w:noProof/>
                <w:webHidden/>
              </w:rPr>
            </w:r>
            <w:r w:rsidR="00953702">
              <w:rPr>
                <w:noProof/>
                <w:webHidden/>
              </w:rPr>
              <w:fldChar w:fldCharType="separate"/>
            </w:r>
            <w:r w:rsidR="00953702">
              <w:rPr>
                <w:noProof/>
                <w:webHidden/>
              </w:rPr>
              <w:t>6</w:t>
            </w:r>
            <w:r w:rsidR="00953702">
              <w:rPr>
                <w:noProof/>
                <w:webHidden/>
              </w:rPr>
              <w:fldChar w:fldCharType="end"/>
            </w:r>
          </w:hyperlink>
        </w:p>
        <w:p w14:paraId="5ACB1377" w14:textId="685369B1" w:rsidR="00953702" w:rsidRDefault="00CE327E">
          <w:pPr>
            <w:pStyle w:val="TOC3"/>
            <w:rPr>
              <w:rFonts w:asciiTheme="minorHAnsi" w:eastAsiaTheme="minorEastAsia" w:hAnsiTheme="minorHAnsi"/>
              <w:noProof/>
              <w:kern w:val="2"/>
              <w:lang w:eastAsia="en-GB"/>
              <w14:ligatures w14:val="standardContextual"/>
            </w:rPr>
          </w:pPr>
          <w:hyperlink w:anchor="_Toc182915890" w:history="1">
            <w:r w:rsidR="00953702" w:rsidRPr="001D005C">
              <w:rPr>
                <w:rStyle w:val="Hyperlink"/>
                <w:noProof/>
              </w:rPr>
              <w:t>Key Insight: Increased User Experience Satisfaction Across All Regions</w:t>
            </w:r>
            <w:r w:rsidR="00953702">
              <w:rPr>
                <w:noProof/>
                <w:webHidden/>
              </w:rPr>
              <w:tab/>
            </w:r>
            <w:r w:rsidR="00953702">
              <w:rPr>
                <w:noProof/>
                <w:webHidden/>
              </w:rPr>
              <w:fldChar w:fldCharType="begin"/>
            </w:r>
            <w:r w:rsidR="00953702">
              <w:rPr>
                <w:noProof/>
                <w:webHidden/>
              </w:rPr>
              <w:instrText xml:space="preserve"> PAGEREF _Toc182915890 \h </w:instrText>
            </w:r>
            <w:r w:rsidR="00953702">
              <w:rPr>
                <w:noProof/>
                <w:webHidden/>
              </w:rPr>
            </w:r>
            <w:r w:rsidR="00953702">
              <w:rPr>
                <w:noProof/>
                <w:webHidden/>
              </w:rPr>
              <w:fldChar w:fldCharType="separate"/>
            </w:r>
            <w:r w:rsidR="00953702">
              <w:rPr>
                <w:noProof/>
                <w:webHidden/>
              </w:rPr>
              <w:t>9</w:t>
            </w:r>
            <w:r w:rsidR="00953702">
              <w:rPr>
                <w:noProof/>
                <w:webHidden/>
              </w:rPr>
              <w:fldChar w:fldCharType="end"/>
            </w:r>
          </w:hyperlink>
        </w:p>
        <w:p w14:paraId="3BB696E5" w14:textId="4922D2CB" w:rsidR="00953702" w:rsidRDefault="00CE327E">
          <w:pPr>
            <w:pStyle w:val="TOC3"/>
            <w:rPr>
              <w:rFonts w:asciiTheme="minorHAnsi" w:eastAsiaTheme="minorEastAsia" w:hAnsiTheme="minorHAnsi"/>
              <w:noProof/>
              <w:kern w:val="2"/>
              <w:lang w:eastAsia="en-GB"/>
              <w14:ligatures w14:val="standardContextual"/>
            </w:rPr>
          </w:pPr>
          <w:hyperlink w:anchor="_Toc182915891" w:history="1">
            <w:r w:rsidR="00953702" w:rsidRPr="001D005C">
              <w:rPr>
                <w:rStyle w:val="Hyperlink"/>
                <w:noProof/>
              </w:rPr>
              <w:t>Vision 2030: Less Crime</w:t>
            </w:r>
            <w:r w:rsidR="00953702">
              <w:rPr>
                <w:noProof/>
                <w:webHidden/>
              </w:rPr>
              <w:tab/>
            </w:r>
            <w:r w:rsidR="00953702">
              <w:rPr>
                <w:noProof/>
                <w:webHidden/>
              </w:rPr>
              <w:fldChar w:fldCharType="begin"/>
            </w:r>
            <w:r w:rsidR="00953702">
              <w:rPr>
                <w:noProof/>
                <w:webHidden/>
              </w:rPr>
              <w:instrText xml:space="preserve"> PAGEREF _Toc182915891 \h </w:instrText>
            </w:r>
            <w:r w:rsidR="00953702">
              <w:rPr>
                <w:noProof/>
                <w:webHidden/>
              </w:rPr>
            </w:r>
            <w:r w:rsidR="00953702">
              <w:rPr>
                <w:noProof/>
                <w:webHidden/>
              </w:rPr>
              <w:fldChar w:fldCharType="separate"/>
            </w:r>
            <w:r w:rsidR="00953702">
              <w:rPr>
                <w:noProof/>
                <w:webHidden/>
              </w:rPr>
              <w:t>11</w:t>
            </w:r>
            <w:r w:rsidR="00953702">
              <w:rPr>
                <w:noProof/>
                <w:webHidden/>
              </w:rPr>
              <w:fldChar w:fldCharType="end"/>
            </w:r>
          </w:hyperlink>
        </w:p>
        <w:p w14:paraId="66C7A0C9" w14:textId="2C2D5DCC" w:rsidR="00953702" w:rsidRDefault="00CE327E">
          <w:pPr>
            <w:pStyle w:val="TOC3"/>
            <w:rPr>
              <w:rFonts w:asciiTheme="minorHAnsi" w:eastAsiaTheme="minorEastAsia" w:hAnsiTheme="minorHAnsi"/>
              <w:noProof/>
              <w:kern w:val="2"/>
              <w:lang w:eastAsia="en-GB"/>
              <w14:ligatures w14:val="standardContextual"/>
            </w:rPr>
          </w:pPr>
          <w:hyperlink w:anchor="_Toc182915892" w:history="1">
            <w:r w:rsidR="00953702" w:rsidRPr="001D005C">
              <w:rPr>
                <w:rStyle w:val="Hyperlink"/>
                <w:noProof/>
              </w:rPr>
              <w:t>Vision 2030: Safer Communities</w:t>
            </w:r>
            <w:r w:rsidR="00953702">
              <w:rPr>
                <w:noProof/>
                <w:webHidden/>
              </w:rPr>
              <w:tab/>
            </w:r>
            <w:r w:rsidR="00953702">
              <w:rPr>
                <w:noProof/>
                <w:webHidden/>
              </w:rPr>
              <w:fldChar w:fldCharType="begin"/>
            </w:r>
            <w:r w:rsidR="00953702">
              <w:rPr>
                <w:noProof/>
                <w:webHidden/>
              </w:rPr>
              <w:instrText xml:space="preserve"> PAGEREF _Toc182915892 \h </w:instrText>
            </w:r>
            <w:r w:rsidR="00953702">
              <w:rPr>
                <w:noProof/>
                <w:webHidden/>
              </w:rPr>
            </w:r>
            <w:r w:rsidR="00953702">
              <w:rPr>
                <w:noProof/>
                <w:webHidden/>
              </w:rPr>
              <w:fldChar w:fldCharType="separate"/>
            </w:r>
            <w:r w:rsidR="00953702">
              <w:rPr>
                <w:noProof/>
                <w:webHidden/>
              </w:rPr>
              <w:t>25</w:t>
            </w:r>
            <w:r w:rsidR="00953702">
              <w:rPr>
                <w:noProof/>
                <w:webHidden/>
              </w:rPr>
              <w:fldChar w:fldCharType="end"/>
            </w:r>
          </w:hyperlink>
        </w:p>
        <w:p w14:paraId="137037CF" w14:textId="4430A867" w:rsidR="00953702" w:rsidRDefault="00CE327E">
          <w:pPr>
            <w:pStyle w:val="TOC3"/>
            <w:rPr>
              <w:rFonts w:asciiTheme="minorHAnsi" w:eastAsiaTheme="minorEastAsia" w:hAnsiTheme="minorHAnsi"/>
              <w:noProof/>
              <w:kern w:val="2"/>
              <w:lang w:eastAsia="en-GB"/>
              <w14:ligatures w14:val="standardContextual"/>
            </w:rPr>
          </w:pPr>
          <w:hyperlink w:anchor="_Toc182915893" w:history="1">
            <w:r w:rsidR="00953702" w:rsidRPr="001D005C">
              <w:rPr>
                <w:rStyle w:val="Hyperlink"/>
                <w:noProof/>
              </w:rPr>
              <w:t>Vision 2030: Supported Victims</w:t>
            </w:r>
            <w:r w:rsidR="00953702">
              <w:rPr>
                <w:noProof/>
                <w:webHidden/>
              </w:rPr>
              <w:tab/>
            </w:r>
            <w:r w:rsidR="00953702">
              <w:rPr>
                <w:noProof/>
                <w:webHidden/>
              </w:rPr>
              <w:fldChar w:fldCharType="begin"/>
            </w:r>
            <w:r w:rsidR="00953702">
              <w:rPr>
                <w:noProof/>
                <w:webHidden/>
              </w:rPr>
              <w:instrText xml:space="preserve"> PAGEREF _Toc182915893 \h </w:instrText>
            </w:r>
            <w:r w:rsidR="00953702">
              <w:rPr>
                <w:noProof/>
                <w:webHidden/>
              </w:rPr>
            </w:r>
            <w:r w:rsidR="00953702">
              <w:rPr>
                <w:noProof/>
                <w:webHidden/>
              </w:rPr>
              <w:fldChar w:fldCharType="separate"/>
            </w:r>
            <w:r w:rsidR="00953702">
              <w:rPr>
                <w:noProof/>
                <w:webHidden/>
              </w:rPr>
              <w:t>42</w:t>
            </w:r>
            <w:r w:rsidR="00953702">
              <w:rPr>
                <w:noProof/>
                <w:webHidden/>
              </w:rPr>
              <w:fldChar w:fldCharType="end"/>
            </w:r>
          </w:hyperlink>
        </w:p>
        <w:p w14:paraId="5319AC2E" w14:textId="7E919F51" w:rsidR="00953702" w:rsidRDefault="00CE327E">
          <w:pPr>
            <w:pStyle w:val="TOC3"/>
            <w:rPr>
              <w:rFonts w:asciiTheme="minorHAnsi" w:eastAsiaTheme="minorEastAsia" w:hAnsiTheme="minorHAnsi"/>
              <w:noProof/>
              <w:kern w:val="2"/>
              <w:lang w:eastAsia="en-GB"/>
              <w14:ligatures w14:val="standardContextual"/>
            </w:rPr>
          </w:pPr>
          <w:hyperlink w:anchor="_Toc182915894" w:history="1">
            <w:r w:rsidR="00953702" w:rsidRPr="001D005C">
              <w:rPr>
                <w:rStyle w:val="Hyperlink"/>
                <w:noProof/>
              </w:rPr>
              <w:t>Vision 2030: Thriving Workforce</w:t>
            </w:r>
            <w:r w:rsidR="00953702">
              <w:rPr>
                <w:noProof/>
                <w:webHidden/>
              </w:rPr>
              <w:tab/>
            </w:r>
            <w:r w:rsidR="00953702">
              <w:rPr>
                <w:noProof/>
                <w:webHidden/>
              </w:rPr>
              <w:fldChar w:fldCharType="begin"/>
            </w:r>
            <w:r w:rsidR="00953702">
              <w:rPr>
                <w:noProof/>
                <w:webHidden/>
              </w:rPr>
              <w:instrText xml:space="preserve"> PAGEREF _Toc182915894 \h </w:instrText>
            </w:r>
            <w:r w:rsidR="00953702">
              <w:rPr>
                <w:noProof/>
                <w:webHidden/>
              </w:rPr>
            </w:r>
            <w:r w:rsidR="00953702">
              <w:rPr>
                <w:noProof/>
                <w:webHidden/>
              </w:rPr>
              <w:fldChar w:fldCharType="separate"/>
            </w:r>
            <w:r w:rsidR="00953702">
              <w:rPr>
                <w:noProof/>
                <w:webHidden/>
              </w:rPr>
              <w:t>46</w:t>
            </w:r>
            <w:r w:rsidR="00953702">
              <w:rPr>
                <w:noProof/>
                <w:webHidden/>
              </w:rPr>
              <w:fldChar w:fldCharType="end"/>
            </w:r>
          </w:hyperlink>
        </w:p>
        <w:p w14:paraId="766DF4C5" w14:textId="1AEF5274" w:rsidR="00D50A08" w:rsidRDefault="00D50A08">
          <w:r>
            <w:rPr>
              <w:b/>
              <w:bCs/>
            </w:rPr>
            <w:fldChar w:fldCharType="end"/>
          </w:r>
        </w:p>
      </w:sdtContent>
    </w:sdt>
    <w:p w14:paraId="012A732A" w14:textId="77777777" w:rsidR="00FA36C6" w:rsidRDefault="00FA36C6" w:rsidP="00FA36C6">
      <w:pPr>
        <w:spacing w:before="240" w:after="0"/>
      </w:pPr>
    </w:p>
    <w:p w14:paraId="5490C236" w14:textId="77777777" w:rsidR="00FA36C6" w:rsidRDefault="00FA36C6" w:rsidP="00FA36C6">
      <w:pPr>
        <w:spacing w:before="240" w:after="0"/>
      </w:pPr>
    </w:p>
    <w:p w14:paraId="5077750C" w14:textId="77777777" w:rsidR="00FA36C6" w:rsidRDefault="00FA36C6" w:rsidP="00FA36C6">
      <w:pPr>
        <w:spacing w:before="240" w:after="0"/>
      </w:pPr>
    </w:p>
    <w:p w14:paraId="11D23417" w14:textId="77777777" w:rsidR="00FA36C6" w:rsidRDefault="00FA36C6" w:rsidP="00FA36C6">
      <w:pPr>
        <w:spacing w:before="240" w:after="0"/>
      </w:pPr>
    </w:p>
    <w:p w14:paraId="48250AF4" w14:textId="77777777" w:rsidR="00FA36C6" w:rsidRDefault="00FA36C6" w:rsidP="00FA36C6">
      <w:pPr>
        <w:spacing w:before="240" w:after="0"/>
      </w:pPr>
    </w:p>
    <w:p w14:paraId="0D34EFAB" w14:textId="77777777" w:rsidR="00BD21DF" w:rsidRDefault="00BD21DF" w:rsidP="00FA36C6">
      <w:pPr>
        <w:spacing w:before="240" w:after="0"/>
      </w:pPr>
    </w:p>
    <w:p w14:paraId="48C24BAD" w14:textId="77777777" w:rsidR="00BD21DF" w:rsidRDefault="00BD21DF" w:rsidP="00FA36C6">
      <w:pPr>
        <w:spacing w:before="240" w:after="0"/>
      </w:pPr>
    </w:p>
    <w:p w14:paraId="405944F0" w14:textId="77777777" w:rsidR="00BD21DF" w:rsidRDefault="00BD21DF" w:rsidP="00FA36C6">
      <w:pPr>
        <w:spacing w:before="240" w:after="0"/>
      </w:pPr>
    </w:p>
    <w:p w14:paraId="63A73463" w14:textId="77777777" w:rsidR="00BD21DF" w:rsidRDefault="00BD21DF" w:rsidP="00FA36C6">
      <w:pPr>
        <w:spacing w:before="240" w:after="0"/>
      </w:pPr>
    </w:p>
    <w:p w14:paraId="5022201C" w14:textId="5676D505" w:rsidR="00FA36C6" w:rsidRDefault="00FA36C6" w:rsidP="00FA36C6">
      <w:pPr>
        <w:spacing w:before="240" w:after="0"/>
      </w:pPr>
      <w:r>
        <w:t>This is the 202</w:t>
      </w:r>
      <w:r w:rsidR="00191E5F">
        <w:t>4</w:t>
      </w:r>
      <w:r>
        <w:t>/2</w:t>
      </w:r>
      <w:r w:rsidR="00191E5F">
        <w:t>5</w:t>
      </w:r>
      <w:r>
        <w:t xml:space="preserve"> Q</w:t>
      </w:r>
      <w:r w:rsidR="009B41AA">
        <w:t xml:space="preserve">uarter </w:t>
      </w:r>
      <w:r w:rsidR="00FF2F06">
        <w:t>2</w:t>
      </w:r>
      <w:r>
        <w:t xml:space="preserve"> performance report covering the period 01 April to 3</w:t>
      </w:r>
      <w:r w:rsidR="00191E5F">
        <w:t xml:space="preserve">0 </w:t>
      </w:r>
      <w:r w:rsidR="00FF2F06">
        <w:t>September</w:t>
      </w:r>
      <w:r>
        <w:t xml:space="preserve"> 2024. All data is correct at the published date and was extracted at the start of </w:t>
      </w:r>
      <w:r w:rsidR="00FF2F06">
        <w:t>October</w:t>
      </w:r>
      <w:r>
        <w:t xml:space="preserve"> 2024. The data is extracted from Police Scotland internal systems which are dynamic and continuously updated as investigations progress.</w:t>
      </w:r>
    </w:p>
    <w:p w14:paraId="4836BA79" w14:textId="37AF7163" w:rsidR="00FA36C6" w:rsidRDefault="00FA36C6" w:rsidP="00FA36C6">
      <w:pPr>
        <w:spacing w:before="240" w:after="0"/>
      </w:pPr>
      <w:r>
        <w:t xml:space="preserve">This report contains the most up to date recorded crime data that was available at the start of </w:t>
      </w:r>
      <w:r w:rsidR="00FF2F06">
        <w:t>October</w:t>
      </w:r>
      <w:r>
        <w:t xml:space="preserve"> 2024 for Quarter </w:t>
      </w:r>
      <w:r w:rsidR="00FF2F06">
        <w:t>2</w:t>
      </w:r>
      <w:r>
        <w:t xml:space="preserve"> of the reporting year 202</w:t>
      </w:r>
      <w:r w:rsidR="00191E5F">
        <w:t>4</w:t>
      </w:r>
      <w:r>
        <w:t>/2</w:t>
      </w:r>
      <w:r w:rsidR="00191E5F">
        <w:t>5</w:t>
      </w:r>
      <w:r>
        <w:t xml:space="preserve">. Further detailed Police Scotland Management Information can be found here: </w:t>
      </w:r>
      <w:hyperlink r:id="rId12" w:history="1">
        <w:r w:rsidRPr="008F779B">
          <w:rPr>
            <w:rStyle w:val="Hyperlink"/>
          </w:rPr>
          <w:t>https://www.scotland.police.uk/about-us/what-we-do/how-we-are-performing/</w:t>
        </w:r>
      </w:hyperlink>
    </w:p>
    <w:p w14:paraId="6D79E26C" w14:textId="5A23CC69" w:rsidR="009C3E2A" w:rsidRDefault="009C3E2A" w:rsidP="008F779B">
      <w:pPr>
        <w:spacing w:before="240" w:after="0"/>
        <w:rPr>
          <w:rFonts w:eastAsiaTheme="majorEastAsia" w:cstheme="majorBidi"/>
          <w:b/>
          <w:color w:val="000000" w:themeColor="text1"/>
          <w:sz w:val="32"/>
          <w:szCs w:val="26"/>
        </w:rPr>
      </w:pPr>
      <w:r>
        <w:br w:type="page"/>
      </w:r>
    </w:p>
    <w:p w14:paraId="79CEEC3D" w14:textId="33D5504E" w:rsidR="00004A36" w:rsidRDefault="00D12BB1" w:rsidP="00B453C4">
      <w:pPr>
        <w:pStyle w:val="Heading3"/>
      </w:pPr>
      <w:bookmarkStart w:id="5" w:name="_Toc140746122"/>
      <w:bookmarkStart w:id="6" w:name="_Toc140750236"/>
      <w:bookmarkStart w:id="7" w:name="_Toc142045253"/>
      <w:bookmarkStart w:id="8" w:name="_Toc157687358"/>
      <w:bookmarkStart w:id="9" w:name="_Toc157696602"/>
      <w:bookmarkStart w:id="10" w:name="_Toc182915887"/>
      <w:bookmarkEnd w:id="3"/>
      <w:r w:rsidRPr="00D12BB1">
        <w:lastRenderedPageBreak/>
        <w:t>Introduction by the Deputy Chief Constable</w:t>
      </w:r>
      <w:bookmarkEnd w:id="5"/>
      <w:bookmarkEnd w:id="6"/>
      <w:bookmarkEnd w:id="7"/>
      <w:bookmarkEnd w:id="8"/>
      <w:bookmarkEnd w:id="9"/>
      <w:bookmarkEnd w:id="10"/>
      <w:bookmarkEnd w:id="4"/>
    </w:p>
    <w:p w14:paraId="4E364529" w14:textId="77777777" w:rsidR="00953702" w:rsidRDefault="00953702" w:rsidP="00953702">
      <w:r>
        <w:t>Our regular performance reports provide valuable insight into the increasingly complex nature of policing.</w:t>
      </w:r>
    </w:p>
    <w:p w14:paraId="130818BA" w14:textId="77777777" w:rsidR="00953702" w:rsidRDefault="00953702" w:rsidP="00953702">
      <w:r>
        <w:t>Policing is required to respond to community need and vulnerability as illustrated in the 2024/25 Quarter 2 Performance Report, which also details the scope of work our dedicated officers and staff deal with and how it supports our strategic outcomes.</w:t>
      </w:r>
    </w:p>
    <w:p w14:paraId="38A96173" w14:textId="77777777" w:rsidR="00953702" w:rsidRDefault="00953702" w:rsidP="00953702">
      <w:r>
        <w:t>A reduction in the number of murders, attempted murder and serious assaults, compared to last year, has contributed to an overall decrease in serious violent crime. Outstanding investigations by divisional, national and specialist teams has seen every homicide committed in the first two quarters of 2024/2025 solved.</w:t>
      </w:r>
    </w:p>
    <w:p w14:paraId="550C565D" w14:textId="77777777" w:rsidR="00953702" w:rsidRDefault="00953702" w:rsidP="00953702">
      <w:r>
        <w:t>The report highlights that, with levels now higher than seen pre-pandemic, shoplifting is the main contributor to the increase in crimes of dishonesty. This can be attributed to societal factors, including the cost of living and organised criminality, and officers continue to work in partnership to co-ordinate action and tackle the issue.</w:t>
      </w:r>
    </w:p>
    <w:p w14:paraId="555A029A" w14:textId="77777777" w:rsidR="00953702" w:rsidRDefault="00953702" w:rsidP="00953702">
      <w:r>
        <w:t xml:space="preserve">Our Policing in a Digital World programme is transforming how we are continuing to respond to the threat from cybercrime. Most recently, we announced our support for Police </w:t>
      </w:r>
      <w:proofErr w:type="spellStart"/>
      <w:r>
        <w:t>CyberAlarm</w:t>
      </w:r>
      <w:proofErr w:type="spellEnd"/>
      <w:r>
        <w:t xml:space="preserve"> – which helps businesses understand and monitor malicious cyber activity.</w:t>
      </w:r>
    </w:p>
    <w:p w14:paraId="09B4C491" w14:textId="0F20EA35" w:rsidR="00E43B8E" w:rsidRDefault="00953702" w:rsidP="00953702">
      <w:r>
        <w:t>The report also details ongoing action by officers to disrupt the activities of serious organised crime groups. Pro-active, intelligence-led operations have resulted in millions of pounds of illegal drugs being seized and dozens of people being arrested. Work by our officers has also seen over £30 million being considered for forfeiture and confiscation under Proceeds of Crime legislation.</w:t>
      </w:r>
    </w:p>
    <w:p w14:paraId="68FAEE70" w14:textId="77777777" w:rsidR="00B65AB2" w:rsidRDefault="00B65AB2" w:rsidP="00564A02"/>
    <w:p w14:paraId="388B72FD" w14:textId="2B4B17E6" w:rsidR="00FF2F06" w:rsidRDefault="00B65AB2" w:rsidP="00FF2F06">
      <w:r w:rsidRPr="00E43B8E">
        <w:rPr>
          <w:noProof/>
          <w:lang w:eastAsia="en-GB"/>
        </w:rPr>
        <w:drawing>
          <wp:inline distT="0" distB="0" distL="0" distR="0" wp14:anchorId="7AE0A9B1" wp14:editId="17DAF506">
            <wp:extent cx="615982" cy="234962"/>
            <wp:effectExtent l="0" t="0" r="0" b="0"/>
            <wp:docPr id="416460816" name="Picture 416460816" descr="DCC Speirs Signature" title="DC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60816" name="Picture 1" descr="DCC Speirs Signature"/>
                    <pic:cNvPicPr/>
                  </pic:nvPicPr>
                  <pic:blipFill>
                    <a:blip r:embed="rId13"/>
                    <a:stretch>
                      <a:fillRect/>
                    </a:stretch>
                  </pic:blipFill>
                  <pic:spPr>
                    <a:xfrm>
                      <a:off x="0" y="0"/>
                      <a:ext cx="615982" cy="234962"/>
                    </a:xfrm>
                    <a:prstGeom prst="rect">
                      <a:avLst/>
                    </a:prstGeom>
                  </pic:spPr>
                </pic:pic>
              </a:graphicData>
            </a:graphic>
          </wp:inline>
        </w:drawing>
      </w:r>
    </w:p>
    <w:p w14:paraId="41BC6F1F" w14:textId="77777777" w:rsidR="00B65AB2" w:rsidRDefault="00B65AB2" w:rsidP="00FF2F06">
      <w:r>
        <w:t>DCC Alan Speirs</w:t>
      </w:r>
    </w:p>
    <w:p w14:paraId="655DCE8D" w14:textId="77777777" w:rsidR="00BD21DF" w:rsidRDefault="00B65AB2" w:rsidP="00FF2F06">
      <w:r>
        <w:t>Deputy Chief Constable Professionalism, Strategy and Engagement</w:t>
      </w:r>
    </w:p>
    <w:p w14:paraId="298D6568" w14:textId="2EED6C3B" w:rsidR="000C3C84" w:rsidRDefault="000C3C84" w:rsidP="00FF2F06">
      <w:r>
        <w:br w:type="page"/>
      </w:r>
    </w:p>
    <w:p w14:paraId="7FB26431" w14:textId="1FEDDBA2" w:rsidR="00723CC8" w:rsidRDefault="00D12BB1" w:rsidP="00B453C4">
      <w:pPr>
        <w:pStyle w:val="Heading3"/>
      </w:pPr>
      <w:bookmarkStart w:id="11" w:name="_Toc140746123"/>
      <w:bookmarkStart w:id="12" w:name="_Toc140750237"/>
      <w:bookmarkStart w:id="13" w:name="_Toc142045254"/>
      <w:bookmarkStart w:id="14" w:name="_Toc157687359"/>
      <w:bookmarkStart w:id="15" w:name="_Toc157696603"/>
      <w:bookmarkStart w:id="16" w:name="_Toc182915888"/>
      <w:r w:rsidRPr="00D12BB1">
        <w:lastRenderedPageBreak/>
        <w:t>Executive Summary</w:t>
      </w:r>
      <w:bookmarkEnd w:id="11"/>
      <w:bookmarkEnd w:id="12"/>
      <w:bookmarkEnd w:id="13"/>
      <w:bookmarkEnd w:id="14"/>
      <w:bookmarkEnd w:id="15"/>
      <w:bookmarkEnd w:id="16"/>
    </w:p>
    <w:p w14:paraId="6EE36D66" w14:textId="77777777" w:rsidR="00D12BB1" w:rsidRDefault="00D12BB1" w:rsidP="00953564">
      <w:pPr>
        <w:pStyle w:val="Heading4"/>
      </w:pPr>
      <w:r w:rsidRPr="007B42BA">
        <w:t>Introduction</w:t>
      </w:r>
    </w:p>
    <w:p w14:paraId="176F7DC3" w14:textId="76C5F867" w:rsidR="00E84146" w:rsidRPr="00B47E6D" w:rsidRDefault="008E4FDA" w:rsidP="008E4FDA">
      <w:r w:rsidRPr="00B47E6D">
        <w:t xml:space="preserve">This is the </w:t>
      </w:r>
      <w:r w:rsidR="00FF2F06">
        <w:t>second</w:t>
      </w:r>
      <w:r w:rsidRPr="00B47E6D">
        <w:t xml:space="preserve"> Quarterly report of the 202</w:t>
      </w:r>
      <w:r w:rsidR="00601F31" w:rsidRPr="00B47E6D">
        <w:t>4</w:t>
      </w:r>
      <w:r w:rsidRPr="00B47E6D">
        <w:t>/2</w:t>
      </w:r>
      <w:r w:rsidR="00601F31" w:rsidRPr="00B47E6D">
        <w:t>5</w:t>
      </w:r>
      <w:r w:rsidRPr="00B47E6D">
        <w:t xml:space="preserve"> performance cycle, reporting on our</w:t>
      </w:r>
      <w:r w:rsidR="00601F31" w:rsidRPr="00B47E6D">
        <w:t xml:space="preserve"> </w:t>
      </w:r>
      <w:hyperlink r:id="rId14" w:history="1">
        <w:r w:rsidR="00601F31" w:rsidRPr="00131778">
          <w:rPr>
            <w:rStyle w:val="Hyperlink"/>
          </w:rPr>
          <w:t>Performance and Accountability Framework</w:t>
        </w:r>
      </w:hyperlink>
      <w:r w:rsidR="00E84146" w:rsidRPr="00B47E6D">
        <w:t xml:space="preserve">. </w:t>
      </w:r>
      <w:r w:rsidR="008E13FF">
        <w:t>Our operational focus in 2024/25 is on threat, harm, and risk, focusing on prevention, problem solving and proactivity, and looking after our hard-working officers and staff to enable our people to deliver our vital public service. We will work to strengthen community policing across Scotland and engage widely as we begin to change the way in which we prioritise and deliver services to focus in the right areas.</w:t>
      </w:r>
    </w:p>
    <w:p w14:paraId="7E823ADC" w14:textId="5867F7E0" w:rsidR="00C2679C" w:rsidRPr="00B47E6D" w:rsidRDefault="00C2679C" w:rsidP="00C2679C">
      <w:r w:rsidRPr="00B47E6D">
        <w:t>Our outcomes focused Performance Framework is linked to our strategic planning processes and aligns to the Strategic Outcomes as detailed in the</w:t>
      </w:r>
      <w:r w:rsidR="000C7FEB" w:rsidRPr="00B47E6D">
        <w:t xml:space="preserve"> Annual Police Plan 2024/25</w:t>
      </w:r>
      <w:r w:rsidRPr="00B47E6D">
        <w:t>, these being:</w:t>
      </w:r>
    </w:p>
    <w:p w14:paraId="65190B9F" w14:textId="5A20D27C" w:rsidR="00C2679C" w:rsidRPr="00B47E6D" w:rsidRDefault="00645D37" w:rsidP="000862B6">
      <w:pPr>
        <w:pStyle w:val="Bullets"/>
      </w:pPr>
      <w:r>
        <w:rPr>
          <w:rStyle w:val="Strong"/>
        </w:rPr>
        <w:t xml:space="preserve">Strategic Outcome 1: </w:t>
      </w:r>
      <w:r w:rsidR="00C2679C" w:rsidRPr="00B47E6D">
        <w:rPr>
          <w:rStyle w:val="Strong"/>
        </w:rPr>
        <w:t>Public Safety and Wellbeing</w:t>
      </w:r>
      <w:r w:rsidR="00C2679C" w:rsidRPr="00B47E6D">
        <w:t xml:space="preserve"> – threats to public safety and wellbeing are resolved by a proactive and responsive police service</w:t>
      </w:r>
    </w:p>
    <w:p w14:paraId="0CDFBCCA" w14:textId="4D409CE8" w:rsidR="00C2679C" w:rsidRPr="00B47E6D" w:rsidRDefault="00645D37" w:rsidP="000862B6">
      <w:pPr>
        <w:pStyle w:val="Bullets"/>
      </w:pPr>
      <w:r>
        <w:rPr>
          <w:rStyle w:val="Strong"/>
        </w:rPr>
        <w:t xml:space="preserve">Strategic Outcome 2: </w:t>
      </w:r>
      <w:r w:rsidR="00C2679C" w:rsidRPr="00B47E6D">
        <w:rPr>
          <w:rStyle w:val="Strong"/>
        </w:rPr>
        <w:t>Needs of Local Communities</w:t>
      </w:r>
      <w:r w:rsidR="00C2679C" w:rsidRPr="00B47E6D">
        <w:t xml:space="preserve"> – the needs of local communities are addressed through effective service delivery</w:t>
      </w:r>
    </w:p>
    <w:p w14:paraId="7E5A45AE" w14:textId="67461751" w:rsidR="00C2679C" w:rsidRPr="00B47E6D" w:rsidRDefault="00645D37" w:rsidP="000862B6">
      <w:pPr>
        <w:pStyle w:val="Bullets"/>
      </w:pPr>
      <w:r>
        <w:rPr>
          <w:rStyle w:val="Strong"/>
        </w:rPr>
        <w:t xml:space="preserve">Strategic Outcome 3: </w:t>
      </w:r>
      <w:r w:rsidR="00C2679C" w:rsidRPr="00B47E6D">
        <w:rPr>
          <w:rStyle w:val="Strong"/>
        </w:rPr>
        <w:t>Confidence in Policing</w:t>
      </w:r>
      <w:r w:rsidR="00C2679C" w:rsidRPr="00B47E6D">
        <w:t xml:space="preserve"> – the public, communities and partners are engaged, involved and have confidence in policing</w:t>
      </w:r>
    </w:p>
    <w:p w14:paraId="68301C2B" w14:textId="203D3050" w:rsidR="00C2679C" w:rsidRPr="00B47E6D" w:rsidRDefault="00645D37" w:rsidP="000862B6">
      <w:pPr>
        <w:pStyle w:val="Bullets"/>
      </w:pPr>
      <w:r>
        <w:rPr>
          <w:rStyle w:val="Strong"/>
        </w:rPr>
        <w:t xml:space="preserve">Strategic Outcome 4: </w:t>
      </w:r>
      <w:r w:rsidR="00C2679C" w:rsidRPr="00B47E6D">
        <w:rPr>
          <w:rStyle w:val="Strong"/>
        </w:rPr>
        <w:t>Working Environment</w:t>
      </w:r>
      <w:r w:rsidR="00C2679C" w:rsidRPr="00B47E6D">
        <w:t xml:space="preserve"> – our people are supported through a positive working environment, enabling them to serve the public</w:t>
      </w:r>
    </w:p>
    <w:p w14:paraId="18B5967C" w14:textId="5804198B" w:rsidR="00C2679C" w:rsidRPr="00B47E6D" w:rsidRDefault="00645D37" w:rsidP="000862B6">
      <w:pPr>
        <w:pStyle w:val="Bullets"/>
      </w:pPr>
      <w:r>
        <w:rPr>
          <w:rStyle w:val="Strong"/>
        </w:rPr>
        <w:t xml:space="preserve">Strategic Outcome 5: </w:t>
      </w:r>
      <w:r w:rsidR="00C2679C" w:rsidRPr="00B47E6D">
        <w:rPr>
          <w:rStyle w:val="Strong"/>
        </w:rPr>
        <w:t>Sustainable and Adaptable Service</w:t>
      </w:r>
      <w:r w:rsidR="00C2679C" w:rsidRPr="00B47E6D">
        <w:t xml:space="preserve"> – Police Scotland is sustainable, adaptable and prepared for future challenges</w:t>
      </w:r>
    </w:p>
    <w:p w14:paraId="29F99BDA" w14:textId="2CF77C32" w:rsidR="008E13FF" w:rsidRDefault="008E13FF" w:rsidP="008E4FDA">
      <w:r>
        <w:t>The Chief Constable’s Priorities are at the centre of our approach to performance. Our Strategic Threat and Risk Assessment provides the evidence base for our areas of highest Threat, Harm and Risk (Force Control Strategy), Annual Policing Plan and Performance Framework.</w:t>
      </w:r>
    </w:p>
    <w:p w14:paraId="34FB02E5" w14:textId="20919EBF" w:rsidR="00FF03AB" w:rsidRDefault="008E13FF" w:rsidP="006C5B8F">
      <w:r>
        <w:t>Our Values and Code of Ethics underpin our approach to performance management which is vital to maintain and strengthen public confidence and trust in the Service. Learning from others and sharing best practice is critical and we will benchmark with other relevant bodies where possible, using the PEEL Assessment Framework as appropriate</w:t>
      </w:r>
      <w:r w:rsidR="00CB49B4">
        <w:t>.</w:t>
      </w:r>
    </w:p>
    <w:p w14:paraId="00B8CBA5" w14:textId="77777777" w:rsidR="00FF03AB" w:rsidRDefault="00FF03AB" w:rsidP="00FF03AB">
      <w:r>
        <w:t>During this quarter, the Chief Constable has launched the Police Scotland 2030 Vision. Our Vision provides the service with a clear, aspirational direction of travel to shape the development of Police Scotland. Our 2030 Vision is for safer communities, less crime, supported victims and a thriving workforce. To achieve this, we will:</w:t>
      </w:r>
    </w:p>
    <w:p w14:paraId="4C691B2F" w14:textId="0114D0B7" w:rsidR="00FF03AB" w:rsidRDefault="00FF03AB" w:rsidP="00FF03AB">
      <w:pPr>
        <w:pStyle w:val="Bullets"/>
      </w:pPr>
      <w:r>
        <w:t>Support reductions in overall crime in Scotland;</w:t>
      </w:r>
    </w:p>
    <w:p w14:paraId="3CDB7361" w14:textId="5B7AA213" w:rsidR="00FF03AB" w:rsidRDefault="00FF03AB" w:rsidP="00FF03AB">
      <w:pPr>
        <w:pStyle w:val="Bullets"/>
      </w:pPr>
      <w:r>
        <w:t>Respond effectively to threats to public safety;</w:t>
      </w:r>
    </w:p>
    <w:p w14:paraId="21C55480" w14:textId="209630D1" w:rsidR="00FF03AB" w:rsidRDefault="00FF03AB" w:rsidP="00FF03AB">
      <w:pPr>
        <w:pStyle w:val="Bullets"/>
      </w:pPr>
      <w:r>
        <w:t>Deliver the best possible service for the public and communities of Scotland through effective community policing;</w:t>
      </w:r>
    </w:p>
    <w:p w14:paraId="2EF49FC4" w14:textId="64A370E1" w:rsidR="00FF03AB" w:rsidRDefault="00FF03AB" w:rsidP="00FF03AB">
      <w:pPr>
        <w:pStyle w:val="Bullets"/>
      </w:pPr>
      <w:r>
        <w:lastRenderedPageBreak/>
        <w:t>Ensure that victims are fully heard and supported, with our service more tailored to victim needs through our trauma informed approach;</w:t>
      </w:r>
    </w:p>
    <w:p w14:paraId="2468477D" w14:textId="11A18C74" w:rsidR="00FF03AB" w:rsidRDefault="00FF03AB" w:rsidP="00FF03AB">
      <w:pPr>
        <w:pStyle w:val="Bullets"/>
      </w:pPr>
      <w:r>
        <w:t>Work with partners to ensure vulnerable people are able to access appropriate care at the right time;</w:t>
      </w:r>
    </w:p>
    <w:p w14:paraId="7CA24939" w14:textId="13205F1C" w:rsidR="00FF03AB" w:rsidRDefault="00FF03AB" w:rsidP="00BD21DF">
      <w:pPr>
        <w:pStyle w:val="Bullets"/>
      </w:pPr>
      <w:r>
        <w:t>Be an inclusive, anti-racist and anti-discriminatory organisation that takes a firm stance on inappropriate conduct;</w:t>
      </w:r>
    </w:p>
    <w:p w14:paraId="3DD479FA" w14:textId="0E443E30" w:rsidR="00FF03AB" w:rsidRPr="00FF03AB" w:rsidRDefault="00FF03AB" w:rsidP="00BD21DF">
      <w:pPr>
        <w:pStyle w:val="Bullets"/>
      </w:pPr>
      <w:r>
        <w:t>Improve employee welfare and wellbeing, ensuring our diverse workforce is more supported in doing their best work each day.</w:t>
      </w:r>
    </w:p>
    <w:p w14:paraId="367CCE3B" w14:textId="1601BDC6" w:rsidR="008518F7" w:rsidRDefault="00D8614B" w:rsidP="008518F7">
      <w:r>
        <w:t>The first section of the report provides a deep dive into crimes of dishonesty, with a focus on theft by shoplifting and key insights on overall satisfaction from our User Experience Survey. The report is structured under Less Crime, Safer Communities, Supported Victims and Thriving Workforce as per the Chief Constable’s Vision 2030 report.</w:t>
      </w:r>
    </w:p>
    <w:p w14:paraId="42FD2D5C" w14:textId="55E1EF81" w:rsidR="00297AFD" w:rsidRPr="00297AFD" w:rsidRDefault="00296FEF" w:rsidP="008518F7">
      <w:pPr>
        <w:rPr>
          <w:lang w:eastAsia="en-GB"/>
        </w:rPr>
      </w:pPr>
      <w:r>
        <w:t>E</w:t>
      </w:r>
      <w:r w:rsidR="009C531E" w:rsidRPr="00B47E6D">
        <w:t>xamples of good proactive/preventative policin</w:t>
      </w:r>
      <w:r>
        <w:t xml:space="preserve">g </w:t>
      </w:r>
      <w:r w:rsidR="00D8614B">
        <w:t>activity has been highlighted in the following areas:</w:t>
      </w:r>
    </w:p>
    <w:p w14:paraId="4DC7110A" w14:textId="7B9F4C05" w:rsidR="00296FEF" w:rsidRDefault="00CE327E" w:rsidP="00296FEF">
      <w:pPr>
        <w:pStyle w:val="Bullets"/>
      </w:pPr>
      <w:hyperlink w:anchor="Violence" w:history="1">
        <w:r w:rsidR="00296FEF" w:rsidRPr="00637EEE">
          <w:rPr>
            <w:rStyle w:val="Hyperlink"/>
          </w:rPr>
          <w:t>Young People and Violent Crime</w:t>
        </w:r>
      </w:hyperlink>
    </w:p>
    <w:p w14:paraId="76402F28" w14:textId="2104DB6A" w:rsidR="00296FEF" w:rsidRDefault="00CE327E" w:rsidP="00296FEF">
      <w:pPr>
        <w:pStyle w:val="Bullets"/>
      </w:pPr>
      <w:hyperlink w:anchor="Moonbeam" w:history="1">
        <w:r w:rsidR="00296FEF" w:rsidRPr="00637EEE">
          <w:rPr>
            <w:rStyle w:val="Hyperlink"/>
          </w:rPr>
          <w:t>Operation Moonbeam</w:t>
        </w:r>
      </w:hyperlink>
    </w:p>
    <w:p w14:paraId="62771517" w14:textId="7C7B2438" w:rsidR="00296FEF" w:rsidRPr="00BD21DF" w:rsidRDefault="00CE327E" w:rsidP="00296FEF">
      <w:pPr>
        <w:pStyle w:val="ListBullet"/>
        <w:rPr>
          <w:rStyle w:val="Hyperlink"/>
          <w:color w:val="auto"/>
          <w:u w:val="none"/>
          <w:lang w:eastAsia="en-GB"/>
        </w:rPr>
      </w:pPr>
      <w:hyperlink w:anchor="Banking" w:history="1">
        <w:r w:rsidR="00296FEF" w:rsidRPr="00637EEE">
          <w:rPr>
            <w:rStyle w:val="Hyperlink"/>
            <w:lang w:eastAsia="en-GB"/>
          </w:rPr>
          <w:t>The Banking Protocol</w:t>
        </w:r>
      </w:hyperlink>
    </w:p>
    <w:p w14:paraId="2CB1811B" w14:textId="6B47D984" w:rsidR="00BD21DF" w:rsidRDefault="00CE327E" w:rsidP="00BD21DF">
      <w:pPr>
        <w:pStyle w:val="Bullets"/>
      </w:pPr>
      <w:hyperlink w:anchor="Drugs" w:history="1">
        <w:r w:rsidR="00BD21DF" w:rsidRPr="00BD21DF">
          <w:rPr>
            <w:rStyle w:val="Hyperlink"/>
          </w:rPr>
          <w:t>High Harm Drugs</w:t>
        </w:r>
      </w:hyperlink>
    </w:p>
    <w:p w14:paraId="0AD14117" w14:textId="122A6917" w:rsidR="00296FEF" w:rsidRPr="00296FEF" w:rsidRDefault="00CE327E" w:rsidP="00296FEF">
      <w:pPr>
        <w:pStyle w:val="Bullets"/>
      </w:pPr>
      <w:hyperlink w:anchor="Events" w:history="1">
        <w:r w:rsidR="00637EEE" w:rsidRPr="00637EEE">
          <w:rPr>
            <w:rStyle w:val="Hyperlink"/>
          </w:rPr>
          <w:t>Substance Harm Prevention</w:t>
        </w:r>
      </w:hyperlink>
    </w:p>
    <w:p w14:paraId="459C81E2" w14:textId="46482F9F" w:rsidR="00296FEF" w:rsidRPr="00296FEF" w:rsidRDefault="00CE327E" w:rsidP="00296FEF">
      <w:pPr>
        <w:pStyle w:val="Bullets"/>
      </w:pPr>
      <w:hyperlink w:anchor="Roads" w:history="1">
        <w:r w:rsidR="00296FEF" w:rsidRPr="00637EEE">
          <w:rPr>
            <w:rStyle w:val="Hyperlink"/>
          </w:rPr>
          <w:t>Road Policing Campaigns</w:t>
        </w:r>
      </w:hyperlink>
    </w:p>
    <w:p w14:paraId="651709C3" w14:textId="193A6EFD" w:rsidR="008B0C9E" w:rsidRDefault="008B0C9E" w:rsidP="008B0C9E">
      <w:r w:rsidRPr="00991230">
        <w:t xml:space="preserve">Local insights </w:t>
      </w:r>
      <w:r w:rsidR="00D8614B">
        <w:t xml:space="preserve">are provided within this report that </w:t>
      </w:r>
      <w:r w:rsidRPr="00991230">
        <w:t>include disaggregated data. The following is a key to each of the 13 local policing divisions included in these comparisons:</w:t>
      </w:r>
    </w:p>
    <w:p w14:paraId="3FDE69BD" w14:textId="77777777" w:rsidR="008B0C9E" w:rsidRDefault="008B0C9E" w:rsidP="008B0C9E">
      <w:pPr>
        <w:pStyle w:val="Heading4"/>
      </w:pPr>
      <w:r>
        <w:t>Divisional Identification Key</w:t>
      </w: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Mechanism"/>
        <w:tblDescription w:val="The Mechanism table is broken down into two columns. The first column lists the three Mechanism measures and the second column details the total amount recovered under each mechanism."/>
      </w:tblPr>
      <w:tblGrid>
        <w:gridCol w:w="2608"/>
        <w:gridCol w:w="3742"/>
        <w:gridCol w:w="3515"/>
      </w:tblGrid>
      <w:tr w:rsidR="008B0C9E" w:rsidRPr="004F1401" w14:paraId="144BA5AF" w14:textId="77777777" w:rsidTr="00C90DD0">
        <w:trPr>
          <w:cantSplit/>
          <w:trHeight w:val="454"/>
          <w:tblHeader/>
        </w:trPr>
        <w:tc>
          <w:tcPr>
            <w:tcW w:w="2608" w:type="dxa"/>
            <w:shd w:val="clear" w:color="auto" w:fill="FFE599" w:themeFill="accent4" w:themeFillTint="66"/>
            <w:vAlign w:val="center"/>
          </w:tcPr>
          <w:p w14:paraId="528B40B7" w14:textId="77777777" w:rsidR="008B0C9E" w:rsidRDefault="008B0C9E" w:rsidP="00C90DD0">
            <w:pPr>
              <w:pStyle w:val="TableHeaderLeft"/>
            </w:pPr>
            <w:r w:rsidRPr="00136EAF">
              <w:t>North Region</w:t>
            </w:r>
          </w:p>
        </w:tc>
        <w:tc>
          <w:tcPr>
            <w:tcW w:w="3742" w:type="dxa"/>
            <w:shd w:val="clear" w:color="auto" w:fill="FFE599" w:themeFill="accent4" w:themeFillTint="66"/>
            <w:vAlign w:val="center"/>
          </w:tcPr>
          <w:p w14:paraId="433E8A24" w14:textId="77777777" w:rsidR="008B0C9E" w:rsidRPr="00136EAF" w:rsidRDefault="008B0C9E" w:rsidP="00C90DD0">
            <w:pPr>
              <w:pStyle w:val="TableHeaderLeft"/>
            </w:pPr>
            <w:r>
              <w:t>East</w:t>
            </w:r>
            <w:r w:rsidRPr="00136EAF">
              <w:t xml:space="preserve"> Region</w:t>
            </w:r>
          </w:p>
        </w:tc>
        <w:tc>
          <w:tcPr>
            <w:tcW w:w="3515" w:type="dxa"/>
            <w:shd w:val="clear" w:color="auto" w:fill="FFE599" w:themeFill="accent4" w:themeFillTint="66"/>
            <w:vAlign w:val="center"/>
          </w:tcPr>
          <w:p w14:paraId="514662DD" w14:textId="77777777" w:rsidR="008B0C9E" w:rsidRPr="00136EAF" w:rsidRDefault="008B0C9E" w:rsidP="00C90DD0">
            <w:pPr>
              <w:pStyle w:val="TableHeaderLeft"/>
            </w:pPr>
            <w:r>
              <w:t xml:space="preserve">West </w:t>
            </w:r>
            <w:r w:rsidRPr="00136EAF">
              <w:t>Region</w:t>
            </w:r>
          </w:p>
        </w:tc>
      </w:tr>
      <w:tr w:rsidR="008B0C9E" w:rsidRPr="004F1401" w14:paraId="2FCD0E22" w14:textId="77777777" w:rsidTr="00C90DD0">
        <w:trPr>
          <w:cantSplit/>
          <w:trHeight w:val="454"/>
          <w:tblHeader/>
        </w:trPr>
        <w:tc>
          <w:tcPr>
            <w:tcW w:w="2608" w:type="dxa"/>
            <w:shd w:val="clear" w:color="000000" w:fill="FFFFFF"/>
            <w:vAlign w:val="center"/>
          </w:tcPr>
          <w:p w14:paraId="351FE58B" w14:textId="77777777" w:rsidR="008B0C9E" w:rsidRPr="00136EAF" w:rsidRDefault="008B0C9E" w:rsidP="00C90DD0">
            <w:pPr>
              <w:pStyle w:val="TableBodyLeft"/>
              <w:rPr>
                <w:sz w:val="22"/>
                <w:szCs w:val="22"/>
              </w:rPr>
            </w:pPr>
            <w:r w:rsidRPr="00136EAF">
              <w:rPr>
                <w:sz w:val="22"/>
                <w:szCs w:val="22"/>
              </w:rPr>
              <w:t>A – North East</w:t>
            </w:r>
          </w:p>
        </w:tc>
        <w:tc>
          <w:tcPr>
            <w:tcW w:w="3742" w:type="dxa"/>
            <w:shd w:val="clear" w:color="000000" w:fill="FFFFFF"/>
            <w:vAlign w:val="center"/>
          </w:tcPr>
          <w:p w14:paraId="23B5DD77" w14:textId="77777777" w:rsidR="008B0C9E" w:rsidRPr="00136EAF" w:rsidRDefault="008B0C9E" w:rsidP="00C90DD0">
            <w:pPr>
              <w:pStyle w:val="TableBodyLeft"/>
              <w:rPr>
                <w:sz w:val="22"/>
                <w:szCs w:val="22"/>
              </w:rPr>
            </w:pPr>
            <w:r w:rsidRPr="00136EAF">
              <w:rPr>
                <w:sz w:val="22"/>
                <w:szCs w:val="22"/>
              </w:rPr>
              <w:t>C – Forth Valley</w:t>
            </w:r>
          </w:p>
        </w:tc>
        <w:tc>
          <w:tcPr>
            <w:tcW w:w="3515" w:type="dxa"/>
            <w:shd w:val="clear" w:color="000000" w:fill="FFFFFF"/>
            <w:vAlign w:val="center"/>
          </w:tcPr>
          <w:p w14:paraId="12FDDB26" w14:textId="77777777" w:rsidR="008B0C9E" w:rsidRPr="00136EAF" w:rsidRDefault="008B0C9E" w:rsidP="00C90DD0">
            <w:pPr>
              <w:pStyle w:val="TableBodyLeft"/>
              <w:rPr>
                <w:sz w:val="22"/>
                <w:szCs w:val="22"/>
              </w:rPr>
            </w:pPr>
            <w:r w:rsidRPr="00136EAF">
              <w:rPr>
                <w:sz w:val="22"/>
                <w:szCs w:val="22"/>
              </w:rPr>
              <w:t>G – Greater Glasgow</w:t>
            </w:r>
          </w:p>
        </w:tc>
      </w:tr>
      <w:tr w:rsidR="008B0C9E" w:rsidRPr="004F1401" w14:paraId="78B2F3DB" w14:textId="77777777" w:rsidTr="00C90DD0">
        <w:trPr>
          <w:cantSplit/>
          <w:trHeight w:val="454"/>
          <w:tblHeader/>
        </w:trPr>
        <w:tc>
          <w:tcPr>
            <w:tcW w:w="2608" w:type="dxa"/>
            <w:shd w:val="clear" w:color="000000" w:fill="FFFFFF"/>
            <w:vAlign w:val="center"/>
          </w:tcPr>
          <w:p w14:paraId="68A3F335" w14:textId="77777777" w:rsidR="008B0C9E" w:rsidRPr="00136EAF" w:rsidRDefault="008B0C9E" w:rsidP="00C90DD0">
            <w:pPr>
              <w:pStyle w:val="TableBodyLeft"/>
              <w:rPr>
                <w:sz w:val="22"/>
                <w:szCs w:val="22"/>
              </w:rPr>
            </w:pPr>
            <w:r w:rsidRPr="00136EAF">
              <w:rPr>
                <w:sz w:val="22"/>
                <w:szCs w:val="22"/>
              </w:rPr>
              <w:t>D – Tayside</w:t>
            </w:r>
          </w:p>
        </w:tc>
        <w:tc>
          <w:tcPr>
            <w:tcW w:w="3742" w:type="dxa"/>
            <w:shd w:val="clear" w:color="000000" w:fill="FFFFFF"/>
            <w:vAlign w:val="center"/>
          </w:tcPr>
          <w:p w14:paraId="74B635AE" w14:textId="77777777" w:rsidR="008B0C9E" w:rsidRPr="00136EAF" w:rsidRDefault="008B0C9E" w:rsidP="00C90DD0">
            <w:pPr>
              <w:pStyle w:val="TableBodyLeft"/>
              <w:rPr>
                <w:sz w:val="22"/>
                <w:szCs w:val="22"/>
              </w:rPr>
            </w:pPr>
            <w:r w:rsidRPr="00136EAF">
              <w:rPr>
                <w:sz w:val="22"/>
                <w:szCs w:val="22"/>
              </w:rPr>
              <w:t>E – Edinburgh</w:t>
            </w:r>
          </w:p>
        </w:tc>
        <w:tc>
          <w:tcPr>
            <w:tcW w:w="3515" w:type="dxa"/>
            <w:shd w:val="clear" w:color="000000" w:fill="FFFFFF"/>
            <w:vAlign w:val="center"/>
          </w:tcPr>
          <w:p w14:paraId="0D3656F7" w14:textId="77777777" w:rsidR="008B0C9E" w:rsidRPr="00136EAF" w:rsidRDefault="008B0C9E" w:rsidP="00C90DD0">
            <w:pPr>
              <w:pStyle w:val="TableBodyLeft"/>
              <w:rPr>
                <w:sz w:val="22"/>
                <w:szCs w:val="22"/>
              </w:rPr>
            </w:pPr>
            <w:r w:rsidRPr="00136EAF">
              <w:rPr>
                <w:sz w:val="22"/>
                <w:szCs w:val="22"/>
              </w:rPr>
              <w:t>U – Ayrshire</w:t>
            </w:r>
          </w:p>
        </w:tc>
      </w:tr>
      <w:tr w:rsidR="008B0C9E" w:rsidRPr="004F1401" w14:paraId="6CE7AD79" w14:textId="77777777" w:rsidTr="00C90DD0">
        <w:trPr>
          <w:cantSplit/>
          <w:trHeight w:val="454"/>
          <w:tblHeader/>
        </w:trPr>
        <w:tc>
          <w:tcPr>
            <w:tcW w:w="2608" w:type="dxa"/>
            <w:shd w:val="clear" w:color="000000" w:fill="FFFFFF"/>
            <w:vAlign w:val="center"/>
          </w:tcPr>
          <w:p w14:paraId="04420642" w14:textId="77777777" w:rsidR="008B0C9E" w:rsidRPr="00136EAF" w:rsidRDefault="008B0C9E" w:rsidP="00C90DD0">
            <w:pPr>
              <w:pStyle w:val="TableBodyLeft"/>
              <w:rPr>
                <w:sz w:val="22"/>
                <w:szCs w:val="22"/>
              </w:rPr>
            </w:pPr>
            <w:r w:rsidRPr="00136EAF">
              <w:rPr>
                <w:sz w:val="22"/>
                <w:szCs w:val="22"/>
              </w:rPr>
              <w:t>N – Highland &amp; Islands</w:t>
            </w:r>
          </w:p>
        </w:tc>
        <w:tc>
          <w:tcPr>
            <w:tcW w:w="3742" w:type="dxa"/>
            <w:shd w:val="clear" w:color="000000" w:fill="FFFFFF"/>
            <w:vAlign w:val="center"/>
          </w:tcPr>
          <w:p w14:paraId="73F6C274" w14:textId="77777777" w:rsidR="008B0C9E" w:rsidRPr="00136EAF" w:rsidRDefault="008B0C9E" w:rsidP="00C90DD0">
            <w:pPr>
              <w:pStyle w:val="TableBodyLeft"/>
              <w:rPr>
                <w:sz w:val="22"/>
                <w:szCs w:val="22"/>
              </w:rPr>
            </w:pPr>
            <w:r w:rsidRPr="00136EAF">
              <w:rPr>
                <w:sz w:val="22"/>
                <w:szCs w:val="22"/>
              </w:rPr>
              <w:t>J – The Lothians &amp; Scottish Borders</w:t>
            </w:r>
          </w:p>
        </w:tc>
        <w:tc>
          <w:tcPr>
            <w:tcW w:w="3515" w:type="dxa"/>
            <w:shd w:val="clear" w:color="000000" w:fill="FFFFFF"/>
            <w:vAlign w:val="center"/>
          </w:tcPr>
          <w:p w14:paraId="5C8EC9FC" w14:textId="77777777" w:rsidR="008B0C9E" w:rsidRPr="00136EAF" w:rsidRDefault="008B0C9E" w:rsidP="00C90DD0">
            <w:pPr>
              <w:pStyle w:val="TableBodyLeft"/>
              <w:rPr>
                <w:sz w:val="22"/>
                <w:szCs w:val="22"/>
              </w:rPr>
            </w:pPr>
            <w:r w:rsidRPr="00136EAF">
              <w:rPr>
                <w:sz w:val="22"/>
                <w:szCs w:val="22"/>
              </w:rPr>
              <w:t>Q – Lanarkshire</w:t>
            </w:r>
          </w:p>
        </w:tc>
      </w:tr>
      <w:tr w:rsidR="008B0C9E" w:rsidRPr="004F1401" w14:paraId="332F0CEA" w14:textId="77777777" w:rsidTr="00C90DD0">
        <w:trPr>
          <w:cantSplit/>
          <w:trHeight w:val="454"/>
          <w:tblHeader/>
        </w:trPr>
        <w:tc>
          <w:tcPr>
            <w:tcW w:w="2608" w:type="dxa"/>
            <w:shd w:val="clear" w:color="000000" w:fill="FFFFFF"/>
            <w:vAlign w:val="center"/>
          </w:tcPr>
          <w:p w14:paraId="0EF6EE80" w14:textId="77777777" w:rsidR="008B0C9E" w:rsidRPr="00136EAF" w:rsidRDefault="008B0C9E" w:rsidP="00C90DD0">
            <w:pPr>
              <w:pStyle w:val="TableBodyLeft"/>
              <w:rPr>
                <w:sz w:val="22"/>
                <w:szCs w:val="22"/>
              </w:rPr>
            </w:pPr>
          </w:p>
        </w:tc>
        <w:tc>
          <w:tcPr>
            <w:tcW w:w="3742" w:type="dxa"/>
            <w:shd w:val="clear" w:color="000000" w:fill="FFFFFF"/>
            <w:vAlign w:val="center"/>
          </w:tcPr>
          <w:p w14:paraId="32285B93" w14:textId="77777777" w:rsidR="008B0C9E" w:rsidRPr="00136EAF" w:rsidRDefault="008B0C9E" w:rsidP="00C90DD0">
            <w:pPr>
              <w:pStyle w:val="TableBodyLeft"/>
              <w:rPr>
                <w:sz w:val="22"/>
                <w:szCs w:val="22"/>
              </w:rPr>
            </w:pPr>
            <w:r w:rsidRPr="00136EAF">
              <w:rPr>
                <w:sz w:val="22"/>
                <w:szCs w:val="22"/>
              </w:rPr>
              <w:t>P – Fife</w:t>
            </w:r>
          </w:p>
        </w:tc>
        <w:tc>
          <w:tcPr>
            <w:tcW w:w="3515" w:type="dxa"/>
            <w:shd w:val="clear" w:color="000000" w:fill="FFFFFF"/>
            <w:vAlign w:val="center"/>
          </w:tcPr>
          <w:p w14:paraId="514DDD49" w14:textId="77777777" w:rsidR="008B0C9E" w:rsidRPr="00136EAF" w:rsidRDefault="008B0C9E" w:rsidP="00C90DD0">
            <w:pPr>
              <w:pStyle w:val="TableBodyLeft"/>
              <w:rPr>
                <w:sz w:val="22"/>
                <w:szCs w:val="22"/>
              </w:rPr>
            </w:pPr>
            <w:r w:rsidRPr="00136EAF">
              <w:rPr>
                <w:sz w:val="22"/>
                <w:szCs w:val="22"/>
              </w:rPr>
              <w:t>L – Argyll &amp; West Dunbartonshire</w:t>
            </w:r>
          </w:p>
        </w:tc>
      </w:tr>
      <w:tr w:rsidR="008B0C9E" w:rsidRPr="004F1401" w14:paraId="5A04C739" w14:textId="77777777" w:rsidTr="00C90DD0">
        <w:trPr>
          <w:cantSplit/>
          <w:trHeight w:val="454"/>
          <w:tblHeader/>
        </w:trPr>
        <w:tc>
          <w:tcPr>
            <w:tcW w:w="2608" w:type="dxa"/>
            <w:shd w:val="clear" w:color="000000" w:fill="FFFFFF"/>
            <w:vAlign w:val="center"/>
          </w:tcPr>
          <w:p w14:paraId="2F0F4D38" w14:textId="77777777" w:rsidR="008B0C9E" w:rsidRPr="00136EAF" w:rsidRDefault="008B0C9E" w:rsidP="00C90DD0">
            <w:pPr>
              <w:pStyle w:val="TableBodyLeft"/>
              <w:rPr>
                <w:sz w:val="22"/>
                <w:szCs w:val="22"/>
              </w:rPr>
            </w:pPr>
          </w:p>
        </w:tc>
        <w:tc>
          <w:tcPr>
            <w:tcW w:w="3742" w:type="dxa"/>
            <w:shd w:val="clear" w:color="000000" w:fill="FFFFFF"/>
            <w:vAlign w:val="center"/>
          </w:tcPr>
          <w:p w14:paraId="79121982" w14:textId="77777777" w:rsidR="008B0C9E" w:rsidRPr="00136EAF" w:rsidRDefault="008B0C9E" w:rsidP="00C90DD0">
            <w:pPr>
              <w:pStyle w:val="TableBodyLeft"/>
              <w:rPr>
                <w:sz w:val="22"/>
                <w:szCs w:val="22"/>
              </w:rPr>
            </w:pPr>
          </w:p>
        </w:tc>
        <w:tc>
          <w:tcPr>
            <w:tcW w:w="3515" w:type="dxa"/>
            <w:shd w:val="clear" w:color="000000" w:fill="FFFFFF"/>
            <w:vAlign w:val="center"/>
          </w:tcPr>
          <w:p w14:paraId="46698AF6" w14:textId="77777777" w:rsidR="008B0C9E" w:rsidRPr="00136EAF" w:rsidRDefault="008B0C9E" w:rsidP="00C90DD0">
            <w:pPr>
              <w:pStyle w:val="TableBodyLeft"/>
              <w:rPr>
                <w:sz w:val="22"/>
                <w:szCs w:val="22"/>
              </w:rPr>
            </w:pPr>
            <w:r w:rsidRPr="00136EAF">
              <w:rPr>
                <w:sz w:val="22"/>
                <w:szCs w:val="22"/>
              </w:rPr>
              <w:t>K – Renfrewshire &amp; Inverclyde</w:t>
            </w:r>
          </w:p>
        </w:tc>
      </w:tr>
      <w:tr w:rsidR="008B0C9E" w:rsidRPr="004F1401" w14:paraId="14040D69" w14:textId="77777777" w:rsidTr="00C90DD0">
        <w:trPr>
          <w:cantSplit/>
          <w:trHeight w:val="454"/>
          <w:tblHeader/>
        </w:trPr>
        <w:tc>
          <w:tcPr>
            <w:tcW w:w="2608" w:type="dxa"/>
            <w:shd w:val="clear" w:color="000000" w:fill="FFFFFF"/>
            <w:vAlign w:val="center"/>
          </w:tcPr>
          <w:p w14:paraId="045BB6F8" w14:textId="77777777" w:rsidR="008B0C9E" w:rsidRPr="00136EAF" w:rsidRDefault="008B0C9E" w:rsidP="00C90DD0">
            <w:pPr>
              <w:pStyle w:val="TableBodyLeft"/>
              <w:rPr>
                <w:sz w:val="22"/>
                <w:szCs w:val="22"/>
              </w:rPr>
            </w:pPr>
          </w:p>
        </w:tc>
        <w:tc>
          <w:tcPr>
            <w:tcW w:w="3742" w:type="dxa"/>
            <w:shd w:val="clear" w:color="000000" w:fill="FFFFFF"/>
            <w:vAlign w:val="center"/>
          </w:tcPr>
          <w:p w14:paraId="4D86F2BA" w14:textId="77777777" w:rsidR="008B0C9E" w:rsidRPr="00136EAF" w:rsidRDefault="008B0C9E" w:rsidP="00C90DD0">
            <w:pPr>
              <w:pStyle w:val="TableBodyLeft"/>
              <w:rPr>
                <w:sz w:val="22"/>
                <w:szCs w:val="22"/>
              </w:rPr>
            </w:pPr>
          </w:p>
        </w:tc>
        <w:tc>
          <w:tcPr>
            <w:tcW w:w="3515" w:type="dxa"/>
            <w:shd w:val="clear" w:color="000000" w:fill="FFFFFF"/>
            <w:vAlign w:val="center"/>
          </w:tcPr>
          <w:p w14:paraId="4D1AB0F9" w14:textId="77777777" w:rsidR="008B0C9E" w:rsidRPr="00136EAF" w:rsidRDefault="008B0C9E" w:rsidP="00C90DD0">
            <w:pPr>
              <w:pStyle w:val="TableBodyLeft"/>
              <w:rPr>
                <w:sz w:val="22"/>
                <w:szCs w:val="22"/>
              </w:rPr>
            </w:pPr>
            <w:r>
              <w:rPr>
                <w:sz w:val="22"/>
                <w:szCs w:val="22"/>
              </w:rPr>
              <w:t>V</w:t>
            </w:r>
            <w:r w:rsidRPr="00136EAF">
              <w:rPr>
                <w:sz w:val="22"/>
                <w:szCs w:val="22"/>
              </w:rPr>
              <w:t xml:space="preserve"> – Dumfries &amp; Galloway</w:t>
            </w:r>
          </w:p>
        </w:tc>
      </w:tr>
    </w:tbl>
    <w:p w14:paraId="076E06A3" w14:textId="426FA7A8" w:rsidR="008518F7" w:rsidRDefault="00D8614B" w:rsidP="00FF03AB">
      <w:r>
        <w:t>Crime and incident data is included within this report, illustrated in bar charts with sparklines, to show trend data where appropriate.</w:t>
      </w:r>
    </w:p>
    <w:p w14:paraId="71FD01AC" w14:textId="393D0E9E" w:rsidR="008518F7" w:rsidRDefault="00991230" w:rsidP="00FF03AB">
      <w:r w:rsidRPr="00991230">
        <w:lastRenderedPageBreak/>
        <w:t xml:space="preserve">The period with the highest volume of crimes/incidents is highlighted </w:t>
      </w:r>
      <w:r w:rsidR="00360C5D">
        <w:t xml:space="preserve">in </w:t>
      </w:r>
      <w:r w:rsidRPr="00991230">
        <w:t xml:space="preserve">red in the bar chart sparkline. The six-month sparklines cover the period </w:t>
      </w:r>
      <w:r w:rsidR="00FF2F06">
        <w:t>April to September</w:t>
      </w:r>
      <w:r w:rsidRPr="00991230">
        <w:t xml:space="preserve"> 2024 whilst the five-year sparklines cover Quarter </w:t>
      </w:r>
      <w:r w:rsidR="00FF2F06">
        <w:t>2</w:t>
      </w:r>
      <w:r w:rsidRPr="00991230">
        <w:t xml:space="preserve"> YTD from 2020/21 to 2024/25.</w:t>
      </w:r>
    </w:p>
    <w:p w14:paraId="636E44D5" w14:textId="7C247CB4" w:rsidR="00FB7BFC" w:rsidRDefault="00D8614B" w:rsidP="00FB7BFC">
      <w:r>
        <w:t>This report provides insight into the complexities of delivering strong performance, aligned to areas of greatest threat, harm and risk, in line with our organisational values.</w:t>
      </w:r>
    </w:p>
    <w:p w14:paraId="07F443EB" w14:textId="75D6F1D1" w:rsidR="00A2672B" w:rsidRDefault="00BE4120" w:rsidP="00131778">
      <w:pPr>
        <w:rPr>
          <w:rFonts w:eastAsiaTheme="majorEastAsia" w:cstheme="majorBidi"/>
          <w:b/>
          <w:sz w:val="28"/>
          <w:lang w:eastAsia="en-GB"/>
        </w:rPr>
      </w:pPr>
      <w:r w:rsidRPr="00BE4120">
        <w:t>All data is classed as Management Information and is not considered official statistics. All data is sourced from Police Scotland internal systems.</w:t>
      </w:r>
    </w:p>
    <w:p w14:paraId="2E8110DC" w14:textId="77777777" w:rsidR="00AD5C55" w:rsidRDefault="00AD5C55">
      <w:pPr>
        <w:spacing w:before="0" w:after="160" w:line="259" w:lineRule="auto"/>
        <w:rPr>
          <w:rFonts w:eastAsiaTheme="majorEastAsia" w:cstheme="majorBidi"/>
          <w:b/>
          <w:sz w:val="28"/>
          <w:lang w:eastAsia="en-GB"/>
        </w:rPr>
      </w:pPr>
      <w:r>
        <w:rPr>
          <w:lang w:eastAsia="en-GB"/>
        </w:rPr>
        <w:br w:type="page"/>
      </w:r>
    </w:p>
    <w:p w14:paraId="34273DFB" w14:textId="1402411F" w:rsidR="000B2AEA" w:rsidRPr="0031198A" w:rsidRDefault="00D87E5E" w:rsidP="00752630">
      <w:pPr>
        <w:pStyle w:val="Heading3"/>
        <w:rPr>
          <w:lang w:eastAsia="en-GB"/>
        </w:rPr>
      </w:pPr>
      <w:bookmarkStart w:id="17" w:name="_Toc182915889"/>
      <w:r>
        <w:rPr>
          <w:lang w:eastAsia="en-GB"/>
        </w:rPr>
        <w:lastRenderedPageBreak/>
        <w:t>Performance Focus</w:t>
      </w:r>
      <w:r w:rsidR="00752630">
        <w:rPr>
          <w:lang w:eastAsia="en-GB"/>
        </w:rPr>
        <w:t xml:space="preserve">: </w:t>
      </w:r>
      <w:r w:rsidR="003B6652">
        <w:rPr>
          <w:lang w:eastAsia="en-GB"/>
        </w:rPr>
        <w:t>Crime</w:t>
      </w:r>
      <w:r w:rsidR="00BE497A">
        <w:rPr>
          <w:lang w:eastAsia="en-GB"/>
        </w:rPr>
        <w:t>s of Dishonesty</w:t>
      </w:r>
      <w:r w:rsidR="003B6652">
        <w:rPr>
          <w:lang w:eastAsia="en-GB"/>
        </w:rPr>
        <w:t xml:space="preserve"> -</w:t>
      </w:r>
      <w:r w:rsidR="00752630">
        <w:rPr>
          <w:lang w:eastAsia="en-GB"/>
        </w:rPr>
        <w:t xml:space="preserve"> Shoplifting</w:t>
      </w:r>
      <w:bookmarkEnd w:id="17"/>
    </w:p>
    <w:p w14:paraId="5ED82175" w14:textId="5B14AB32" w:rsidR="003B6652" w:rsidRDefault="003B6652" w:rsidP="003B6652">
      <w:r>
        <w:t xml:space="preserve">The national strategic assessment 2023/2028 identified </w:t>
      </w:r>
      <w:r w:rsidR="00BE497A">
        <w:t>crimes of dishonesty</w:t>
      </w:r>
      <w:r>
        <w:t xml:space="preserve"> as a Substantial Operational Policing Priority. Shoplifting crimes continues to be the main contributor to the increase in </w:t>
      </w:r>
      <w:r w:rsidR="00BE497A">
        <w:t>crimes of dishonesty</w:t>
      </w:r>
      <w:r w:rsidR="0017390D">
        <w:t xml:space="preserve"> and</w:t>
      </w:r>
      <w:r>
        <w:t xml:space="preserve"> are now at higher levels than those seen pre-pandemic, with Retailers </w:t>
      </w:r>
      <w:r w:rsidR="00527471">
        <w:t>A</w:t>
      </w:r>
      <w:r>
        <w:t>gainst Crime</w:t>
      </w:r>
      <w:r w:rsidR="00527471">
        <w:t xml:space="preserve"> (RAC)</w:t>
      </w:r>
      <w:r>
        <w:t xml:space="preserve"> highlighting an increase in high-value thefts alongside escalations </w:t>
      </w:r>
      <w:r w:rsidR="00C92524">
        <w:t>in</w:t>
      </w:r>
      <w:r>
        <w:t xml:space="preserve"> violence</w:t>
      </w:r>
      <w:r w:rsidR="00C92524">
        <w:t xml:space="preserve"> against retail workers</w:t>
      </w:r>
      <w:r>
        <w:t>.</w:t>
      </w:r>
    </w:p>
    <w:p w14:paraId="24886976" w14:textId="77777777" w:rsidR="003B6652" w:rsidRDefault="003B6652" w:rsidP="003B6652">
      <w:r>
        <w:t>Key findings include:</w:t>
      </w:r>
    </w:p>
    <w:p w14:paraId="2042932F" w14:textId="2C8376B4" w:rsidR="003B6652" w:rsidRDefault="003B6652" w:rsidP="003B6652">
      <w:pPr>
        <w:pStyle w:val="Bullets"/>
      </w:pPr>
      <w:r>
        <w:t xml:space="preserve">22,806 shoplifting crimes have been recorded YTD, an increase of 18.8% </w:t>
      </w:r>
      <w:r w:rsidR="00D8614B">
        <w:t>on last year</w:t>
      </w:r>
      <w:r>
        <w:t xml:space="preserve"> and up </w:t>
      </w:r>
      <w:r w:rsidR="00681B69">
        <w:t>60.5</w:t>
      </w:r>
      <w:r>
        <w:t xml:space="preserve">% on the </w:t>
      </w:r>
      <w:r w:rsidR="00BE497A">
        <w:t>five-</w:t>
      </w:r>
      <w:r>
        <w:t>year mean.</w:t>
      </w:r>
    </w:p>
    <w:p w14:paraId="35153835" w14:textId="141BF48E" w:rsidR="003B6652" w:rsidRDefault="003B6652" w:rsidP="003B6652">
      <w:pPr>
        <w:pStyle w:val="Bullets"/>
      </w:pPr>
      <w:r>
        <w:t>Shoplifting crimes have increased by 6,618 (up 40.9%) compared to the pre-COVID-19 year of 2019/20</w:t>
      </w:r>
    </w:p>
    <w:p w14:paraId="0A1A23B2" w14:textId="68ADC22F" w:rsidR="003B6652" w:rsidRDefault="003B6652" w:rsidP="003B6652">
      <w:pPr>
        <w:pStyle w:val="Bullets"/>
      </w:pPr>
      <w:r>
        <w:t>The detection rate for theft by shoplifting sits at 48.1%, down 0.2 percentage points compared to the same period last year</w:t>
      </w:r>
    </w:p>
    <w:p w14:paraId="295E21D8" w14:textId="0E018A49" w:rsidR="003B6652" w:rsidRDefault="003B6652" w:rsidP="00BD21DF">
      <w:pPr>
        <w:pStyle w:val="Bullets"/>
      </w:pPr>
      <w:r>
        <w:t>Greater Glasgow Policing Division recorded the highest level of crime per division, accounting for 18.</w:t>
      </w:r>
      <w:r w:rsidR="00D50773">
        <w:t>4</w:t>
      </w:r>
      <w:r>
        <w:t>% of all thefts by shoplifting.</w:t>
      </w:r>
      <w:r w:rsidR="00D50773">
        <w:t xml:space="preserve"> This is closely followed by Edinburgh Policing Division which accounts for 17.5% of the total.</w:t>
      </w:r>
    </w:p>
    <w:p w14:paraId="1B452CB2" w14:textId="3B7F0EC4" w:rsidR="003B6652" w:rsidRDefault="003B6652" w:rsidP="003B6652">
      <w:pPr>
        <w:pStyle w:val="Bullets"/>
      </w:pPr>
      <w:r>
        <w:t xml:space="preserve">Monday was the most common day for </w:t>
      </w:r>
      <w:r w:rsidR="00D8614B">
        <w:t>shoplifting</w:t>
      </w:r>
      <w:r>
        <w:t xml:space="preserve">, although the peak </w:t>
      </w:r>
      <w:r w:rsidR="00D8614B">
        <w:t xml:space="preserve">time </w:t>
      </w:r>
      <w:r>
        <w:t xml:space="preserve">for </w:t>
      </w:r>
      <w:r w:rsidR="00AF582B">
        <w:t>theft by shoplifting was</w:t>
      </w:r>
      <w:r>
        <w:t xml:space="preserve"> Wednesday</w:t>
      </w:r>
      <w:r w:rsidR="00AF582B">
        <w:t>s</w:t>
      </w:r>
      <w:r>
        <w:t xml:space="preserve"> between 1600 and 1700</w:t>
      </w:r>
      <w:r w:rsidR="00953702">
        <w:t>hrs</w:t>
      </w:r>
      <w:r>
        <w:t>. The daily peak is between 1500 and 1700</w:t>
      </w:r>
      <w:r w:rsidR="00953702">
        <w:t>hrs</w:t>
      </w:r>
      <w:r w:rsidR="00AF582B">
        <w:t xml:space="preserve"> and which is potentially linked to</w:t>
      </w:r>
      <w:r>
        <w:t xml:space="preserve"> retail establishments being targeted when schools </w:t>
      </w:r>
      <w:r w:rsidR="00AF582B">
        <w:t>close as secondary school student features</w:t>
      </w:r>
      <w:r>
        <w:t xml:space="preserve"> as the second highest suspect/accused occupation.</w:t>
      </w:r>
    </w:p>
    <w:p w14:paraId="47D0583E" w14:textId="2B17729C" w:rsidR="003B6652" w:rsidRDefault="003B6652" w:rsidP="003B6652">
      <w:r>
        <w:t xml:space="preserve"> </w:t>
      </w:r>
      <w:r w:rsidR="00A66739">
        <w:rPr>
          <w:noProof/>
        </w:rPr>
        <w:drawing>
          <wp:inline distT="0" distB="0" distL="0" distR="0" wp14:anchorId="03654D9C" wp14:editId="2385C724">
            <wp:extent cx="6120765" cy="2755900"/>
            <wp:effectExtent l="0" t="0" r="0" b="6350"/>
            <wp:docPr id="1665834046" name="Picture 4" descr="Theft by Shoplifting – Top 10 Locus types&#10;This graph shows the top 10 theft by shoplifting locus types in 2024/25 YTD: Top is shop / department store/ supermarket (20,671 crimes) followed by petrol / service station (813 crimes), shop – chemist / pharmacy (463 crimes), licensed premises (179 crimes), shopping centre / mall (168 crimes), café / restaurant / takeaway (155 crimes), shop – DIY (101 crimes), garden centre (52 crimes), not known (28 crimes) and airport (22 crim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34046" name="Picture 4" descr="Theft by Shoplifting – Top 10 Locus types&#10;This graph shows the top 10 theft by shoplifting locus types in 2024/25 YTD: Top is shop / department store/ supermarket (20,671 crimes) followed by petrol / service station (813 crimes), shop – chemist / pharmacy (463 crimes), licensed premises (179 crimes), shopping centre / mall (168 crimes), café / restaurant / takeaway (155 crimes), shop – DIY (101 crimes), garden centre (52 crimes), not known (28 crimes) and airport (22 crimes).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2755900"/>
                    </a:xfrm>
                    <a:prstGeom prst="rect">
                      <a:avLst/>
                    </a:prstGeom>
                    <a:noFill/>
                  </pic:spPr>
                </pic:pic>
              </a:graphicData>
            </a:graphic>
          </wp:inline>
        </w:drawing>
      </w:r>
    </w:p>
    <w:p w14:paraId="1ED6297A" w14:textId="28A53ED4" w:rsidR="003B6652" w:rsidRDefault="003B6652" w:rsidP="003B6652">
      <w:pPr>
        <w:pStyle w:val="Bullets"/>
      </w:pPr>
      <w:r>
        <w:t xml:space="preserve">The majority </w:t>
      </w:r>
      <w:r w:rsidR="00AF582B">
        <w:t xml:space="preserve">of theft by shoplifting </w:t>
      </w:r>
      <w:r>
        <w:t>crimes continue to be committed at supermarkets/department stores with 90.4% of shoplifting crimes occurring at this locus.</w:t>
      </w:r>
    </w:p>
    <w:p w14:paraId="1901F6D4" w14:textId="0F2F86C6" w:rsidR="003B6652" w:rsidRDefault="003B6652" w:rsidP="003B6652">
      <w:r>
        <w:lastRenderedPageBreak/>
        <w:t xml:space="preserve"> </w:t>
      </w:r>
      <w:r w:rsidR="00A66739">
        <w:rPr>
          <w:noProof/>
        </w:rPr>
        <w:drawing>
          <wp:inline distT="0" distB="0" distL="0" distR="0" wp14:anchorId="2D520B29" wp14:editId="539D6706">
            <wp:extent cx="6099175" cy="2743200"/>
            <wp:effectExtent l="0" t="0" r="15875" b="0"/>
            <wp:docPr id="750113080" name="Chart 1" descr="Theft by Shoplifting – Accused and Age Groups&#10;This graph shows the accused total (dark blue) compared to the unique accused (light blue) by various age ranges for theft by shoplifting in 2024/25 YTD: Under 18’s were accused 1,830 times with 830 unique accused; 18-24 year olds were accused 781 times with 352 unique accused; 25-35 year olds were accused 3,584 times with 1,102 unique accused; 36-46 year olds were accused 4,208 times with 1,368 unique accused; 47-57 year olds were accused 1,303 times with 520 unique accused; and 58 year olds and over were accused 286 times with 159 unique accused.&#10;">
              <a:extLst xmlns:a="http://schemas.openxmlformats.org/drawingml/2006/main">
                <a:ext uri="{FF2B5EF4-FFF2-40B4-BE49-F238E27FC236}">
                  <a16:creationId xmlns:a16="http://schemas.microsoft.com/office/drawing/2014/main" id="{6512BF49-231D-5CC3-645D-721DC7D697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66DDC2" w14:textId="7E9DD4B9" w:rsidR="003B6652" w:rsidRDefault="003B6652" w:rsidP="003B6652">
      <w:pPr>
        <w:pStyle w:val="Bullets"/>
      </w:pPr>
      <w:r>
        <w:t xml:space="preserve">Of the 10,963 crimes detected during the analysis period, 4,331 </w:t>
      </w:r>
      <w:r w:rsidR="00AF582B">
        <w:t xml:space="preserve">individuals </w:t>
      </w:r>
      <w:r>
        <w:t xml:space="preserve">were </w:t>
      </w:r>
      <w:r w:rsidR="00AF582B">
        <w:t xml:space="preserve">identified </w:t>
      </w:r>
      <w:r>
        <w:t>as accused</w:t>
      </w:r>
      <w:r w:rsidR="00F43426">
        <w:t>.</w:t>
      </w:r>
    </w:p>
    <w:p w14:paraId="345644E7" w14:textId="575A164A" w:rsidR="003B6652" w:rsidRDefault="00AF582B" w:rsidP="003B6652">
      <w:pPr>
        <w:pStyle w:val="Bullets"/>
      </w:pPr>
      <w:r>
        <w:t>Year-to-date</w:t>
      </w:r>
      <w:r w:rsidR="003B6652">
        <w:t>, the reoffending rate has increased by 3.5% to 45.5%</w:t>
      </w:r>
      <w:r>
        <w:t xml:space="preserve"> with</w:t>
      </w:r>
      <w:r w:rsidR="003B6652">
        <w:t xml:space="preserve"> 2,076 repeat offenders identified during this period</w:t>
      </w:r>
      <w:r w:rsidR="00F43426">
        <w:t>.</w:t>
      </w:r>
    </w:p>
    <w:p w14:paraId="75DD028E" w14:textId="6B8FD683" w:rsidR="004E389B" w:rsidRDefault="004E389B" w:rsidP="00BD21DF">
      <w:pPr>
        <w:pStyle w:val="Heading4"/>
      </w:pPr>
      <w:r>
        <w:t>Retail Crime Drivers</w:t>
      </w:r>
    </w:p>
    <w:p w14:paraId="4020D471" w14:textId="1DD441AA" w:rsidR="004E389B" w:rsidRDefault="004E389B" w:rsidP="004E389B">
      <w:r>
        <w:t>The cause of the rise in retail crime can be attributed to a number of societal factors;</w:t>
      </w:r>
    </w:p>
    <w:p w14:paraId="4682D8CE" w14:textId="3A566168" w:rsidR="004E389B" w:rsidRDefault="004E389B" w:rsidP="004E389B">
      <w:pPr>
        <w:pStyle w:val="Bullets"/>
      </w:pPr>
      <w:r w:rsidRPr="004E389B">
        <w:rPr>
          <w:rStyle w:val="Strong"/>
        </w:rPr>
        <w:t>Cost of Living</w:t>
      </w:r>
      <w:r>
        <w:t xml:space="preserve"> - Our analysis indicates, the majority of the increase</w:t>
      </w:r>
      <w:r w:rsidR="00AF582B">
        <w:t xml:space="preserve"> in</w:t>
      </w:r>
      <w:r>
        <w:t xml:space="preserve"> shoplifting </w:t>
      </w:r>
      <w:r w:rsidR="00AF582B">
        <w:t>is within</w:t>
      </w:r>
      <w:r>
        <w:t xml:space="preserve"> urban conurbations and there is correlation to Scottish Index of Multiple Deprivation.</w:t>
      </w:r>
    </w:p>
    <w:p w14:paraId="24C423F0" w14:textId="3B9C4C6B" w:rsidR="004E389B" w:rsidRDefault="004E389B" w:rsidP="004E389B">
      <w:pPr>
        <w:pStyle w:val="Bullets"/>
      </w:pPr>
      <w:r w:rsidRPr="004E389B">
        <w:rPr>
          <w:rStyle w:val="Strong"/>
        </w:rPr>
        <w:t>Serious Organised Crime</w:t>
      </w:r>
      <w:r>
        <w:t xml:space="preserve"> - Organised crime groups </w:t>
      </w:r>
      <w:r w:rsidR="00AF582B">
        <w:t xml:space="preserve">travel </w:t>
      </w:r>
      <w:r>
        <w:t>throughout the UK</w:t>
      </w:r>
      <w:r w:rsidR="0091177D">
        <w:t xml:space="preserve"> </w:t>
      </w:r>
      <w:r w:rsidR="000E5376">
        <w:t xml:space="preserve">carrying out high-value and bulk thefts from retail </w:t>
      </w:r>
      <w:r w:rsidR="00163AA4">
        <w:t>outlets</w:t>
      </w:r>
      <w:r w:rsidR="000E5376">
        <w:t>, often disguising themselves to prevent recognition</w:t>
      </w:r>
      <w:r>
        <w:t xml:space="preserve">. </w:t>
      </w:r>
    </w:p>
    <w:p w14:paraId="031F2C4C" w14:textId="1C123F2C" w:rsidR="004E389B" w:rsidRDefault="004E389B" w:rsidP="002F01FD">
      <w:pPr>
        <w:pStyle w:val="Bullets"/>
      </w:pPr>
      <w:r w:rsidRPr="004E389B">
        <w:rPr>
          <w:rStyle w:val="Strong"/>
        </w:rPr>
        <w:t>Changes in Retail Environment</w:t>
      </w:r>
      <w:r>
        <w:t xml:space="preserve"> - Self-checkout and non-confrontation policies increase the opportunity for </w:t>
      </w:r>
      <w:r w:rsidR="00265BB0">
        <w:t>shoplifting</w:t>
      </w:r>
      <w:r>
        <w:t xml:space="preserve">, and we </w:t>
      </w:r>
      <w:r w:rsidR="00265BB0">
        <w:t xml:space="preserve">continue </w:t>
      </w:r>
      <w:r>
        <w:t>to work collaboratively to adapt to the changing environment and target harden retail premises.</w:t>
      </w:r>
    </w:p>
    <w:p w14:paraId="5DF31482" w14:textId="64ACA393" w:rsidR="004E389B" w:rsidRDefault="004E389B" w:rsidP="004E389B">
      <w:pPr>
        <w:pStyle w:val="Bullets"/>
      </w:pPr>
      <w:r w:rsidRPr="004E389B">
        <w:rPr>
          <w:rStyle w:val="Strong"/>
        </w:rPr>
        <w:t>Peer Pressure</w:t>
      </w:r>
      <w:r>
        <w:t xml:space="preserve"> - As shown by our data analysis, young people come into conflict with the law frequently regarding shoplifting. This may be directly linked to economic hardship but also as a result of peer pressure, gang involvement or opportunism. We are working with </w:t>
      </w:r>
      <w:r w:rsidR="00527471">
        <w:t>e</w:t>
      </w:r>
      <w:r>
        <w:t xml:space="preserve">ducation colleagues to address the underlying issues that may lead </w:t>
      </w:r>
      <w:r w:rsidR="00265BB0">
        <w:t xml:space="preserve">young people </w:t>
      </w:r>
      <w:r>
        <w:t>into criminality.</w:t>
      </w:r>
    </w:p>
    <w:p w14:paraId="6969BA12" w14:textId="3202E196" w:rsidR="004E389B" w:rsidRDefault="004E389B" w:rsidP="00333322">
      <w:pPr>
        <w:pStyle w:val="Bullets"/>
      </w:pPr>
      <w:r w:rsidRPr="004E389B">
        <w:rPr>
          <w:rStyle w:val="Strong"/>
        </w:rPr>
        <w:t>Addiction</w:t>
      </w:r>
      <w:r>
        <w:t xml:space="preserve"> - Addiction is a significant contributing factor to retail crime </w:t>
      </w:r>
      <w:r w:rsidR="00265BB0">
        <w:t>with some individuals</w:t>
      </w:r>
      <w:r>
        <w:t xml:space="preserve"> committing retail crime to fund </w:t>
      </w:r>
      <w:r w:rsidR="00265BB0">
        <w:t>this</w:t>
      </w:r>
      <w:r>
        <w:t>.</w:t>
      </w:r>
    </w:p>
    <w:p w14:paraId="1F1C8AFF" w14:textId="17FBDFEC" w:rsidR="003F3C97" w:rsidRPr="0027506B" w:rsidRDefault="00143DF5" w:rsidP="00BD21DF">
      <w:pPr>
        <w:pStyle w:val="Bullets"/>
      </w:pPr>
      <w:r w:rsidRPr="00BD21DF">
        <w:rPr>
          <w:rStyle w:val="Strong"/>
        </w:rPr>
        <w:t>Assaults of Retail Workers</w:t>
      </w:r>
      <w:r w:rsidRPr="00BD21DF">
        <w:rPr>
          <w:rStyle w:val="BulletsChar"/>
        </w:rPr>
        <w:t xml:space="preserve"> –</w:t>
      </w:r>
      <w:r w:rsidR="003F3C97" w:rsidRPr="00BD21DF">
        <w:rPr>
          <w:rStyle w:val="BulletsChar"/>
        </w:rPr>
        <w:t xml:space="preserve"> </w:t>
      </w:r>
      <w:r w:rsidRPr="00BD21DF">
        <w:rPr>
          <w:rStyle w:val="BulletsChar"/>
        </w:rPr>
        <w:t xml:space="preserve">There has been a 10.3% increase in common assaults of retail workers compared to the same period last year, increasing from 1,337 to 1,475. Of these assaults, 214 have been recorded as resulting in an injury. </w:t>
      </w:r>
      <w:r w:rsidR="00F978FC" w:rsidRPr="00BD21DF">
        <w:rPr>
          <w:rStyle w:val="BulletsChar"/>
        </w:rPr>
        <w:t xml:space="preserve">Specific crime types </w:t>
      </w:r>
      <w:r w:rsidR="00F978FC" w:rsidRPr="00BD21DF">
        <w:rPr>
          <w:rStyle w:val="BulletsChar"/>
        </w:rPr>
        <w:lastRenderedPageBreak/>
        <w:t>for the recording of serious assaults, common assaults and threatening or abusive behaviour of retail workers commenced from August 2021</w:t>
      </w:r>
      <w:r w:rsidR="00F978FC">
        <w:t>.</w:t>
      </w:r>
    </w:p>
    <w:p w14:paraId="1814372F" w14:textId="272F5CF0" w:rsidR="004E389B" w:rsidRDefault="00265BB0" w:rsidP="00BD21DF">
      <w:pPr>
        <w:pStyle w:val="Heading4"/>
      </w:pPr>
      <w:r>
        <w:t>National Acquisitive Crime Group</w:t>
      </w:r>
    </w:p>
    <w:p w14:paraId="3C77EDD8" w14:textId="44412D6C" w:rsidR="004E389B" w:rsidRDefault="004E389B" w:rsidP="004E389B">
      <w:r>
        <w:t xml:space="preserve">Police Scotland </w:t>
      </w:r>
      <w:r w:rsidR="00265BB0">
        <w:t xml:space="preserve">Chair </w:t>
      </w:r>
      <w:r>
        <w:t xml:space="preserve">the National Acquisitive Crime Group </w:t>
      </w:r>
      <w:r w:rsidR="00265BB0">
        <w:t>working with</w:t>
      </w:r>
      <w:r>
        <w:t xml:space="preserve"> external partner agencies across Scotland to </w:t>
      </w:r>
      <w:r w:rsidR="00527471">
        <w:t>i</w:t>
      </w:r>
      <w:r>
        <w:t xml:space="preserve">dentify issues, coordinate action and </w:t>
      </w:r>
      <w:r w:rsidR="00265BB0">
        <w:t>prevention opportunities</w:t>
      </w:r>
      <w:r>
        <w:t>.</w:t>
      </w:r>
    </w:p>
    <w:p w14:paraId="5FEC4E9C" w14:textId="4D7FB1AA" w:rsidR="004E389B" w:rsidRDefault="00265BB0" w:rsidP="00BD21DF">
      <w:pPr>
        <w:pStyle w:val="Heading4"/>
      </w:pPr>
      <w:r>
        <w:t>National Rural, Acquisitive &amp; Business Preventions Team</w:t>
      </w:r>
    </w:p>
    <w:p w14:paraId="5171D2D6" w14:textId="3DF9CCE1" w:rsidR="004E389B" w:rsidRDefault="004E389B" w:rsidP="004E389B">
      <w:r>
        <w:t>Police Scotland’s National Rural, Acquisitive &amp; Business Preventions team (RAB-PT) along with the Children and Young People (CYP) Unit are progressing an education package in conjunction with RAC for school aged children. This will be rolled out at engagement days in secondary schools in response to this age group being the highest growing demographic for shoplifting</w:t>
      </w:r>
      <w:r w:rsidR="0040757B">
        <w:t>.</w:t>
      </w:r>
    </w:p>
    <w:p w14:paraId="16B242D9" w14:textId="250A141E" w:rsidR="004E389B" w:rsidRDefault="004E389B" w:rsidP="004E389B">
      <w:r>
        <w:t xml:space="preserve">De-escalation training and lone worker training has been developed by </w:t>
      </w:r>
      <w:r w:rsidR="00416074">
        <w:t>the</w:t>
      </w:r>
      <w:r>
        <w:t xml:space="preserve"> RAB-PT and will be delivered by local prevention teams regionally to retail workers.</w:t>
      </w:r>
    </w:p>
    <w:p w14:paraId="0D3291B1" w14:textId="1F7E25ED" w:rsidR="00AD5C55" w:rsidRDefault="00AD5C55" w:rsidP="00C42257">
      <w:pPr>
        <w:rPr>
          <w:rFonts w:eastAsia="Times New Roman" w:cs="Arial"/>
          <w:b/>
          <w:bCs/>
          <w:color w:val="1F4E79" w:themeColor="accent1" w:themeShade="80"/>
        </w:rPr>
      </w:pPr>
      <w:r>
        <w:br w:type="page"/>
      </w:r>
    </w:p>
    <w:p w14:paraId="2F7EF1F6" w14:textId="0D07A950" w:rsidR="00AD5C55" w:rsidRDefault="00AD5C55" w:rsidP="00752630">
      <w:pPr>
        <w:pStyle w:val="Heading3"/>
      </w:pPr>
      <w:bookmarkStart w:id="18" w:name="UES"/>
      <w:bookmarkStart w:id="19" w:name="_Toc182915890"/>
      <w:bookmarkEnd w:id="18"/>
      <w:r>
        <w:lastRenderedPageBreak/>
        <w:t>Key Insight: Increased User Experience Satisfaction Across All Regions</w:t>
      </w:r>
      <w:bookmarkEnd w:id="19"/>
    </w:p>
    <w:p w14:paraId="34153D17" w14:textId="77777777" w:rsidR="00AD5C55" w:rsidRDefault="00AD5C55" w:rsidP="00AD5C55">
      <w:r>
        <w:rPr>
          <w:noProof/>
        </w:rPr>
        <w:drawing>
          <wp:inline distT="0" distB="0" distL="0" distR="0" wp14:anchorId="015D3829" wp14:editId="70401FE2">
            <wp:extent cx="6188710" cy="561975"/>
            <wp:effectExtent l="0" t="0" r="2540" b="9525"/>
            <wp:docPr id="332554352" name="Picture 1" descr="Police Scotland User Experience Satisfaction Comparison Table&#10;This row shows user experience overall satisfaction with Police Scotland was 67.0% PYTD compared to 69.7% YTD (up 2.7% points on last year). The six-month sparklines show 69.9% satisfaction in April; a low of 69.2% satisfaction in May and June; 69.7% satisfaction in July; and a high of 70.2% satisfaction in August and September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54352" name="Picture 1" descr="Police Scotland User Experience Satisfaction Comparison Table&#10;This row shows user experience overall satisfaction with Police Scotland was 67.0% PYTD compared to 69.7% YTD (up 2.7% points on last year). The six-month sparklines show 69.9% satisfaction in April; a low of 69.2% satisfaction in May and June; 69.7% satisfaction in July; and a high of 70.2% satisfaction in August and September 2024.&#10;"/>
                    <pic:cNvPicPr/>
                  </pic:nvPicPr>
                  <pic:blipFill>
                    <a:blip r:embed="rId17"/>
                    <a:stretch>
                      <a:fillRect/>
                    </a:stretch>
                  </pic:blipFill>
                  <pic:spPr>
                    <a:xfrm>
                      <a:off x="0" y="0"/>
                      <a:ext cx="6188710" cy="561975"/>
                    </a:xfrm>
                    <a:prstGeom prst="rect">
                      <a:avLst/>
                    </a:prstGeom>
                  </pic:spPr>
                </pic:pic>
              </a:graphicData>
            </a:graphic>
          </wp:inline>
        </w:drawing>
      </w:r>
    </w:p>
    <w:p w14:paraId="2DD56337" w14:textId="4C7F174C" w:rsidR="00AD5C55" w:rsidRPr="00EF648E" w:rsidRDefault="00AD5C55" w:rsidP="00AD5C55">
      <w:r w:rsidRPr="00EF648E">
        <w:t xml:space="preserve">Overall satisfaction with Police Scotland is up 2.7% points on last year, </w:t>
      </w:r>
      <w:r w:rsidR="00F84C62">
        <w:t>t</w:t>
      </w:r>
      <w:r w:rsidRPr="00EF648E">
        <w:t>his equates to over two-thirds of respondents to our User Experience Survey in the YTD. The six-month sparklines shows satisfaction levels have been going on an upward trend since Quarter 1 into Quarter 2 with over 70% satisfaction in August and September 2024.</w:t>
      </w:r>
    </w:p>
    <w:p w14:paraId="6E4BEFDF" w14:textId="77777777" w:rsidR="00AD5C55" w:rsidRPr="00EF648E" w:rsidRDefault="00AD5C55" w:rsidP="00AD5C55">
      <w:r w:rsidRPr="00EF648E">
        <w:t>A positive experience with police service is strongly associated with feelings of fair treatment, respect and being informed. This is linked to behaviours such as: listening without judgement; empathy and understanding; openness and transparency; showing respect in all actions; and apologising if a mistake has been made.</w:t>
      </w:r>
    </w:p>
    <w:p w14:paraId="723E355F" w14:textId="77777777" w:rsidR="00AD5C55" w:rsidRDefault="00AD5C55" w:rsidP="00AD5C55">
      <w:r>
        <w:rPr>
          <w:noProof/>
        </w:rPr>
        <w:drawing>
          <wp:inline distT="0" distB="0" distL="0" distR="0" wp14:anchorId="67141AA2" wp14:editId="094EB60F">
            <wp:extent cx="6188710" cy="1391920"/>
            <wp:effectExtent l="0" t="0" r="2540" b="0"/>
            <wp:docPr id="216190786" name="Picture 1" descr="North Region User Experience Satisfaction Comparison Table&#10;The first row shows user experience overall satisfaction in the North region was 65.0% PYTD compared to 67.7% YTD (up 2.7% points on last year). The six-month sparklines show 68.6% satisfaction in April; a low of 65.3% satisfaction in May; 66.9% satisfaction in June; 67.0% satisfaction in July; a high of 69.6% satisfaction in August; and 68.2% satisfaction in September 2024.&#10;The second row shows user experience overall satisfaction in North East (A Division) was 65.4% PYTD compared to 68.0% YTD (up 2.6% points on last year). The six-month sparklines show 72.6% satisfaction in April; 67.4% satisfaction in May; a low of 60.2% satisfaction in June; 63.6% satisfaction in July; a high of 76.4% satisfaction in August; and 65.5% satisfaction in September 2024.&#10;The third row shows user experience overall satisfaction in Tayside (D Division) was 60.1% PYTD compared to 66.8% YTD (up 6.7% points on last year). The six-month sparklines show a low of 59.6% satisfaction in April; 62.1% satisfaction in May; 75.9% satisfaction in June; 64.2% satisfaction in July; 64.2% satisfaction in August; and a high of 76.8% satisfaction in September 2024.&#10;The fourth row shows user experience overall satisfaction in Highland and Islands (N Division) was 70.0% PYTD compared to 68.3% YTD (down 1.7% points on last year). The six-month sparklines show 71.8% satisfaction in April; 66.7% satisfaction in May; 65.2% satisfaction in June; a high of 78.9% satisfaction in July; 66.7% satisfaction in August; and a low of 61.9% satisfaction in September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90786" name="Picture 1" descr="North Region User Experience Satisfaction Comparison Table&#10;The first row shows user experience overall satisfaction in the North region was 65.0% PYTD compared to 67.7% YTD (up 2.7% points on last year). The six-month sparklines show 68.6% satisfaction in April; a low of 65.3% satisfaction in May; 66.9% satisfaction in June; 67.0% satisfaction in July; a high of 69.6% satisfaction in August; and 68.2% satisfaction in September 2024.&#10;The second row shows user experience overall satisfaction in North East (A Division) was 65.4% PYTD compared to 68.0% YTD (up 2.6% points on last year). The six-month sparklines show 72.6% satisfaction in April; 67.4% satisfaction in May; a low of 60.2% satisfaction in June; 63.6% satisfaction in July; a high of 76.4% satisfaction in August; and 65.5% satisfaction in September 2024.&#10;The third row shows user experience overall satisfaction in Tayside (D Division) was 60.1% PYTD compared to 66.8% YTD (up 6.7% points on last year). The six-month sparklines show a low of 59.6% satisfaction in April; 62.1% satisfaction in May; 75.9% satisfaction in June; 64.2% satisfaction in July; 64.2% satisfaction in August; and a high of 76.8% satisfaction in September 2024.&#10;The fourth row shows user experience overall satisfaction in Highland and Islands (N Division) was 70.0% PYTD compared to 68.3% YTD (down 1.7% points on last year). The six-month sparklines show 71.8% satisfaction in April; 66.7% satisfaction in May; 65.2% satisfaction in June; a high of 78.9% satisfaction in July; 66.7% satisfaction in August; and a low of 61.9% satisfaction in September 2024.&#10;"/>
                    <pic:cNvPicPr/>
                  </pic:nvPicPr>
                  <pic:blipFill>
                    <a:blip r:embed="rId18"/>
                    <a:stretch>
                      <a:fillRect/>
                    </a:stretch>
                  </pic:blipFill>
                  <pic:spPr>
                    <a:xfrm>
                      <a:off x="0" y="0"/>
                      <a:ext cx="6188710" cy="1391920"/>
                    </a:xfrm>
                    <a:prstGeom prst="rect">
                      <a:avLst/>
                    </a:prstGeom>
                  </pic:spPr>
                </pic:pic>
              </a:graphicData>
            </a:graphic>
          </wp:inline>
        </w:drawing>
      </w:r>
    </w:p>
    <w:p w14:paraId="579264FD" w14:textId="30843862" w:rsidR="00AD5C55" w:rsidRPr="00EF648E" w:rsidRDefault="00AD5C55" w:rsidP="00AD5C55">
      <w:r w:rsidRPr="00EF648E">
        <w:t xml:space="preserve">The North region is up 2.7% points on last year with increases noted in the North East (up 2.6% points) and Tayside (up 6.7% points). </w:t>
      </w:r>
      <w:r>
        <w:t xml:space="preserve">Tayside has </w:t>
      </w:r>
      <w:r w:rsidRPr="00EF648E">
        <w:t>recorded the third highest percentage point increase across all of Scotland</w:t>
      </w:r>
      <w:r w:rsidR="00153CC1">
        <w:t>.</w:t>
      </w:r>
    </w:p>
    <w:p w14:paraId="263911E8" w14:textId="2AC7B584" w:rsidR="00AD5C55" w:rsidRDefault="00AD5C55" w:rsidP="00AD5C55">
      <w:r w:rsidRPr="00EF648E">
        <w:t>Highland and Islands</w:t>
      </w:r>
      <w:r>
        <w:t>,</w:t>
      </w:r>
      <w:r w:rsidRPr="00EF648E">
        <w:t xml:space="preserve"> whilst down on last year</w:t>
      </w:r>
      <w:r>
        <w:t>,</w:t>
      </w:r>
      <w:r w:rsidRPr="00EF648E">
        <w:t xml:space="preserve"> have still record</w:t>
      </w:r>
      <w:r w:rsidR="00F7524E">
        <w:t>ed</w:t>
      </w:r>
      <w:r w:rsidRPr="00EF648E">
        <w:t xml:space="preserve"> the highest satisfaction rate in the region at 68.3%. </w:t>
      </w:r>
      <w:r>
        <w:t>The</w:t>
      </w:r>
      <w:r w:rsidRPr="00EF648E">
        <w:t xml:space="preserve"> </w:t>
      </w:r>
      <w:r>
        <w:t>d</w:t>
      </w:r>
      <w:r w:rsidRPr="00EF648E">
        <w:t>ivision</w:t>
      </w:r>
      <w:r>
        <w:t>’s</w:t>
      </w:r>
      <w:r w:rsidRPr="00EF648E">
        <w:t xml:space="preserve"> sparkline however is showing a downward trend in Quarter 2.</w:t>
      </w:r>
    </w:p>
    <w:p w14:paraId="7670BC82" w14:textId="77777777" w:rsidR="00AD5C55" w:rsidRPr="00EF648E" w:rsidRDefault="00AD5C55" w:rsidP="00AD5C55">
      <w:r>
        <w:t>All three divisions have had at least one month this YTD where overall satisfaction was recorded above 75% with a high of 76.4% in North East in August, 76.8% in Tayside in September and 78.9% in Highland &amp; Islands in July.</w:t>
      </w:r>
      <w:r w:rsidRPr="00EF648E">
        <w:t xml:space="preserve"> </w:t>
      </w:r>
    </w:p>
    <w:p w14:paraId="5DFCAF27" w14:textId="77777777" w:rsidR="00AD5C55" w:rsidRDefault="00AD5C55" w:rsidP="00AD5C55">
      <w:r>
        <w:rPr>
          <w:noProof/>
        </w:rPr>
        <w:drawing>
          <wp:inline distT="0" distB="0" distL="0" distR="0" wp14:anchorId="2BAB24EF" wp14:editId="5FB4A33D">
            <wp:extent cx="6188710" cy="1669415"/>
            <wp:effectExtent l="0" t="0" r="2540" b="6985"/>
            <wp:docPr id="1442452765" name="Picture 1" descr="East Region User Experience Satisfaction Comparison Table&#10;The first row shows user experience overall satisfaction in the East region was 62.7% PYTD compared to 68.9% YTD (up 6.2% points on last year). The six-month sparklines show 68.4% satisfaction in April; a high of 70.6% satisfaction in May; 69.4% satisfaction in June; a low of 67.5% satisfaction in July; 68.4% satisfaction in August; and 69.0% satisfaction in September 2024.&#10;The second row shows user experience overall satisfaction in Forth Valley (C Division) was 56.9% PYTD compared to 67.8% YTD (up 10.9% points on last year). The six-month sparklines show a high of 75.0% satisfaction in April; 67.3% satisfaction in May; 62.9% satisfaction in June; a low of 61.8% satisfaction in July; 66.7% satisfaction in August; and 73.1% satisfaction in September 2024.&#10;The third row shows user experience overall satisfaction in Edinburgh (E Division) was 63.4% PYTD compared to 72.1% YTD (up 8.7% points on last year). The six-month sparklines show 70.5% satisfaction in April; a high of 77.1% satisfaction in May; 76.0% satisfaction in June; 70.8% satisfaction in July; 70.2% satisfaction in August; and a low of 67.3% satisfaction in September 2024.&#10;The fourth row shows user experience overall satisfaction in The Lothians and Scottish Borders (J Division) was 62.7% PYTD compared to 68.9% YTD (up 6.2% points on last year). The six-month sparklines show a low of 65.5% satisfaction in April; 67.6% satisfaction in May; 69.2% satisfaction in June; 67.9% satisfaction in July; 71.7% satisfaction in August; and a high of 72.1% satisfaction in September 2024.&#10;The fifth row shows user experience overall satisfaction in Fife (P Division) was 65.5% PYTD compared to 63.7% YTD (down 1.8% points on last year). The six-month sparklines show 63.1% satisfaction in April; 63.2% satisfaction in May; 63.8% satisfaction in June; a high of 65.3% satisfaction in July; a low of 62.5% satisfaction in August; and 64.1% satisfaction in September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52765" name="Picture 1" descr="East Region User Experience Satisfaction Comparison Table&#10;The first row shows user experience overall satisfaction in the East region was 62.7% PYTD compared to 68.9% YTD (up 6.2% points on last year). The six-month sparklines show 68.4% satisfaction in April; a high of 70.6% satisfaction in May; 69.4% satisfaction in June; a low of 67.5% satisfaction in July; 68.4% satisfaction in August; and 69.0% satisfaction in September 2024.&#10;The second row shows user experience overall satisfaction in Forth Valley (C Division) was 56.9% PYTD compared to 67.8% YTD (up 10.9% points on last year). The six-month sparklines show a high of 75.0% satisfaction in April; 67.3% satisfaction in May; 62.9% satisfaction in June; a low of 61.8% satisfaction in July; 66.7% satisfaction in August; and 73.1% satisfaction in September 2024.&#10;The third row shows user experience overall satisfaction in Edinburgh (E Division) was 63.4% PYTD compared to 72.1% YTD (up 8.7% points on last year). The six-month sparklines show 70.5% satisfaction in April; a high of 77.1% satisfaction in May; 76.0% satisfaction in June; 70.8% satisfaction in July; 70.2% satisfaction in August; and a low of 67.3% satisfaction in September 2024.&#10;The fourth row shows user experience overall satisfaction in The Lothians and Scottish Borders (J Division) was 62.7% PYTD compared to 68.9% YTD (up 6.2% points on last year). The six-month sparklines show a low of 65.5% satisfaction in April; 67.6% satisfaction in May; 69.2% satisfaction in June; 67.9% satisfaction in July; 71.7% satisfaction in August; and a high of 72.1% satisfaction in September 2024.&#10;The fifth row shows user experience overall satisfaction in Fife (P Division) was 65.5% PYTD compared to 63.7% YTD (down 1.8% points on last year). The six-month sparklines show 63.1% satisfaction in April; 63.2% satisfaction in May; 63.8% satisfaction in June; a high of 65.3% satisfaction in July; a low of 62.5% satisfaction in August; and 64.1% satisfaction in September 2024.&#10;"/>
                    <pic:cNvPicPr/>
                  </pic:nvPicPr>
                  <pic:blipFill>
                    <a:blip r:embed="rId19"/>
                    <a:stretch>
                      <a:fillRect/>
                    </a:stretch>
                  </pic:blipFill>
                  <pic:spPr>
                    <a:xfrm>
                      <a:off x="0" y="0"/>
                      <a:ext cx="6188710" cy="1669415"/>
                    </a:xfrm>
                    <a:prstGeom prst="rect">
                      <a:avLst/>
                    </a:prstGeom>
                  </pic:spPr>
                </pic:pic>
              </a:graphicData>
            </a:graphic>
          </wp:inline>
        </w:drawing>
      </w:r>
    </w:p>
    <w:p w14:paraId="41D8429C" w14:textId="77777777" w:rsidR="00AD5C55" w:rsidRPr="00DA0A32" w:rsidRDefault="00AD5C55" w:rsidP="00AD5C55">
      <w:r w:rsidRPr="00DA0A32">
        <w:t xml:space="preserve">The East region is up 6.2% points on last year, which is the largest percentage point increase across all of the regions. Significant increases are noted in </w:t>
      </w:r>
      <w:proofErr w:type="spellStart"/>
      <w:r w:rsidRPr="00DA0A32">
        <w:t>Forth</w:t>
      </w:r>
      <w:proofErr w:type="spellEnd"/>
      <w:r w:rsidRPr="00DA0A32">
        <w:t xml:space="preserve"> Valley (up 10.9% points), Edinburgh (up 8.7% points) &amp; The Lothians and Scottish Borders (up 6.2% points). </w:t>
      </w:r>
      <w:r w:rsidRPr="00DA0A32">
        <w:lastRenderedPageBreak/>
        <w:t>These increases are the first, second and fourth largest respectively across the country. Edinburgh is one of only four division</w:t>
      </w:r>
      <w:r>
        <w:t>s</w:t>
      </w:r>
      <w:r w:rsidRPr="00DA0A32">
        <w:t xml:space="preserve"> to record overall satisfaction levels above 70%.</w:t>
      </w:r>
    </w:p>
    <w:p w14:paraId="2080338A" w14:textId="77777777" w:rsidR="00AD5C55" w:rsidRPr="00DA0A32" w:rsidRDefault="00AD5C55" w:rsidP="00AD5C55">
      <w:r w:rsidRPr="00DA0A32">
        <w:t xml:space="preserve">All three divisions have had at least one month this YTD where overall satisfaction was </w:t>
      </w:r>
      <w:r>
        <w:t xml:space="preserve">recorded </w:t>
      </w:r>
      <w:r w:rsidRPr="00DA0A32">
        <w:t xml:space="preserve">above 70% with </w:t>
      </w:r>
      <w:r>
        <w:t xml:space="preserve">a high of </w:t>
      </w:r>
      <w:r w:rsidRPr="00DA0A32">
        <w:t xml:space="preserve">75.0% in </w:t>
      </w:r>
      <w:proofErr w:type="spellStart"/>
      <w:r w:rsidRPr="00DA0A32">
        <w:t>Forth</w:t>
      </w:r>
      <w:proofErr w:type="spellEnd"/>
      <w:r w:rsidRPr="00DA0A32">
        <w:t xml:space="preserve"> Valley in April, 77.1% in Edinburgh in May and 72.1%</w:t>
      </w:r>
      <w:r>
        <w:t xml:space="preserve"> </w:t>
      </w:r>
      <w:r w:rsidRPr="00DA0A32">
        <w:t>in The Lothians and Scottish Borders in September</w:t>
      </w:r>
      <w:r>
        <w:t>.</w:t>
      </w:r>
    </w:p>
    <w:p w14:paraId="7145F8F1" w14:textId="77777777" w:rsidR="00AD5C55" w:rsidRPr="00DA0A32" w:rsidRDefault="00AD5C55" w:rsidP="00AD5C55">
      <w:r w:rsidRPr="00DA0A32">
        <w:t>Fife (down 1.8% on last year) has recorded the largest percentage point decrease in the country and has the lowest satisfaction amongst all 13 divisions. Satisfaction levels in Quarter 2 are however up slightly on Quarter 1 with a YTD high of 65.3% in July 2024.</w:t>
      </w:r>
    </w:p>
    <w:p w14:paraId="246C1E27" w14:textId="77777777" w:rsidR="00AD5C55" w:rsidRDefault="00AD5C55" w:rsidP="00AD5C55">
      <w:r>
        <w:rPr>
          <w:noProof/>
        </w:rPr>
        <w:drawing>
          <wp:inline distT="0" distB="0" distL="0" distR="0" wp14:anchorId="2FE740C4" wp14:editId="55AC5E5E">
            <wp:extent cx="6188710" cy="2235835"/>
            <wp:effectExtent l="0" t="0" r="2540" b="0"/>
            <wp:docPr id="1512177114" name="Picture 1" descr="West Region User Experience Satisfaction Comparison Table&#10;The first row shows user experience overall satisfaction in the West region was 70.9% PYTD compared to 71.3% YTD (up 0.4% points on last year). The six-month sparklines show 71.7% satisfaction in April; a low of 69.9% satisfaction in May; 70.0% satisfaction in June; a high of 72.2% satisfaction in July; 71.9% satisfaction in August; and 71.7% satisfaction in September 2024.&#10;The second row shows user experience overall satisfaction in Greater Glasgow (G Division) was 73.2% PYTD compared to 72.2% YTD (down 1.0% points on last year). The six-month sparklines show 73.8% satisfaction in April; 72.7% satisfaction in May; a low of 67.9% satisfaction in June; a high of 75.7% satisfaction in July; 70.2% satisfaction in August; and 71.3% satisfaction in September 2024.&#10;The third row shows user experience overall satisfaction in Ayrshire (U Division) was 68.9% PYTD compared to 69.1% YTD (up 0.2% points on last year). The six-month sparklines show 70.7% satisfaction in April; 68.3% satisfaction in May; 70.7% satisfaction in June; a low of 63.0% satisfaction in July; 70.4% satisfaction in August; and a high of 71.4% satisfaction in September 2024.&#10;The fourth row shows user experience overall satisfaction in Lanarkshire (Q Division) was 70.6% PYTD compared to 72.0% YTD (up 1.4% points on last year). The six-month sparklines show 69.6% satisfaction in April; 70.8% satisfaction in May; 73.5% satisfaction in June; a low of 69.1% satisfaction in July; a high of 75.2% satisfaction in August; and 73.7% satisfaction in September 2024.&#10;The fifth row shows user experience overall satisfaction in Renfrewshire and Inverclyde (K Division) was 71.5% PYTD compared to 72.1% YTD (up 0.6% points on last year). The six-month sparklines show 73.7% satisfaction in April; a low of 65.5% satisfaction in May; 66.7% satisfaction in June; 77.2% satisfaction in July; 72.3% satisfaction in August; and a high of 78.4% satisfaction in September 2024.&#10;The sixth row shows user experience overall satisfaction in Argyll and West Dunbartonshire (L Division) was 70.5% PYTD compared to 69.0% YTD (down 1.5% points on last year). The six-month sparklines show 70.2% satisfaction in April; a low of 64.3% satisfaction in May; 69.1% satisfaction in June; 66.7% satisfaction in July; 69.8% satisfaction in August; and a high of 73.3% satisfaction in September 2024.&#10;The seventh row shows user experience overall satisfaction in Dumfries and Galloway (V Division) was 64.1% PYTD compared to 69.6% YTD (up 5.5% points on last year). The six-month sparklines show 70.8% satisfaction in April; 65.9% satisfaction in May; 69.8% satisfaction in June; a high of 76.5% satisfaction in July; 73.5% satisfaction in August; and a low of 57.8% satisfaction in September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77114" name="Picture 1" descr="West Region User Experience Satisfaction Comparison Table&#10;The first row shows user experience overall satisfaction in the West region was 70.9% PYTD compared to 71.3% YTD (up 0.4% points on last year). The six-month sparklines show 71.7% satisfaction in April; a low of 69.9% satisfaction in May; 70.0% satisfaction in June; a high of 72.2% satisfaction in July; 71.9% satisfaction in August; and 71.7% satisfaction in September 2024.&#10;The second row shows user experience overall satisfaction in Greater Glasgow (G Division) was 73.2% PYTD compared to 72.2% YTD (down 1.0% points on last year). The six-month sparklines show 73.8% satisfaction in April; 72.7% satisfaction in May; a low of 67.9% satisfaction in June; a high of 75.7% satisfaction in July; 70.2% satisfaction in August; and 71.3% satisfaction in September 2024.&#10;The third row shows user experience overall satisfaction in Ayrshire (U Division) was 68.9% PYTD compared to 69.1% YTD (up 0.2% points on last year). The six-month sparklines show 70.7% satisfaction in April; 68.3% satisfaction in May; 70.7% satisfaction in June; a low of 63.0% satisfaction in July; 70.4% satisfaction in August; and a high of 71.4% satisfaction in September 2024.&#10;The fourth row shows user experience overall satisfaction in Lanarkshire (Q Division) was 70.6% PYTD compared to 72.0% YTD (up 1.4% points on last year). The six-month sparklines show 69.6% satisfaction in April; 70.8% satisfaction in May; 73.5% satisfaction in June; a low of 69.1% satisfaction in July; a high of 75.2% satisfaction in August; and 73.7% satisfaction in September 2024.&#10;The fifth row shows user experience overall satisfaction in Renfrewshire and Inverclyde (K Division) was 71.5% PYTD compared to 72.1% YTD (up 0.6% points on last year). The six-month sparklines show 73.7% satisfaction in April; a low of 65.5% satisfaction in May; 66.7% satisfaction in June; 77.2% satisfaction in July; 72.3% satisfaction in August; and a high of 78.4% satisfaction in September 2024.&#10;The sixth row shows user experience overall satisfaction in Argyll and West Dunbartonshire (L Division) was 70.5% PYTD compared to 69.0% YTD (down 1.5% points on last year). The six-month sparklines show 70.2% satisfaction in April; a low of 64.3% satisfaction in May; 69.1% satisfaction in June; 66.7% satisfaction in July; 69.8% satisfaction in August; and a high of 73.3% satisfaction in September 2024.&#10;The seventh row shows user experience overall satisfaction in Dumfries and Galloway (V Division) was 64.1% PYTD compared to 69.6% YTD (up 5.5% points on last year). The six-month sparklines show 70.8% satisfaction in April; 65.9% satisfaction in May; 69.8% satisfaction in June; a high of 76.5% satisfaction in July; 73.5% satisfaction in August; and a low of 57.8% satisfaction in September 2024.&#10;"/>
                    <pic:cNvPicPr/>
                  </pic:nvPicPr>
                  <pic:blipFill>
                    <a:blip r:embed="rId20"/>
                    <a:stretch>
                      <a:fillRect/>
                    </a:stretch>
                  </pic:blipFill>
                  <pic:spPr>
                    <a:xfrm>
                      <a:off x="0" y="0"/>
                      <a:ext cx="6188710" cy="2235835"/>
                    </a:xfrm>
                    <a:prstGeom prst="rect">
                      <a:avLst/>
                    </a:prstGeom>
                  </pic:spPr>
                </pic:pic>
              </a:graphicData>
            </a:graphic>
          </wp:inline>
        </w:drawing>
      </w:r>
    </w:p>
    <w:p w14:paraId="62CD8785" w14:textId="77777777" w:rsidR="00AD5C55" w:rsidRPr="00147330" w:rsidRDefault="00AD5C55" w:rsidP="00AD5C55">
      <w:r w:rsidRPr="00147330">
        <w:t>The West region is up 0.4% points on last year. Whilst this is the smallest percentage point increase of the three regions, the West still remains the region with the biggest satisfaction levels at 71.3%. Increases are noted in four of the six divisions within the region.</w:t>
      </w:r>
    </w:p>
    <w:p w14:paraId="01D4F2DB" w14:textId="77777777" w:rsidR="00AD5C55" w:rsidRPr="00147330" w:rsidRDefault="00AD5C55" w:rsidP="00AD5C55">
      <w:r w:rsidRPr="00147330">
        <w:t>Greater Glasgow is down 1.0% points on last year however the division has still recorded the highest satisfaction rate of all 13 divisions with YTD overall satisfaction of 72.2%. Strong overall satisfaction levels are noted across the region with Lanarkshire (72.0%) and Renfrewshire &amp; Inverclyde (72.1%) also above the Police Scotland satisfaction rate of 69.7%.</w:t>
      </w:r>
    </w:p>
    <w:p w14:paraId="6175607F" w14:textId="77777777" w:rsidR="00AD5C55" w:rsidRPr="00147330" w:rsidRDefault="00AD5C55" w:rsidP="00AD5C55">
      <w:r w:rsidRPr="00147330">
        <w:t>Ayrshire (69.1%), Argyll and West Dunbartonshire (69.0%) &amp; Dumfries and Galloway (69.6%) are all just slightly below the force average but still performing strongly.</w:t>
      </w:r>
    </w:p>
    <w:p w14:paraId="201A7FEF" w14:textId="77777777" w:rsidR="00037F4A" w:rsidRDefault="00AD5C55" w:rsidP="00AD5C55">
      <w:r w:rsidRPr="00147330">
        <w:t xml:space="preserve">All </w:t>
      </w:r>
      <w:r>
        <w:t>six</w:t>
      </w:r>
      <w:r w:rsidRPr="00147330">
        <w:t xml:space="preserve"> divisions have had at least one month this YTD where overall satisfaction was </w:t>
      </w:r>
      <w:r>
        <w:t xml:space="preserve">recorded </w:t>
      </w:r>
      <w:r w:rsidRPr="00147330">
        <w:t>above 7</w:t>
      </w:r>
      <w:r>
        <w:t>0</w:t>
      </w:r>
      <w:r w:rsidRPr="00147330">
        <w:t xml:space="preserve">% with </w:t>
      </w:r>
      <w:r>
        <w:t>a high of 75.7% in Greater Glasgow in July; 71.4% in Ayrshire in September; 75.2% in Lanarkshire in August; 78.4% in Renfrewshire and Inverclyde in September; 73.3% in Argyll and West Dunbartonshire in September; and 76.5% in Dumfries and Galloway in July.</w:t>
      </w:r>
    </w:p>
    <w:p w14:paraId="365FA749" w14:textId="55119F56" w:rsidR="00AD5C55" w:rsidRDefault="00AD5C55" w:rsidP="00AD5C55">
      <w:r>
        <w:br w:type="page"/>
      </w:r>
    </w:p>
    <w:p w14:paraId="2390244E" w14:textId="77777777" w:rsidR="0095021C" w:rsidRDefault="0095021C" w:rsidP="0095021C">
      <w:pPr>
        <w:pStyle w:val="Heading3"/>
      </w:pPr>
      <w:bookmarkStart w:id="20" w:name="_Toc182915891"/>
      <w:bookmarkStart w:id="21" w:name="_Toc140746129"/>
      <w:bookmarkStart w:id="22" w:name="_Toc140750244"/>
      <w:bookmarkStart w:id="23" w:name="_Toc142045262"/>
      <w:bookmarkStart w:id="24" w:name="_Toc157687362"/>
      <w:bookmarkStart w:id="25" w:name="_Toc157696606"/>
      <w:r>
        <w:lastRenderedPageBreak/>
        <w:t>Vision 2030: Less Crime</w:t>
      </w:r>
      <w:bookmarkEnd w:id="20"/>
    </w:p>
    <w:p w14:paraId="6BCD8E96" w14:textId="77777777" w:rsidR="0095021C" w:rsidRDefault="0095021C" w:rsidP="0095021C">
      <w:r>
        <w:t>The following sections have all been aligned under Vision 2030: Less Crime for the purposes of this Quarter 2 report. Some business areas however could potentially be aligned under multiple commitments. This will be developed further in future reporting.</w:t>
      </w:r>
    </w:p>
    <w:p w14:paraId="47E410EB" w14:textId="77777777" w:rsidR="0095021C" w:rsidRDefault="0095021C" w:rsidP="0095021C">
      <w:pPr>
        <w:pStyle w:val="Heading4"/>
        <w:rPr>
          <w:lang w:eastAsia="en-GB"/>
        </w:rPr>
      </w:pPr>
      <w:r>
        <w:rPr>
          <w:lang w:eastAsia="en-GB"/>
        </w:rPr>
        <w:t>Overall Crimes and Offences</w:t>
      </w:r>
    </w:p>
    <w:p w14:paraId="1369EE1A" w14:textId="77777777" w:rsidR="0095021C" w:rsidRDefault="0095021C" w:rsidP="0095021C">
      <w:pPr>
        <w:rPr>
          <w:lang w:eastAsia="en-GB"/>
        </w:rPr>
      </w:pPr>
      <w:r w:rsidRPr="00681045">
        <w:rPr>
          <w:lang w:eastAsia="en-GB"/>
        </w:rPr>
        <w:t>The following table show</w:t>
      </w:r>
      <w:r>
        <w:rPr>
          <w:lang w:eastAsia="en-GB"/>
        </w:rPr>
        <w:t>s</w:t>
      </w:r>
      <w:r w:rsidRPr="00681045">
        <w:rPr>
          <w:lang w:eastAsia="en-GB"/>
        </w:rPr>
        <w:t xml:space="preserve"> management information relating to </w:t>
      </w:r>
      <w:r>
        <w:rPr>
          <w:lang w:eastAsia="en-GB"/>
        </w:rPr>
        <w:t xml:space="preserve">Groups 1-8 </w:t>
      </w:r>
      <w:r w:rsidRPr="00681045">
        <w:rPr>
          <w:lang w:eastAsia="en-GB"/>
        </w:rPr>
        <w:t>crimes and offences</w:t>
      </w:r>
      <w:r>
        <w:rPr>
          <w:lang w:eastAsia="en-GB"/>
        </w:rPr>
        <w:t>,</w:t>
      </w:r>
      <w:r w:rsidRPr="00681045">
        <w:rPr>
          <w:lang w:eastAsia="en-GB"/>
        </w:rPr>
        <w:t xml:space="preserve"> recorded by Police Scotland </w:t>
      </w:r>
      <w:r>
        <w:rPr>
          <w:lang w:eastAsia="en-GB"/>
        </w:rPr>
        <w:t xml:space="preserve">YTD at the end of </w:t>
      </w:r>
      <w:r w:rsidRPr="00681045">
        <w:rPr>
          <w:lang w:eastAsia="en-GB"/>
        </w:rPr>
        <w:t>Quarter 2</w:t>
      </w:r>
      <w:r>
        <w:rPr>
          <w:lang w:eastAsia="en-GB"/>
        </w:rPr>
        <w:t>, compared to the previous five years and the previous year-to-date</w:t>
      </w:r>
      <w:r w:rsidRPr="00681045">
        <w:rPr>
          <w:lang w:eastAsia="en-GB"/>
        </w:rPr>
        <w:t>.</w:t>
      </w:r>
    </w:p>
    <w:p w14:paraId="61E0100B" w14:textId="7A03F467" w:rsidR="0095021C" w:rsidRPr="00681045" w:rsidRDefault="0095021C" w:rsidP="0095021C">
      <w:pPr>
        <w:rPr>
          <w:lang w:eastAsia="en-GB"/>
        </w:rPr>
      </w:pPr>
      <w:r w:rsidRPr="00681045">
        <w:rPr>
          <w:lang w:eastAsia="en-GB"/>
        </w:rPr>
        <w:t>The total number of overall crimes and offences shows an increase compared to last year, up 3.2%, (7,673 more crimes and offences) and ha</w:t>
      </w:r>
      <w:r>
        <w:rPr>
          <w:lang w:eastAsia="en-GB"/>
        </w:rPr>
        <w:t>s</w:t>
      </w:r>
      <w:r w:rsidRPr="00681045">
        <w:rPr>
          <w:lang w:eastAsia="en-GB"/>
        </w:rPr>
        <w:t xml:space="preserve"> also increased against the five</w:t>
      </w:r>
      <w:r w:rsidR="00F16356" w:rsidRPr="00681045">
        <w:rPr>
          <w:lang w:eastAsia="en-GB"/>
        </w:rPr>
        <w:t>-</w:t>
      </w:r>
      <w:r w:rsidRPr="00681045">
        <w:rPr>
          <w:lang w:eastAsia="en-GB"/>
        </w:rPr>
        <w:t xml:space="preserve">year mean (up 2.4%, 5,802 more crimes and offences). All crime groups are up on last year bar Group </w:t>
      </w:r>
      <w:r w:rsidR="00F16356">
        <w:rPr>
          <w:lang w:eastAsia="en-GB"/>
        </w:rPr>
        <w:t xml:space="preserve">1 and </w:t>
      </w:r>
      <w:r w:rsidRPr="00681045">
        <w:rPr>
          <w:lang w:eastAsia="en-GB"/>
        </w:rPr>
        <w:t xml:space="preserve">4. Whilst Group 1, </w:t>
      </w:r>
      <w:r w:rsidR="00F16356">
        <w:rPr>
          <w:lang w:eastAsia="en-GB"/>
        </w:rPr>
        <w:t xml:space="preserve">2, </w:t>
      </w:r>
      <w:r w:rsidRPr="00681045">
        <w:rPr>
          <w:lang w:eastAsia="en-GB"/>
        </w:rPr>
        <w:t>3 and 7 crimes and offences are driving the increase against the five-year mean.</w:t>
      </w:r>
    </w:p>
    <w:p w14:paraId="6BD46377" w14:textId="77777777" w:rsidR="0095021C" w:rsidRDefault="0095021C" w:rsidP="0095021C">
      <w:pPr>
        <w:rPr>
          <w:lang w:eastAsia="en-GB"/>
        </w:rPr>
      </w:pPr>
      <w:r>
        <w:rPr>
          <w:noProof/>
        </w:rPr>
        <w:drawing>
          <wp:inline distT="0" distB="0" distL="0" distR="0" wp14:anchorId="55CE2F39" wp14:editId="61F68C13">
            <wp:extent cx="6188710" cy="3773805"/>
            <wp:effectExtent l="0" t="0" r="2540" b="0"/>
            <wp:docPr id="703337580" name="Picture 1" descr="Group 1-8 Recorded YTD Comparison:&#10;This table shows Group 1-8 crimes &amp; offences YTD comparisons against 2019/20 to 2023/24 YTD and the five-year mean alongside the % change from PYTD and five-year mean.&#10;The first row shows Group 1 non sexual crimes of violence: 35,062 in 2019/20; 32,671 in 2020/21; 34,927 in 2021/22; 35,041 in 2022/23; 37,474 in 2023/24; a five-year mean of 35,035.0; and 37,210 in 2024/25 YTD. This is down 0.7% on PYTD but up 6.2% on five-year mean.&#10;The second row shows Group 2 sexual crimes: 6,843 in 2019/20; 6,660 in 2020/21; 7,597 in 2021/22; 7,360 in 2022/23; 7,385 in 2023/24; a five-year mean of 7,169.0; and 7,622 in 2024/25 YTD. This is up 3.2% on PYTD and up 6.3% on five-year mean.&#10;The third row shows Group 3 crimes of dishonesty: 56,679 in 2019/20; 45,436 in 2020/21; 44,937 in 2021/22; 51,708 in 2022/23; 56,290 in 2023/24; a five-year mean of 51,010.0; and 58,116 in 2024/25 YTD. This is up 3.2% on PYTD and up 13.9% on five-year mean.&#10;The fourth row shows Group 4 damage and reckless behaviour: 24,492 in 2019/20; 21,812 in 2020/21; 22,656 in 2021/22; 22,669 in 2022/23; 21,621 in 2023/24; a five-year mean of 22,650.0; and 20,578 in 2024/25 YTD. This is down 4.8% on PYTD and down 9.1% on five-year mean.&#10;The fifth row shows Group 5 crimes against society: 33,625 in 2019/20; 37,146 in 2020/21; 32,975 in 2021/22; 30,594 in 2022/23; 31,960 in 2023/24; a five-year mean of 33,260.0; and 33,030 in 2024/25 YTD. This is up 3.3% on PYTD but down 0.7% on five-year mean.&#10;The sixth row shows Group 6 antisocial offences: 32,001 in 2019/20; 33,114 in 2020/21; 31,258 in 2021/22; 28,015 in 2022/23; 25,452 in 2023/24; a five-year mean of 29,968.0; and 27,357 in 2024/25 YTD. This is up 7.5% on PYTD but down 8.7% on five-year mean.&#10;The seventh row shows Group 7 miscellaneous offences: 5,663 in 2019/20; 6,958 in 2020/21; 6,520 in 2021/22; 6,262 in 2022/23; 6,608 in 2023/24; a five-year mean of 6,402.2; and 7,083 in 2024/25 YTD. This is up 7.2% on PYTD and up 10.6% on five-year mean.&#10;The eighth row shows Group 8 road traffic offences: 63,378 in 2019/20; 57,866 in 2020/21; 61,440 in 2021/22; 54,486 in 2022/23; 55,333 in 2023/24; a five-year mean of 58,500.6; and 58,800 in 2024/25 YTD. This is up 6.3% on PYTD and up 0.5% on five-year mean.&#10;And, the ninth row shows the total crimes &amp; offences: 257,743 in 2019/20; 241,663 in 2020/21; 242,310 in 2021/22; 236,135 in 2022/23; 242,123 in 2023/24; a five-year mean of 243,994.8; and 249,796 in 2024/25 YTD. This is up 3.2% on PYTD and up 2.4% on five-year me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37580" name="Picture 1" descr="Group 1-8 Recorded YTD Comparison:&#10;This table shows Group 1-8 crimes &amp; offences YTD comparisons against 2019/20 to 2023/24 YTD and the five-year mean alongside the % change from PYTD and five-year mean.&#10;The first row shows Group 1 non sexual crimes of violence: 35,062 in 2019/20; 32,671 in 2020/21; 34,927 in 2021/22; 35,041 in 2022/23; 37,474 in 2023/24; a five-year mean of 35,035.0; and 37,210 in 2024/25 YTD. This is down 0.7% on PYTD but up 6.2% on five-year mean.&#10;The second row shows Group 2 sexual crimes: 6,843 in 2019/20; 6,660 in 2020/21; 7,597 in 2021/22; 7,360 in 2022/23; 7,385 in 2023/24; a five-year mean of 7,169.0; and 7,622 in 2024/25 YTD. This is up 3.2% on PYTD and up 6.3% on five-year mean.&#10;The third row shows Group 3 crimes of dishonesty: 56,679 in 2019/20; 45,436 in 2020/21; 44,937 in 2021/22; 51,708 in 2022/23; 56,290 in 2023/24; a five-year mean of 51,010.0; and 58,116 in 2024/25 YTD. This is up 3.2% on PYTD and up 13.9% on five-year mean.&#10;The fourth row shows Group 4 damage and reckless behaviour: 24,492 in 2019/20; 21,812 in 2020/21; 22,656 in 2021/22; 22,669 in 2022/23; 21,621 in 2023/24; a five-year mean of 22,650.0; and 20,578 in 2024/25 YTD. This is down 4.8% on PYTD and down 9.1% on five-year mean.&#10;The fifth row shows Group 5 crimes against society: 33,625 in 2019/20; 37,146 in 2020/21; 32,975 in 2021/22; 30,594 in 2022/23; 31,960 in 2023/24; a five-year mean of 33,260.0; and 33,030 in 2024/25 YTD. This is up 3.3% on PYTD but down 0.7% on five-year mean.&#10;The sixth row shows Group 6 antisocial offences: 32,001 in 2019/20; 33,114 in 2020/21; 31,258 in 2021/22; 28,015 in 2022/23; 25,452 in 2023/24; a five-year mean of 29,968.0; and 27,357 in 2024/25 YTD. This is up 7.5% on PYTD but down 8.7% on five-year mean.&#10;The seventh row shows Group 7 miscellaneous offences: 5,663 in 2019/20; 6,958 in 2020/21; 6,520 in 2021/22; 6,262 in 2022/23; 6,608 in 2023/24; a five-year mean of 6,402.2; and 7,083 in 2024/25 YTD. This is up 7.2% on PYTD and up 10.6% on five-year mean.&#10;The eighth row shows Group 8 road traffic offences: 63,378 in 2019/20; 57,866 in 2020/21; 61,440 in 2021/22; 54,486 in 2022/23; 55,333 in 2023/24; a five-year mean of 58,500.6; and 58,800 in 2024/25 YTD. This is up 6.3% on PYTD and up 0.5% on five-year mean.&#10;And, the ninth row shows the total crimes &amp; offences: 257,743 in 2019/20; 241,663 in 2020/21; 242,310 in 2021/22; 236,135 in 2022/23; 242,123 in 2023/24; a five-year mean of 243,994.8; and 249,796 in 2024/25 YTD. This is up 3.2% on PYTD and up 2.4% on five-year mean.&#10;"/>
                    <pic:cNvPicPr/>
                  </pic:nvPicPr>
                  <pic:blipFill>
                    <a:blip r:embed="rId21"/>
                    <a:stretch>
                      <a:fillRect/>
                    </a:stretch>
                  </pic:blipFill>
                  <pic:spPr>
                    <a:xfrm>
                      <a:off x="0" y="0"/>
                      <a:ext cx="6188710" cy="3773805"/>
                    </a:xfrm>
                    <a:prstGeom prst="rect">
                      <a:avLst/>
                    </a:prstGeom>
                  </pic:spPr>
                </pic:pic>
              </a:graphicData>
            </a:graphic>
          </wp:inline>
        </w:drawing>
      </w:r>
    </w:p>
    <w:p w14:paraId="052E0FE9" w14:textId="59EEBA4F" w:rsidR="0095021C" w:rsidRPr="00E12E4A" w:rsidRDefault="0095021C" w:rsidP="0095021C">
      <w:pPr>
        <w:shd w:val="clear" w:color="auto" w:fill="FBE4D5" w:themeFill="accent2" w:themeFillTint="33"/>
        <w:rPr>
          <w:lang w:eastAsia="en-GB"/>
        </w:rPr>
      </w:pPr>
      <w:r w:rsidRPr="00E12E4A">
        <w:rPr>
          <w:lang w:eastAsia="en-GB"/>
        </w:rPr>
        <w:t xml:space="preserve">NOTE: Pentip is a cross-criminal justice platform used by all police forces in England, Scotland and Wales. It records and processes Fixed Penalty Notices (FPNs) and Conditional Offers for vehicle-based offences, such as speeding and red-light offences. </w:t>
      </w:r>
      <w:r w:rsidR="009D648F">
        <w:rPr>
          <w:lang w:eastAsia="en-GB"/>
        </w:rPr>
        <w:t>Due to a technical issue,</w:t>
      </w:r>
      <w:r w:rsidR="005A33E3">
        <w:rPr>
          <w:lang w:eastAsia="en-GB"/>
        </w:rPr>
        <w:t xml:space="preserve"> </w:t>
      </w:r>
      <w:r w:rsidR="009D648F">
        <w:rPr>
          <w:lang w:eastAsia="en-GB"/>
        </w:rPr>
        <w:t>p</w:t>
      </w:r>
      <w:r w:rsidRPr="00E12E4A">
        <w:rPr>
          <w:lang w:eastAsia="en-GB"/>
        </w:rPr>
        <w:t xml:space="preserve">lease note the figures shown in </w:t>
      </w:r>
      <w:r w:rsidR="005A33E3">
        <w:rPr>
          <w:lang w:eastAsia="en-GB"/>
        </w:rPr>
        <w:t>bold</w:t>
      </w:r>
      <w:r w:rsidR="005A33E3" w:rsidRPr="00E12E4A">
        <w:rPr>
          <w:lang w:eastAsia="en-GB"/>
        </w:rPr>
        <w:t xml:space="preserve"> </w:t>
      </w:r>
      <w:r w:rsidRPr="00E12E4A">
        <w:rPr>
          <w:lang w:eastAsia="en-GB"/>
        </w:rPr>
        <w:t>have been manually adjusted</w:t>
      </w:r>
      <w:r w:rsidR="005A33E3">
        <w:rPr>
          <w:lang w:eastAsia="en-GB"/>
        </w:rPr>
        <w:t xml:space="preserve"> </w:t>
      </w:r>
      <w:r w:rsidR="009D648F">
        <w:rPr>
          <w:lang w:eastAsia="en-GB"/>
        </w:rPr>
        <w:t>and work is ongoing to resolve recording issues.</w:t>
      </w:r>
    </w:p>
    <w:p w14:paraId="53250116" w14:textId="7605E3C1" w:rsidR="0095021C" w:rsidRPr="00681045" w:rsidRDefault="0095021C" w:rsidP="0095021C">
      <w:pPr>
        <w:rPr>
          <w:lang w:eastAsia="en-GB"/>
        </w:rPr>
      </w:pPr>
      <w:r w:rsidRPr="00681045">
        <w:rPr>
          <w:lang w:eastAsia="en-GB"/>
        </w:rPr>
        <w:t>Th</w:t>
      </w:r>
      <w:r>
        <w:rPr>
          <w:lang w:eastAsia="en-GB"/>
        </w:rPr>
        <w:t>e following</w:t>
      </w:r>
      <w:r w:rsidRPr="00681045">
        <w:rPr>
          <w:lang w:eastAsia="en-GB"/>
        </w:rPr>
        <w:t xml:space="preserve"> table shows the detection rate over the last five years by group including the overall detection rate. The overall detection rate, for all crimes and offences, is showing an increase compared to the previous year (up 2.0 percentage points) but a decrease compared to the five</w:t>
      </w:r>
      <w:r w:rsidR="007443A2" w:rsidRPr="00681045">
        <w:rPr>
          <w:lang w:eastAsia="en-GB"/>
        </w:rPr>
        <w:t>-</w:t>
      </w:r>
      <w:r w:rsidRPr="00681045">
        <w:rPr>
          <w:lang w:eastAsia="en-GB"/>
        </w:rPr>
        <w:t xml:space="preserve">year mean (down 1.5 percentage points). Processes around detection </w:t>
      </w:r>
      <w:r w:rsidRPr="00681045">
        <w:rPr>
          <w:lang w:eastAsia="en-GB"/>
        </w:rPr>
        <w:lastRenderedPageBreak/>
        <w:t xml:space="preserve">rates are multi-faceted and complex. They can be split into three broad headings: Demand; Organisational and Audit. The following could be considered some of the influencing factors both in terms of time to detect, and capability to </w:t>
      </w:r>
      <w:proofErr w:type="gramStart"/>
      <w:r w:rsidR="002C7C28" w:rsidRPr="00681045">
        <w:rPr>
          <w:lang w:eastAsia="en-GB"/>
        </w:rPr>
        <w:t>detect</w:t>
      </w:r>
      <w:r w:rsidR="002C7C28">
        <w:rPr>
          <w:lang w:eastAsia="en-GB"/>
        </w:rPr>
        <w:t>:</w:t>
      </w:r>
      <w:proofErr w:type="gramEnd"/>
      <w:r w:rsidRPr="00681045">
        <w:rPr>
          <w:lang w:eastAsia="en-GB"/>
        </w:rPr>
        <w:t xml:space="preserve"> increases in historical crimes; training; cyber-related crime; resourcing challenges; and evidential demand increase.</w:t>
      </w:r>
    </w:p>
    <w:p w14:paraId="4DA77F9C" w14:textId="77777777" w:rsidR="0095021C" w:rsidRDefault="0095021C" w:rsidP="0095021C">
      <w:pPr>
        <w:rPr>
          <w:lang w:eastAsia="en-GB"/>
        </w:rPr>
      </w:pPr>
      <w:r>
        <w:rPr>
          <w:noProof/>
        </w:rPr>
        <w:drawing>
          <wp:inline distT="0" distB="0" distL="0" distR="0" wp14:anchorId="4A68A418" wp14:editId="2B6C1BD7">
            <wp:extent cx="6188710" cy="3930650"/>
            <wp:effectExtent l="0" t="0" r="2540" b="0"/>
            <wp:docPr id="1130322775" name="Picture 1" descr="Group 1-8 Detection Rate YTD Comparison:&#10;This table shows Group 1-8 detection rate YTD comparisons against 2019/20 to 2023/24 YTD, and the five-year mean alongside the % point change from PYTD and five-year mean.&#10;The first row shows Group 1 non sexual crimes of violence: 68.5% in 2019/20; 72.4% in 2020/21; 66.9% in 2021/22; 67.4% in 2022/23; 66.2% in 2023/24; a five-year mean of 68.2%; and 68.6% in 2024/25. This is up 2.4% points on PYTD and up 0.4% points on five-year mean.&#10;The second row shows Group 2 sexual crimes: 55.2% in 2019/20; 56.8% in 2020/21; 52.9% in 2021/22; 54.9% in 2022/23; 55.2% in 2023/24; a five-year mean of 55.0%; and 57.5% in 2024/25. This is up 2.3% points on PYTD and up 2.5% points on five-year mean.&#10;The third row shows Group 3 crimes of dishonesty: 37.0% in 2019/20; 40.5% in 2020/21; 31.9% in 2021/22; 31.3% in 2022/23; 31.7% in 2023/24; a five-year mean of 34.4%; and 34.3% in 2024/25. This is up 2.7% points on PYTD but down 0.1% points on five-year mean.&#10;The fourth row shows Group 4 damage and reckless behaviour: 27.9% in 2019/20; 33.5% in 2020/21; 29.7% in 2021/22; 28.2% in 2022/23; 29.2% in 2023/24; a five-year mean of 29.7%; and 31.3% in 2024/25. This is up 2.1% points on PYTD and up 1.6% points on five-year mean.&#10;The fifth row shows Group 5 crimes against society: 92.4% in 2019/20; 91.1% in 2020/21; 91.4% in 2021/22; 94.0% in 2022/23; 90.3% in 2023/24; a five-year mean of 91.8%; and 92.2% in 2024/25. This is up 1.9% points on PYTD and up 0.4% points on five-year mean.&#10;The sixth row shows Group 6 antisocial offences: 84.8% in 2019/20; 85.3% in 2020/21; 81.7% in 2021/22; 81.8% in 2022/23; 78.0% in 2023/24; a five-year mean of 82.5%; and 80.1% in 2024/25. This is up 2.1% points on PYTD but down 2.4% points on five-year mean.&#10;The seventh row shows Group 7 miscellaneous offences: 66.3% in 2019/20; 64.3% in 2020/21; 61.7% in 2021/22; 64.0% in 2022/23; 62.1% in 2023/24; a five-year mean of 63.6%; and 62.2% in 2024/25. This is up 0.1% points on PYTD but down 1.4% points on five-year mean.&#10;The eighth row shows Group 8 road traffic offences: 90.6% in 2019/20; 93.2% in 2020/21; 89.2% in 2021/22; 87.6% in 2022/23; 87.2% in 2023/24; a five-year mean of 89.6%; and 86.8% in 2024/25. This is down 0.4% points on PYTD and down 2.8% points on five-year mean.&#10;And, the ninth row shows the Overall Detection rate: 67.9% in 2019/20; 71.8% in 2020/21; 67.3% in 2021/22; 65.1% in 2022/23; 63.7% in 2023/24; a five-year mean of 67.2%; and 65.7% in 2024/25. This is up 2.0% points on PYTD but down 1.5% points on five-year mea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22775" name="Picture 1" descr="Group 1-8 Detection Rate YTD Comparison:&#10;This table shows Group 1-8 detection rate YTD comparisons against 2019/20 to 2023/24 YTD, and the five-year mean alongside the % point change from PYTD and five-year mean.&#10;The first row shows Group 1 non sexual crimes of violence: 68.5% in 2019/20; 72.4% in 2020/21; 66.9% in 2021/22; 67.4% in 2022/23; 66.2% in 2023/24; a five-year mean of 68.2%; and 68.6% in 2024/25. This is up 2.4% points on PYTD and up 0.4% points on five-year mean.&#10;The second row shows Group 2 sexual crimes: 55.2% in 2019/20; 56.8% in 2020/21; 52.9% in 2021/22; 54.9% in 2022/23; 55.2% in 2023/24; a five-year mean of 55.0%; and 57.5% in 2024/25. This is up 2.3% points on PYTD and up 2.5% points on five-year mean.&#10;The third row shows Group 3 crimes of dishonesty: 37.0% in 2019/20; 40.5% in 2020/21; 31.9% in 2021/22; 31.3% in 2022/23; 31.7% in 2023/24; a five-year mean of 34.4%; and 34.3% in 2024/25. This is up 2.7% points on PYTD but down 0.1% points on five-year mean.&#10;The fourth row shows Group 4 damage and reckless behaviour: 27.9% in 2019/20; 33.5% in 2020/21; 29.7% in 2021/22; 28.2% in 2022/23; 29.2% in 2023/24; a five-year mean of 29.7%; and 31.3% in 2024/25. This is up 2.1% points on PYTD and up 1.6% points on five-year mean.&#10;The fifth row shows Group 5 crimes against society: 92.4% in 2019/20; 91.1% in 2020/21; 91.4% in 2021/22; 94.0% in 2022/23; 90.3% in 2023/24; a five-year mean of 91.8%; and 92.2% in 2024/25. This is up 1.9% points on PYTD and up 0.4% points on five-year mean.&#10;The sixth row shows Group 6 antisocial offences: 84.8% in 2019/20; 85.3% in 2020/21; 81.7% in 2021/22; 81.8% in 2022/23; 78.0% in 2023/24; a five-year mean of 82.5%; and 80.1% in 2024/25. This is up 2.1% points on PYTD but down 2.4% points on five-year mean.&#10;The seventh row shows Group 7 miscellaneous offences: 66.3% in 2019/20; 64.3% in 2020/21; 61.7% in 2021/22; 64.0% in 2022/23; 62.1% in 2023/24; a five-year mean of 63.6%; and 62.2% in 2024/25. This is up 0.1% points on PYTD but down 1.4% points on five-year mean.&#10;The eighth row shows Group 8 road traffic offences: 90.6% in 2019/20; 93.2% in 2020/21; 89.2% in 2021/22; 87.6% in 2022/23; 87.2% in 2023/24; a five-year mean of 89.6%; and 86.8% in 2024/25. This is down 0.4% points on PYTD and down 2.8% points on five-year mean.&#10;And, the ninth row shows the Overall Detection rate: 67.9% in 2019/20; 71.8% in 2020/21; 67.3% in 2021/22; 65.1% in 2022/23; 63.7% in 2023/24; a five-year mean of 67.2%; and 65.7% in 2024/25. This is up 2.0% points on PYTD but down 1.5% points on five-year mean.&#10;&#10;"/>
                    <pic:cNvPicPr/>
                  </pic:nvPicPr>
                  <pic:blipFill>
                    <a:blip r:embed="rId22"/>
                    <a:stretch>
                      <a:fillRect/>
                    </a:stretch>
                  </pic:blipFill>
                  <pic:spPr>
                    <a:xfrm>
                      <a:off x="0" y="0"/>
                      <a:ext cx="6188710" cy="3930650"/>
                    </a:xfrm>
                    <a:prstGeom prst="rect">
                      <a:avLst/>
                    </a:prstGeom>
                  </pic:spPr>
                </pic:pic>
              </a:graphicData>
            </a:graphic>
          </wp:inline>
        </w:drawing>
      </w:r>
    </w:p>
    <w:p w14:paraId="2DD75C9D" w14:textId="3E982228" w:rsidR="0095021C" w:rsidRPr="00FF2F06" w:rsidRDefault="0095021C" w:rsidP="0095021C">
      <w:pPr>
        <w:pStyle w:val="Heading4"/>
        <w:rPr>
          <w:lang w:eastAsia="en-GB"/>
        </w:rPr>
      </w:pPr>
      <w:r w:rsidRPr="00FF2F06">
        <w:rPr>
          <w:lang w:eastAsia="en-GB"/>
        </w:rPr>
        <w:t>Benchmarking Overall Total of Reported Crimes</w:t>
      </w:r>
    </w:p>
    <w:p w14:paraId="3A08BDD0" w14:textId="47EFE594" w:rsidR="0095021C" w:rsidRPr="00B07BBF" w:rsidRDefault="0095021C" w:rsidP="0095021C">
      <w:r w:rsidRPr="00B07BBF">
        <w:t>The crime statistics for England and Wales, covering the 2023/24 period (April 2023 to March 2024), indicated a 1% decrease in reported crimes. In contrast, when benchmarked to Police Scotland's data for the same period, reported crimes increased by 4% compared from the previous year.</w:t>
      </w:r>
    </w:p>
    <w:p w14:paraId="7C66B90A" w14:textId="77777777" w:rsidR="0095021C" w:rsidRDefault="0095021C" w:rsidP="0095021C">
      <w:pPr>
        <w:pStyle w:val="Heading4"/>
      </w:pPr>
      <w:r>
        <w:t>Violent Crime (Strategic Outcome 1)</w:t>
      </w:r>
    </w:p>
    <w:p w14:paraId="0BD5A4BB" w14:textId="77777777" w:rsidR="0095021C" w:rsidRPr="00017BF1" w:rsidRDefault="0095021C" w:rsidP="0095021C">
      <w:r>
        <w:rPr>
          <w:noProof/>
        </w:rPr>
        <w:drawing>
          <wp:inline distT="0" distB="0" distL="0" distR="0" wp14:anchorId="6D74C8E4" wp14:editId="1754896D">
            <wp:extent cx="6188710" cy="1751965"/>
            <wp:effectExtent l="0" t="0" r="2540" b="635"/>
            <wp:docPr id="832474123" name="Picture 1" descr="Non Sexual Crimes of Violence Group 1 Table&#10;The first section (recorded YTD comparison) shows 37,474 non-sexual crimes of violence PYTD compared to 37,210 YTD (down 0.7% on last year). The six month sparkline shows a low of 5,938 crimes in April; a high of 6,584 crimes in May; 6,210 crimes in June; 6,136 crimes in July; 6,129 crimes in August and 6,213 crimes in September 2024.&#10;The second section (recorded five-year comparison) shows the five-year mean for non-sexual crimes of violence is 35,035.0 compared to 37,210 YTD (up 6.2% on five-year mean). The five-year sparkline shows a low of 32,671 crimes in 2020/21; 34,927 crimes in 2021/22; 35,041 crimes in 2022/23; a high of 37,474 crimes in 2023/24 and 37,210 crimes in 2024/25 YTD.&#10;The third section (recorded detection rate comparison) shows the detection rate for non-sexual crimes of violence was 66.2% in PYTD compared to 68.6% in YTD (up 2.4% points on last year). The five-year detection rate sparkline shows a high of 72.4% in 2020/21; 66.9% in 2021/22; 67.4% in 2022/23; a low of 66.2% in 2023/24 and 68.6% in 2024/25 YT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74123" name="Picture 1" descr="Non Sexual Crimes of Violence Group 1 Table&#10;The first section (recorded YTD comparison) shows 37,474 non-sexual crimes of violence PYTD compared to 37,210 YTD (down 0.7% on last year). The six month sparkline shows a low of 5,938 crimes in April; a high of 6,584 crimes in May; 6,210 crimes in June; 6,136 crimes in July; 6,129 crimes in August and 6,213 crimes in September 2024.&#10;The second section (recorded five-year comparison) shows the five-year mean for non-sexual crimes of violence is 35,035.0 compared to 37,210 YTD (up 6.2% on five-year mean). The five-year sparkline shows a low of 32,671 crimes in 2020/21; 34,927 crimes in 2021/22; 35,041 crimes in 2022/23; a high of 37,474 crimes in 2023/24 and 37,210 crimes in 2024/25 YTD.&#10;The third section (recorded detection rate comparison) shows the detection rate for non-sexual crimes of violence was 66.2% in PYTD compared to 68.6% in YTD (up 2.4% points on last year). The five-year detection rate sparkline shows a high of 72.4% in 2020/21; 66.9% in 2021/22; 67.4% in 2022/23; a low of 66.2% in 2023/24 and 68.6% in 2024/25 YTD. &#10;"/>
                    <pic:cNvPicPr/>
                  </pic:nvPicPr>
                  <pic:blipFill>
                    <a:blip r:embed="rId23"/>
                    <a:stretch>
                      <a:fillRect/>
                    </a:stretch>
                  </pic:blipFill>
                  <pic:spPr>
                    <a:xfrm>
                      <a:off x="0" y="0"/>
                      <a:ext cx="6188710" cy="1751965"/>
                    </a:xfrm>
                    <a:prstGeom prst="rect">
                      <a:avLst/>
                    </a:prstGeom>
                  </pic:spPr>
                </pic:pic>
              </a:graphicData>
            </a:graphic>
          </wp:inline>
        </w:drawing>
      </w:r>
    </w:p>
    <w:p w14:paraId="1E1D4339" w14:textId="77777777" w:rsidR="0095021C" w:rsidRDefault="0095021C" w:rsidP="0095021C">
      <w:r>
        <w:rPr>
          <w:noProof/>
        </w:rPr>
        <w:lastRenderedPageBreak/>
        <w:drawing>
          <wp:inline distT="0" distB="0" distL="0" distR="0" wp14:anchorId="58EF0E0D" wp14:editId="65FAFF1B">
            <wp:extent cx="6188710" cy="1743075"/>
            <wp:effectExtent l="0" t="0" r="2540" b="9525"/>
            <wp:docPr id="948160977" name="Picture 1" descr="Overall Violent Crime Table&#10;This first section (recorded YTD comparison) shows 34,019 overall violent crimes PYTD compared to 33,777 YTD (down 0.7% on last year). The six month sparkline shows a low of 5,393 crimes in April; a high of 6,010 crimes in May; 5,658 crimes in June; 5,564 crimes in July; 5,529 crimes in August and 5,623 crimes in September 2024.&#10;The second section (recorded five-year comparison) shows the five-year mean for overall violent crimes is 32,429.4 compared to 33,777 YTD (up 4.2% on five-year mean). The five-year sparkline shows a low of 30,505 crimes in 2020/21; 32,401 crimes in 2021/22; 32,252 crimes in 2022/23; a high of 34,019 crimes in 2023/24 and 33,777 crimes in 2024/25 YTD.&#10;The third section (recorded detection rate comparison) shows the detection rate for overall violent crimes was 68.3% in PYTD compared to 69.9% in YTD (up 1.6% points on last year). The five-year detection rate sparkline shows a high of 72.6% in 2020/21; a low of 67.4% in 2021/22; 68.8% in 2022/23; 68.3% in 2023/24 and 69.9% in 2024/25 YT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60977" name="Picture 1" descr="Overall Violent Crime Table&#10;This first section (recorded YTD comparison) shows 34,019 overall violent crimes PYTD compared to 33,777 YTD (down 0.7% on last year). The six month sparkline shows a low of 5,393 crimes in April; a high of 6,010 crimes in May; 5,658 crimes in June; 5,564 crimes in July; 5,529 crimes in August and 5,623 crimes in September 2024.&#10;The second section (recorded five-year comparison) shows the five-year mean for overall violent crimes is 32,429.4 compared to 33,777 YTD (up 4.2% on five-year mean). The five-year sparkline shows a low of 30,505 crimes in 2020/21; 32,401 crimes in 2021/22; 32,252 crimes in 2022/23; a high of 34,019 crimes in 2023/24 and 33,777 crimes in 2024/25 YTD.&#10;The third section (recorded detection rate comparison) shows the detection rate for overall violent crimes was 68.3% in PYTD compared to 69.9% in YTD (up 1.6% points on last year). The five-year detection rate sparkline shows a high of 72.6% in 2020/21; a low of 67.4% in 2021/22; 68.8% in 2022/23; 68.3% in 2023/24 and 69.9% in 2024/25 YTD. &#10;&#10;"/>
                    <pic:cNvPicPr/>
                  </pic:nvPicPr>
                  <pic:blipFill>
                    <a:blip r:embed="rId24"/>
                    <a:stretch>
                      <a:fillRect/>
                    </a:stretch>
                  </pic:blipFill>
                  <pic:spPr>
                    <a:xfrm>
                      <a:off x="0" y="0"/>
                      <a:ext cx="6188710" cy="1743075"/>
                    </a:xfrm>
                    <a:prstGeom prst="rect">
                      <a:avLst/>
                    </a:prstGeom>
                  </pic:spPr>
                </pic:pic>
              </a:graphicData>
            </a:graphic>
          </wp:inline>
        </w:drawing>
      </w:r>
    </w:p>
    <w:p w14:paraId="63A89867" w14:textId="1D59D05F" w:rsidR="0095021C" w:rsidRPr="00017BF1" w:rsidRDefault="0095021C" w:rsidP="0095021C">
      <w:r>
        <w:t>Non</w:t>
      </w:r>
      <w:r w:rsidR="007B6337">
        <w:t>-</w:t>
      </w:r>
      <w:r>
        <w:t>sexual crimes of violence decreased by 0.7% (264 fewer crime</w:t>
      </w:r>
      <w:r w:rsidR="00E12E4A">
        <w:t>s</w:t>
      </w:r>
      <w:r>
        <w:t xml:space="preserve">) compared to last year. This is largely shaped by the trends seen in common assault as </w:t>
      </w:r>
      <w:r w:rsidR="00E12E4A">
        <w:t>these crimes</w:t>
      </w:r>
      <w:r>
        <w:t xml:space="preserve"> account for 83.4% of all </w:t>
      </w:r>
      <w:r w:rsidR="00E12E4A">
        <w:t>G</w:t>
      </w:r>
      <w:r>
        <w:t>roup 1 crime. This also means Group 1 crime is up 6.2% compared to its five-year-mean. Within non</w:t>
      </w:r>
      <w:r w:rsidR="007B6337">
        <w:t>-</w:t>
      </w:r>
      <w:r>
        <w:t>sexual crimes of violence, the following crime types are grouped together under the banner of overall violent crime: murder, culpable homicide (common law), attempted murder, serious assault, robbery, common assault and common assault (of emergency worker).</w:t>
      </w:r>
    </w:p>
    <w:p w14:paraId="55EB982F" w14:textId="757EA07A" w:rsidR="0095021C" w:rsidRDefault="0095021C" w:rsidP="0095021C">
      <w:r>
        <w:t>Serious violent crime, such as homicide, attempted murder and serious assaults, have all decreased when compared to last year and the five-year mean.</w:t>
      </w:r>
    </w:p>
    <w:p w14:paraId="4A3A2B13" w14:textId="77777777" w:rsidR="0095021C" w:rsidRDefault="0095021C" w:rsidP="0095021C">
      <w:r>
        <w:t xml:space="preserve">There were 21 homicides recorded during the first half of 2024/25 compared to 33 in the same period in 2023/24. This crime has a five-year-mean of 33 for April to September. This notable reduction is, in large part, due to </w:t>
      </w:r>
      <w:proofErr w:type="spellStart"/>
      <w:r>
        <w:t>there</w:t>
      </w:r>
      <w:proofErr w:type="spellEnd"/>
      <w:r>
        <w:t xml:space="preserve"> only being five during the Quarter 2 period (June to September 2024). This is the lowest recorded number of homicides for this period since the inception of Police Scotland in 2013 – the previous lowest being 13 homicides in April to June 2022.</w:t>
      </w:r>
    </w:p>
    <w:p w14:paraId="3493563D" w14:textId="77777777" w:rsidR="0095021C" w:rsidRDefault="0095021C" w:rsidP="0095021C">
      <w:r>
        <w:t>All homicides recorded in the first two quarters of 2024/25 have been detected.</w:t>
      </w:r>
    </w:p>
    <w:p w14:paraId="404EA48D" w14:textId="77777777" w:rsidR="002C7C28" w:rsidRDefault="0095021C" w:rsidP="0095021C">
      <w:r>
        <w:t>Higher volume violent crime has, however, shown an increase long-term. Despite a 0.2% decrease from last year, the 31,039 common assaults recorded between April and September represents a 5.1% increase on the five-year-mean.</w:t>
      </w:r>
    </w:p>
    <w:p w14:paraId="10F781E1" w14:textId="77777777" w:rsidR="002C7C28" w:rsidRDefault="0095021C" w:rsidP="0095021C">
      <w:r>
        <w:t>While the impact of COVID-19 and related lockdowns does skew the five-year-mean downwards due to lower than usual volumes of crime in 2020/21, this year’s common assault figure is still the second highest in the last six years.</w:t>
      </w:r>
    </w:p>
    <w:p w14:paraId="13602FF0" w14:textId="6B28A2B9" w:rsidR="0095021C" w:rsidRDefault="0095021C" w:rsidP="0095021C">
      <w:r>
        <w:t>The detection rate for common assaults has also improved this year, with 69.1% of these crimes being detected – an increase of 1.5% points from last year and 0.8% points from the five-year-mean detection rate.</w:t>
      </w:r>
    </w:p>
    <w:p w14:paraId="6C1BD27E" w14:textId="2D46D6B0" w:rsidR="0095021C" w:rsidRDefault="0095021C" w:rsidP="0095021C">
      <w:r>
        <w:t>Robberies, of which 968 were recorded, also saw a decrease from last year (</w:t>
      </w:r>
      <w:r w:rsidR="0058306F">
        <w:t xml:space="preserve">down </w:t>
      </w:r>
      <w:r>
        <w:t>2.6%) however an increase of 14.2% on the five-year-mean. Robberies currently have a 75.3% detection rate, which is a slight decrease from last year (</w:t>
      </w:r>
      <w:r w:rsidR="0058306F">
        <w:t xml:space="preserve">down </w:t>
      </w:r>
      <w:r>
        <w:t>0.1% points) and the five-year-mean (</w:t>
      </w:r>
      <w:r w:rsidR="0058306F">
        <w:t xml:space="preserve">down </w:t>
      </w:r>
      <w:r>
        <w:t>0.3% points). A summary of recent robbery analysis was included in the Quarter 1 report.</w:t>
      </w:r>
    </w:p>
    <w:p w14:paraId="0267107B" w14:textId="014433A6" w:rsidR="0095021C" w:rsidRDefault="0095021C" w:rsidP="0095021C">
      <w:r>
        <w:t xml:space="preserve">In addition to the crimes above which comprise overall violent crime, non-sexual crimes of violence also </w:t>
      </w:r>
      <w:r w:rsidR="007B6337">
        <w:t>include</w:t>
      </w:r>
      <w:r>
        <w:t xml:space="preserve"> a variety of other crime types such as Domestic Abuse Scotland Act </w:t>
      </w:r>
      <w:r>
        <w:lastRenderedPageBreak/>
        <w:t>offences (covered later in the report under domestic abuse update), stalking, cruel &amp; unnatural treatment of children and threats &amp; extortion.</w:t>
      </w:r>
    </w:p>
    <w:p w14:paraId="46EFF6F4" w14:textId="6BC7F44E" w:rsidR="0095021C" w:rsidRDefault="0095021C" w:rsidP="0095021C">
      <w:r>
        <w:t>Stalking and cruel &amp; unnatural treatment of children continue to show increases. Greater detail on these crime types and the reasons for these increases can be found in the Q</w:t>
      </w:r>
      <w:r w:rsidR="002C7C28">
        <w:t xml:space="preserve">uarter </w:t>
      </w:r>
      <w:r>
        <w:t>1 report.</w:t>
      </w:r>
    </w:p>
    <w:p w14:paraId="6758F724" w14:textId="37E4B307" w:rsidR="002C7C28" w:rsidRDefault="002C7C28" w:rsidP="002C7C28">
      <w:r>
        <w:t xml:space="preserve">Threats </w:t>
      </w:r>
      <w:r w:rsidR="00E12E4A">
        <w:t>and</w:t>
      </w:r>
      <w:r>
        <w:t xml:space="preserve"> extortion crimes, of which 880 were record</w:t>
      </w:r>
      <w:r w:rsidR="00180856">
        <w:t>ed</w:t>
      </w:r>
      <w:r>
        <w:t xml:space="preserve"> between April and September, are down 38.0% from last year. 2024/25 is the first year since counting rules for this crime type were updated in 2020/21 to see a decrease from the previous year.</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3F2C40" w:rsidRPr="0003495F" w14:paraId="0FA4E7EE" w14:textId="77777777" w:rsidTr="00A1797D">
        <w:trPr>
          <w:trHeight w:val="680"/>
          <w:tblHeader/>
        </w:trPr>
        <w:tc>
          <w:tcPr>
            <w:tcW w:w="9862" w:type="dxa"/>
            <w:shd w:val="clear" w:color="auto" w:fill="FFE599" w:themeFill="accent4" w:themeFillTint="66"/>
            <w:vAlign w:val="center"/>
            <w:hideMark/>
          </w:tcPr>
          <w:p w14:paraId="0867C2B2" w14:textId="264F65E5" w:rsidR="003F2C40" w:rsidRPr="00D87D1B" w:rsidRDefault="003F2C40" w:rsidP="00A1797D">
            <w:pPr>
              <w:pStyle w:val="TableHeaderLeft"/>
              <w:rPr>
                <w:color w:val="000000" w:themeColor="text1"/>
              </w:rPr>
            </w:pPr>
            <w:bookmarkStart w:id="26" w:name="Violence"/>
            <w:bookmarkEnd w:id="26"/>
            <w:r w:rsidRPr="00D87D1B">
              <w:rPr>
                <w:color w:val="000000" w:themeColor="text1"/>
              </w:rPr>
              <w:t xml:space="preserve">Proactive/Preventative Policing – </w:t>
            </w:r>
            <w:r>
              <w:rPr>
                <w:color w:val="000000" w:themeColor="text1"/>
              </w:rPr>
              <w:t>Young People and Violent Crime</w:t>
            </w:r>
          </w:p>
        </w:tc>
      </w:tr>
      <w:tr w:rsidR="003F2C40" w:rsidRPr="0003495F" w14:paraId="4957439D" w14:textId="77777777" w:rsidTr="00A1797D">
        <w:trPr>
          <w:trHeight w:val="680"/>
        </w:trPr>
        <w:tc>
          <w:tcPr>
            <w:tcW w:w="9862" w:type="dxa"/>
            <w:shd w:val="clear" w:color="auto" w:fill="FFF2CC" w:themeFill="accent4" w:themeFillTint="33"/>
            <w:vAlign w:val="center"/>
            <w:hideMark/>
          </w:tcPr>
          <w:p w14:paraId="57F82F80" w14:textId="77777777" w:rsidR="003F2C40" w:rsidRDefault="003F2C40" w:rsidP="009A76E0">
            <w:pPr>
              <w:pStyle w:val="TableBodyLeft"/>
            </w:pPr>
            <w:r>
              <w:t>Over the last quarter, the Scottish Violence Reduction Unit (SVRU) launched the “Quit Fighting For Likes” social media campaign. This campaign gained significant traction and media coverage. A training product created in line with the campaign will be delivered to Campus Officers at development events being arranged for December 2024.</w:t>
            </w:r>
          </w:p>
          <w:p w14:paraId="67431DE2" w14:textId="77777777" w:rsidR="003F2C40" w:rsidRDefault="003F2C40" w:rsidP="009A76E0">
            <w:pPr>
              <w:pStyle w:val="TableBodyLeft"/>
            </w:pPr>
            <w:r>
              <w:t>Members of the SVRU, along with various other organisations and charities, met with King Charles at an event at Dumfries House for a “round table” discussion on the importance of opportunities for young people. Media coverage of the event provided promotion opportunities of the approach being undertaken by SVRU and a follow up meeting has been scheduled with the Princes Trust to discuss future partnership working opportunities.</w:t>
            </w:r>
          </w:p>
          <w:p w14:paraId="14DE65E2" w14:textId="3F641DFB" w:rsidR="003F2C40" w:rsidRDefault="003F2C40" w:rsidP="009A76E0">
            <w:pPr>
              <w:pStyle w:val="TableBodyLeft"/>
            </w:pPr>
            <w:r>
              <w:t>The “You, Me Together” resource has been rolled out on the I AM ME Scotland Platform for use by police, education and health care workers. This resource is designed to help discuss matters such as domestic abuse, teenager relationships and coercive and controlling behaviours with young people.</w:t>
            </w:r>
          </w:p>
          <w:p w14:paraId="0AC88306" w14:textId="25AE7CCF" w:rsidR="003F2C40" w:rsidRPr="00D87D1B" w:rsidRDefault="003F2C40" w:rsidP="009A76E0">
            <w:pPr>
              <w:pStyle w:val="TableBodyLeft"/>
              <w:rPr>
                <w:color w:val="000000" w:themeColor="text1"/>
              </w:rPr>
            </w:pPr>
            <w:r>
              <w:t xml:space="preserve">Digital World, a joint campaign being run by Police Scotland and Fearless, is due to commence on 18 November 2024 and is being delivered from the Scottish Prevention Hub at the Edinburgh Futures Institute in the University of Edinburgh (more details regarding this can be found in the Quarter </w:t>
            </w:r>
            <w:r w:rsidR="003E479F">
              <w:t>1</w:t>
            </w:r>
            <w:r>
              <w:t xml:space="preserve"> report).</w:t>
            </w:r>
          </w:p>
        </w:tc>
      </w:tr>
    </w:tbl>
    <w:p w14:paraId="7EE1D84A" w14:textId="77777777" w:rsidR="0095021C" w:rsidRPr="00401B2C" w:rsidRDefault="0095021C" w:rsidP="0095021C">
      <w:pPr>
        <w:pStyle w:val="Heading4"/>
      </w:pPr>
      <w:r w:rsidRPr="00401B2C">
        <w:t xml:space="preserve">Public Protection </w:t>
      </w:r>
      <w:r>
        <w:t>(Strategic Outcome 1)</w:t>
      </w:r>
    </w:p>
    <w:p w14:paraId="39338412" w14:textId="77777777" w:rsidR="0095021C" w:rsidRPr="00DD1BEC" w:rsidRDefault="0095021C" w:rsidP="0095021C">
      <w:pPr>
        <w:rPr>
          <w:noProof/>
        </w:rPr>
      </w:pPr>
      <w:r w:rsidRPr="00401B2C">
        <w:rPr>
          <w:noProof/>
        </w:rPr>
        <w:drawing>
          <wp:inline distT="0" distB="0" distL="0" distR="0" wp14:anchorId="6919AEB6" wp14:editId="19505848">
            <wp:extent cx="6188710" cy="1181100"/>
            <wp:effectExtent l="0" t="0" r="2540" b="0"/>
            <wp:docPr id="372414356" name="Picture 1" descr="Group 2 Sexual Crime YTD Comparison Table&#10;The first row shows 7,385 group 2 sexual crimes PYTD compared to 7,622 YTD (up 3.2% on last year). The six month sparkline shows a low of 1,183 crimes in April; a high of 1,385 crimes in May; 1,287 crimes in June; 1,189 crimes in July; 1,311 crimes in August and 1,267 crimes in September 2024.&#10;The second row shows 5,692 recent group 2 sexual crimes PYTD compared to 5,782 YTD (up 1.6% on last year) with no six-month sparklines included.&#10;The third row shows 1,693 non-recent group 2 sexual crimes PYTD compared to 1,840 YTD (up 8.7% on last year) with no six-month sparklines inclu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14356" name="Picture 1" descr="Group 2 Sexual Crime YTD Comparison Table&#10;The first row shows 7,385 group 2 sexual crimes PYTD compared to 7,622 YTD (up 3.2% on last year). The six month sparkline shows a low of 1,183 crimes in April; a high of 1,385 crimes in May; 1,287 crimes in June; 1,189 crimes in July; 1,311 crimes in August and 1,267 crimes in September 2024.&#10;The second row shows 5,692 recent group 2 sexual crimes PYTD compared to 5,782 YTD (up 1.6% on last year) with no six-month sparklines included.&#10;The third row shows 1,693 non-recent group 2 sexual crimes PYTD compared to 1,840 YTD (up 8.7% on last year) with no six-month sparklines included.&#10;"/>
                    <pic:cNvPicPr/>
                  </pic:nvPicPr>
                  <pic:blipFill>
                    <a:blip r:embed="rId25"/>
                    <a:stretch>
                      <a:fillRect/>
                    </a:stretch>
                  </pic:blipFill>
                  <pic:spPr>
                    <a:xfrm>
                      <a:off x="0" y="0"/>
                      <a:ext cx="6188710" cy="1181100"/>
                    </a:xfrm>
                    <a:prstGeom prst="rect">
                      <a:avLst/>
                    </a:prstGeom>
                  </pic:spPr>
                </pic:pic>
              </a:graphicData>
            </a:graphic>
          </wp:inline>
        </w:drawing>
      </w:r>
    </w:p>
    <w:p w14:paraId="085E83AE" w14:textId="77777777" w:rsidR="0095021C" w:rsidRPr="00401B2C" w:rsidRDefault="0095021C" w:rsidP="0095021C">
      <w:pPr>
        <w:rPr>
          <w:noProof/>
        </w:rPr>
      </w:pPr>
      <w:r w:rsidRPr="00401B2C">
        <w:rPr>
          <w:noProof/>
        </w:rPr>
        <w:lastRenderedPageBreak/>
        <w:drawing>
          <wp:inline distT="0" distB="0" distL="0" distR="0" wp14:anchorId="3A5785AB" wp14:editId="4AAFBDD9">
            <wp:extent cx="6188710" cy="1169670"/>
            <wp:effectExtent l="0" t="0" r="2540" b="0"/>
            <wp:docPr id="1109310298" name="Picture 1" descr="Group 2 Sexual Crime Five-Year Comparison Table&#10;The first row shows the five-year mean for group 2 sexual crimes is 7,169.0 compared to 7,622 YTD (up 6.3% on five-year mean). The five-year sparkline shows a low of 6,660 crimes in 2020/21; 7,597 crimes in 2021/22; 7,360 crimes in 2022/23; 7,385 crimes in 2023/24 and a high of 7,622 crimes in 2024/25 YTD.&#10;The second row shows the five-year mean for recent group 2 sexual crimes is 5,413.6 compared to 5,782 YTD (up 6.8% on five-year mean). The five-year sparkline shows a low of 4,854 crimes in 2020/21; 5,780 crimes in 2021/22; 5,697 crimes in 2022/23; 5,692 crimes in 2023/24 and a high of 5,782 crimes in 2024/25 YTD.&#10;The third row shows the five-year mean for non-recent group 2 sexual crimes is 1,755.4 compared to 1,840 YTD (up 14.0% on five-year mean). The five-year sparkline shows 1,806 crimes in 2020/21; 1,817 crimes in 2021/22; a low of 1,663 crimes in 2022/23; 1,693 crimes in 2023/24 and a high of 1,840 crimes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10298" name="Picture 1" descr="Group 2 Sexual Crime Five-Year Comparison Table&#10;The first row shows the five-year mean for group 2 sexual crimes is 7,169.0 compared to 7,622 YTD (up 6.3% on five-year mean). The five-year sparkline shows a low of 6,660 crimes in 2020/21; 7,597 crimes in 2021/22; 7,360 crimes in 2022/23; 7,385 crimes in 2023/24 and a high of 7,622 crimes in 2024/25 YTD.&#10;The second row shows the five-year mean for recent group 2 sexual crimes is 5,413.6 compared to 5,782 YTD (up 6.8% on five-year mean). The five-year sparkline shows a low of 4,854 crimes in 2020/21; 5,780 crimes in 2021/22; 5,697 crimes in 2022/23; 5,692 crimes in 2023/24 and a high of 5,782 crimes in 2024/25 YTD.&#10;The third row shows the five-year mean for non-recent group 2 sexual crimes is 1,755.4 compared to 1,840 YTD (up 14.0% on five-year mean). The five-year sparkline shows 1,806 crimes in 2020/21; 1,817 crimes in 2021/22; a low of 1,663 crimes in 2022/23; 1,693 crimes in 2023/24 and a high of 1,840 crimes in 2024/25 YTD.&#10;"/>
                    <pic:cNvPicPr/>
                  </pic:nvPicPr>
                  <pic:blipFill>
                    <a:blip r:embed="rId26"/>
                    <a:stretch>
                      <a:fillRect/>
                    </a:stretch>
                  </pic:blipFill>
                  <pic:spPr>
                    <a:xfrm>
                      <a:off x="0" y="0"/>
                      <a:ext cx="6188710" cy="1169670"/>
                    </a:xfrm>
                    <a:prstGeom prst="rect">
                      <a:avLst/>
                    </a:prstGeom>
                  </pic:spPr>
                </pic:pic>
              </a:graphicData>
            </a:graphic>
          </wp:inline>
        </w:drawing>
      </w:r>
    </w:p>
    <w:p w14:paraId="2CEE5539" w14:textId="77777777" w:rsidR="0095021C" w:rsidRPr="00401B2C" w:rsidRDefault="0095021C" w:rsidP="0095021C">
      <w:pPr>
        <w:rPr>
          <w:noProof/>
        </w:rPr>
      </w:pPr>
      <w:r w:rsidRPr="00401B2C">
        <w:rPr>
          <w:noProof/>
        </w:rPr>
        <w:drawing>
          <wp:inline distT="0" distB="0" distL="0" distR="0" wp14:anchorId="531307AC" wp14:editId="1C1A2329">
            <wp:extent cx="6188710" cy="1184910"/>
            <wp:effectExtent l="0" t="0" r="2540" b="0"/>
            <wp:docPr id="1883908185" name="Picture 1" descr="Group 2 Sexual Crime Detection Rate/Proportion Comparison Table&#10;The first row shows the detection rate for group 2 sexual crimes was 55.2% in PYTD compared to 57.5% in YTD (up 2.3% points on last year). The five-year detection rate sparkline shows 56.8% in 2020/21; a low of 52.9% in 2021/22; 54.9% in 2022/23; 55.2% in 2023/24 and a high of 57.5% in 2024/25 YTD.&#10;The second row shows the proportion of recent group 2 sexual crimes was 77.1% in PYTD compared to 75.9% in YTD (down 1.2% points on last year) . The five-year proportion recent sparkline shows a low of 72.9% in 2020/21; 76.1% in 2021/22; a high of 77.4% in 2022/23; 77.1% in 2023/24 and 75.9% in 2024/25 YTD.&#10;The third row shows the proportion of non-recent group 2 sexual crimes was 22.9% in PYTD compared to 24.1% in YTD (up 1.2% points on last year). The five-year proportion recent sparkline shows a high of 27.1% in 2020/21; 23.9% in 2021/22; a low of 22.6% in 2022/23; 22.9% in 2023/24 and 24.1%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08185" name="Picture 1" descr="Group 2 Sexual Crime Detection Rate/Proportion Comparison Table&#10;The first row shows the detection rate for group 2 sexual crimes was 55.2% in PYTD compared to 57.5% in YTD (up 2.3% points on last year). The five-year detection rate sparkline shows 56.8% in 2020/21; a low of 52.9% in 2021/22; 54.9% in 2022/23; 55.2% in 2023/24 and a high of 57.5% in 2024/25 YTD.&#10;The second row shows the proportion of recent group 2 sexual crimes was 77.1% in PYTD compared to 75.9% in YTD (down 1.2% points on last year) . The five-year proportion recent sparkline shows a low of 72.9% in 2020/21; 76.1% in 2021/22; a high of 77.4% in 2022/23; 77.1% in 2023/24 and 75.9% in 2024/25 YTD.&#10;The third row shows the proportion of non-recent group 2 sexual crimes was 22.9% in PYTD compared to 24.1% in YTD (up 1.2% points on last year). The five-year proportion recent sparkline shows a high of 27.1% in 2020/21; 23.9% in 2021/22; a low of 22.6% in 2022/23; 22.9% in 2023/24 and 24.1% in 2024/25 YTD.&#10;"/>
                    <pic:cNvPicPr/>
                  </pic:nvPicPr>
                  <pic:blipFill>
                    <a:blip r:embed="rId27"/>
                    <a:stretch>
                      <a:fillRect/>
                    </a:stretch>
                  </pic:blipFill>
                  <pic:spPr>
                    <a:xfrm>
                      <a:off x="0" y="0"/>
                      <a:ext cx="6188710" cy="1184910"/>
                    </a:xfrm>
                    <a:prstGeom prst="rect">
                      <a:avLst/>
                    </a:prstGeom>
                  </pic:spPr>
                </pic:pic>
              </a:graphicData>
            </a:graphic>
          </wp:inline>
        </w:drawing>
      </w:r>
    </w:p>
    <w:p w14:paraId="4E482939" w14:textId="03123B95" w:rsidR="0095021C" w:rsidRPr="00401B2C" w:rsidRDefault="0095021C" w:rsidP="0095021C">
      <w:r w:rsidRPr="00401B2C">
        <w:rPr>
          <w:shd w:val="clear" w:color="auto" w:fill="FFF2CC" w:themeFill="accent4" w:themeFillTint="33"/>
        </w:rPr>
        <w:t>Note: Detection rate comparison used for Group 2 Sexual Crime. Proportion comparison used for Group 2 Sexual Crime – Recent and Group 2 Sexual Crime – Non</w:t>
      </w:r>
      <w:r w:rsidR="00964291">
        <w:rPr>
          <w:shd w:val="clear" w:color="auto" w:fill="FFF2CC" w:themeFill="accent4" w:themeFillTint="33"/>
        </w:rPr>
        <w:t>-</w:t>
      </w:r>
      <w:r w:rsidRPr="00401B2C">
        <w:rPr>
          <w:shd w:val="clear" w:color="auto" w:fill="FFF2CC" w:themeFill="accent4" w:themeFillTint="33"/>
        </w:rPr>
        <w:t>Recent.</w:t>
      </w:r>
    </w:p>
    <w:p w14:paraId="41624E6B" w14:textId="2128E228" w:rsidR="0095021C" w:rsidRPr="006A013C" w:rsidRDefault="0095021C" w:rsidP="0095021C">
      <w:r w:rsidRPr="006A013C">
        <w:t>Overall sexual crime noted an increase compared to last year, up 3.2%, (237 more crimes) and increased against the five</w:t>
      </w:r>
      <w:r w:rsidR="00964291" w:rsidRPr="006A013C">
        <w:t>-</w:t>
      </w:r>
      <w:r w:rsidRPr="006A013C">
        <w:t>year mean (up 6.3%, 453 more crimes).</w:t>
      </w:r>
    </w:p>
    <w:p w14:paraId="7367291F" w14:textId="77777777" w:rsidR="0095021C" w:rsidRPr="006A013C" w:rsidRDefault="0095021C" w:rsidP="0095021C">
      <w:r w:rsidRPr="006A013C">
        <w:t>The detection rate of overall sexual crime is 57.5%, an increase of 2.3 percentage points against last year.</w:t>
      </w:r>
    </w:p>
    <w:p w14:paraId="57A18AB0" w14:textId="16E00C80" w:rsidR="0095021C" w:rsidRPr="00957AE8" w:rsidRDefault="0095021C" w:rsidP="0095021C">
      <w:r w:rsidRPr="00957AE8">
        <w:t>Non</w:t>
      </w:r>
      <w:r w:rsidR="00964291">
        <w:t>-</w:t>
      </w:r>
      <w:r w:rsidRPr="00957AE8">
        <w:t>recent sexual crime continues to increase with the proportion of non-recent sexual crime recorded increasing from 22.9% last year to 24.1% during the reporting period this year.</w:t>
      </w:r>
    </w:p>
    <w:p w14:paraId="6B5268A9" w14:textId="77777777" w:rsidR="0095021C" w:rsidRPr="007D421A" w:rsidRDefault="0095021C" w:rsidP="0095021C">
      <w:pPr>
        <w:pStyle w:val="Heading4"/>
      </w:pPr>
      <w:r w:rsidRPr="007D421A">
        <w:t>Rape</w:t>
      </w:r>
      <w:r>
        <w:t xml:space="preserve"> (Strategic Outcome 1)</w:t>
      </w:r>
    </w:p>
    <w:p w14:paraId="53861CB8" w14:textId="77777777" w:rsidR="0095021C" w:rsidRDefault="0095021C" w:rsidP="0095021C">
      <w:pPr>
        <w:rPr>
          <w:noProof/>
        </w:rPr>
      </w:pPr>
      <w:r>
        <w:rPr>
          <w:noProof/>
        </w:rPr>
        <w:drawing>
          <wp:inline distT="0" distB="0" distL="0" distR="0" wp14:anchorId="31C38EEC" wp14:editId="364EC1F6">
            <wp:extent cx="6188710" cy="1164590"/>
            <wp:effectExtent l="0" t="0" r="2540" b="0"/>
            <wp:docPr id="72427503" name="Picture 1" descr="Rape YTD Comparison Table&#10;The first row shows 1,174 rape crimes PYTD compared to 1,406 YTD (up 19.8% on last year). The six month sparkline shows a low of 206 crimes in April; 256 crimes in May; 239 crimes in June; 209 crimes in July; 238 crimes in August and a high of 258 crimes in September 2024.&#10;The second row shows 710 recent rape crimes PYTD compared to 849 YTD (up 19.6% on last year) with no six-month sparklines included.&#10;The third row shows 464 non-recent rape crimes PYTD compared to 557 YTD (up 20.0% on last year) with no six-month sparklines includ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7503" name="Picture 1" descr="Rape YTD Comparison Table&#10;The first row shows 1,174 rape crimes PYTD compared to 1,406 YTD (up 19.8% on last year). The six month sparkline shows a low of 206 crimes in April; 256 crimes in May; 239 crimes in June; 209 crimes in July; 238 crimes in August and a high of 258 crimes in September 2024.&#10;The second row shows 710 recent rape crimes PYTD compared to 849 YTD (up 19.6% on last year) with no six-month sparklines included.&#10;The third row shows 464 non-recent rape crimes PYTD compared to 557 YTD (up 20.0% on last year) with no six-month sparklines included.&#10;&#10;"/>
                    <pic:cNvPicPr/>
                  </pic:nvPicPr>
                  <pic:blipFill>
                    <a:blip r:embed="rId28"/>
                    <a:stretch>
                      <a:fillRect/>
                    </a:stretch>
                  </pic:blipFill>
                  <pic:spPr>
                    <a:xfrm>
                      <a:off x="0" y="0"/>
                      <a:ext cx="6188710" cy="1164590"/>
                    </a:xfrm>
                    <a:prstGeom prst="rect">
                      <a:avLst/>
                    </a:prstGeom>
                  </pic:spPr>
                </pic:pic>
              </a:graphicData>
            </a:graphic>
          </wp:inline>
        </w:drawing>
      </w:r>
    </w:p>
    <w:p w14:paraId="5B08AC76" w14:textId="77777777" w:rsidR="0095021C" w:rsidRDefault="0095021C" w:rsidP="0095021C">
      <w:pPr>
        <w:rPr>
          <w:noProof/>
        </w:rPr>
      </w:pPr>
      <w:r>
        <w:rPr>
          <w:noProof/>
        </w:rPr>
        <w:drawing>
          <wp:inline distT="0" distB="0" distL="0" distR="0" wp14:anchorId="0673C620" wp14:editId="22845F3E">
            <wp:extent cx="6188710" cy="1186815"/>
            <wp:effectExtent l="0" t="0" r="2540" b="0"/>
            <wp:docPr id="2102644201" name="Picture 1" descr="Rape Five-Year Comparison Table&#10;The first row shows the five-year mean for rape crimes is 1,185.0 compared to 1,406 YTD (up 18.6% on five-year mean). The five-year sparkline shows a low of 1,121 crimes in 2020/21; 1,223 crimes in 2021/22; 1,237 crimes in 2022/23; 1,174 crimes in 2023/24 and a high of 1,406 crimes in 2024/25 YTD.&#10;The second row shows the five-year mean for recent rape crimes is 709.6 compared to 849 YTD (up 19.6% on five-year mean). The five-year sparkline shows a low of 617 crimes in 2020/21; 726 crimes in 2021/22; 789 crimes in 2022/23; 710 crimes in 2023/24 and a high of 849 crimes in 2024/25 YTD.&#10;The third row shows the five-year mean for non-recent rape crimes is 475.4 compared to 557 YTD (up 17.2% on five-year mean). The five-year sparkline shows 504 crimes in 2020/21; 497 crimes in 2021/22; a low of 448 crimes in 2022/23; 464 crimes in 2023/24 and a high of 557 crimes in 2024/25 YT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44201" name="Picture 1" descr="Rape Five-Year Comparison Table&#10;The first row shows the five-year mean for rape crimes is 1,185.0 compared to 1,406 YTD (up 18.6% on five-year mean). The five-year sparkline shows a low of 1,121 crimes in 2020/21; 1,223 crimes in 2021/22; 1,237 crimes in 2022/23; 1,174 crimes in 2023/24 and a high of 1,406 crimes in 2024/25 YTD.&#10;The second row shows the five-year mean for recent rape crimes is 709.6 compared to 849 YTD (up 19.6% on five-year mean). The five-year sparkline shows a low of 617 crimes in 2020/21; 726 crimes in 2021/22; 789 crimes in 2022/23; 710 crimes in 2023/24 and a high of 849 crimes in 2024/25 YTD.&#10;The third row shows the five-year mean for non-recent rape crimes is 475.4 compared to 557 YTD (up 17.2% on five-year mean). The five-year sparkline shows 504 crimes in 2020/21; 497 crimes in 2021/22; a low of 448 crimes in 2022/23; 464 crimes in 2023/24 and a high of 557 crimes in 2024/25 YTD.&#10;&#10;"/>
                    <pic:cNvPicPr/>
                  </pic:nvPicPr>
                  <pic:blipFill>
                    <a:blip r:embed="rId29"/>
                    <a:stretch>
                      <a:fillRect/>
                    </a:stretch>
                  </pic:blipFill>
                  <pic:spPr>
                    <a:xfrm>
                      <a:off x="0" y="0"/>
                      <a:ext cx="6188710" cy="1186815"/>
                    </a:xfrm>
                    <a:prstGeom prst="rect">
                      <a:avLst/>
                    </a:prstGeom>
                  </pic:spPr>
                </pic:pic>
              </a:graphicData>
            </a:graphic>
          </wp:inline>
        </w:drawing>
      </w:r>
    </w:p>
    <w:p w14:paraId="76CD211A" w14:textId="77777777" w:rsidR="0095021C" w:rsidRDefault="0095021C" w:rsidP="0095021C">
      <w:pPr>
        <w:rPr>
          <w:noProof/>
        </w:rPr>
      </w:pPr>
      <w:r>
        <w:rPr>
          <w:noProof/>
        </w:rPr>
        <w:drawing>
          <wp:inline distT="0" distB="0" distL="0" distR="0" wp14:anchorId="4B46880B" wp14:editId="6BDDE283">
            <wp:extent cx="6188710" cy="1173480"/>
            <wp:effectExtent l="0" t="0" r="2540" b="7620"/>
            <wp:docPr id="319855393" name="Picture 1" descr="Rape Detection Rate/Proportion Comparison Table&#10;The first row shows the detection rate for rape crimes was 47.7% in PYTD compared to 53.5% in YTD (up 5.8% points on last year). The five-year detection rate sparkline shows 54.6% in 2020/21; a high of 55.5% in 2021/22; 53.2% in 2022/23; a low of 47.7% in 2023/24 and 53.5% in 2024/25 YTD.&#10;The second row shows the proportion of recent rape crimes was 60.5% in PYTD compared to 60.4% in YTD (down 0.1% points on last year) . The five-year proportion recent sparkline shows a low of 55.0% in 2020/21; 59.4% in 2021/22; a high of 63.8% in 2022/23; 60.5% in 2023/24 and 60.4% in 2024/25 YTD.&#10;The third row shows the proportion of non-recent rape crimes was 39.5% in PYTD compared to 39.6% in YTD (up 0.1% points on last year). The five-year proportion recent sparkline shows a high of 45.0% in 2020/21; 40.6% in 2021/22; a low of 36.2% in 2022/23; 39.5% in 2023/24 and 39.6% in 2024/25 YT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55393" name="Picture 1" descr="Rape Detection Rate/Proportion Comparison Table&#10;The first row shows the detection rate for rape crimes was 47.7% in PYTD compared to 53.5% in YTD (up 5.8% points on last year). The five-year detection rate sparkline shows 54.6% in 2020/21; a high of 55.5% in 2021/22; 53.2% in 2022/23; a low of 47.7% in 2023/24 and 53.5% in 2024/25 YTD.&#10;The second row shows the proportion of recent rape crimes was 60.5% in PYTD compared to 60.4% in YTD (down 0.1% points on last year) . The five-year proportion recent sparkline shows a low of 55.0% in 2020/21; 59.4% in 2021/22; a high of 63.8% in 2022/23; 60.5% in 2023/24 and 60.4% in 2024/25 YTD.&#10;The third row shows the proportion of non-recent rape crimes was 39.5% in PYTD compared to 39.6% in YTD (up 0.1% points on last year). The five-year proportion recent sparkline shows a high of 45.0% in 2020/21; 40.6% in 2021/22; a low of 36.2% in 2022/23; 39.5% in 2023/24 and 39.6% in 2024/25 YTD.&#10;&#10;"/>
                    <pic:cNvPicPr/>
                  </pic:nvPicPr>
                  <pic:blipFill>
                    <a:blip r:embed="rId30"/>
                    <a:stretch>
                      <a:fillRect/>
                    </a:stretch>
                  </pic:blipFill>
                  <pic:spPr>
                    <a:xfrm>
                      <a:off x="0" y="0"/>
                      <a:ext cx="6188710" cy="1173480"/>
                    </a:xfrm>
                    <a:prstGeom prst="rect">
                      <a:avLst/>
                    </a:prstGeom>
                  </pic:spPr>
                </pic:pic>
              </a:graphicData>
            </a:graphic>
          </wp:inline>
        </w:drawing>
      </w:r>
    </w:p>
    <w:p w14:paraId="367BD46A" w14:textId="0FCB65C0" w:rsidR="0095021C" w:rsidRPr="00401B2C" w:rsidRDefault="0095021C" w:rsidP="0095021C">
      <w:pPr>
        <w:rPr>
          <w:shd w:val="clear" w:color="auto" w:fill="FFF2CC" w:themeFill="accent4" w:themeFillTint="33"/>
        </w:rPr>
      </w:pPr>
      <w:r w:rsidRPr="00401B2C">
        <w:rPr>
          <w:shd w:val="clear" w:color="auto" w:fill="FFF2CC" w:themeFill="accent4" w:themeFillTint="33"/>
        </w:rPr>
        <w:lastRenderedPageBreak/>
        <w:t>Note: Detection rate comparison used for Rape Crime. Proportion comparison used for Rape Crime - Recent and Rape Crime - Non</w:t>
      </w:r>
      <w:r w:rsidR="005A7D69" w:rsidRPr="00401B2C">
        <w:rPr>
          <w:shd w:val="clear" w:color="auto" w:fill="FFF2CC" w:themeFill="accent4" w:themeFillTint="33"/>
        </w:rPr>
        <w:t>-</w:t>
      </w:r>
      <w:r w:rsidRPr="00401B2C">
        <w:rPr>
          <w:shd w:val="clear" w:color="auto" w:fill="FFF2CC" w:themeFill="accent4" w:themeFillTint="33"/>
        </w:rPr>
        <w:t>Recent.</w:t>
      </w:r>
    </w:p>
    <w:p w14:paraId="4790A4A0" w14:textId="3878DDEA" w:rsidR="0095021C" w:rsidRPr="009A76E0" w:rsidRDefault="0095021C" w:rsidP="0095021C">
      <w:r w:rsidRPr="006E1E87">
        <w:t xml:space="preserve">Rapes reported to </w:t>
      </w:r>
      <w:r w:rsidR="00CA64C8">
        <w:t>p</w:t>
      </w:r>
      <w:r w:rsidRPr="006E1E87">
        <w:t xml:space="preserve">olice increased during Quarter 2 compared to last year by 19.8% (232 </w:t>
      </w:r>
      <w:r w:rsidRPr="00FE0E14">
        <w:t>more crimes) and increased against the five</w:t>
      </w:r>
      <w:r w:rsidR="005A7D69">
        <w:t>-</w:t>
      </w:r>
      <w:r w:rsidRPr="00FE0E14">
        <w:t xml:space="preserve">year mean by 18.6% (221 more crimes). Rape of a female over 16 continues to drive the increase in overall rape (up 16.4% 134 crimes against last year). All crime categories within rape note an increase compared to last year with the exception of </w:t>
      </w:r>
      <w:r w:rsidR="0052119C">
        <w:t>f</w:t>
      </w:r>
      <w:r w:rsidRPr="00FE0E14">
        <w:t>emales under 13, decreasing against last year and the five</w:t>
      </w:r>
      <w:r w:rsidR="005A7D69">
        <w:t>-</w:t>
      </w:r>
      <w:r w:rsidRPr="00FE0E14">
        <w:t>year</w:t>
      </w:r>
      <w:r w:rsidR="005A7D69">
        <w:t xml:space="preserve"> mean</w:t>
      </w:r>
      <w:r w:rsidRPr="00FE0E14">
        <w:t>.</w:t>
      </w:r>
    </w:p>
    <w:p w14:paraId="7C0A87E4" w14:textId="52B9E2E7" w:rsidR="00441B32" w:rsidRDefault="00441B32" w:rsidP="00441B32">
      <w:r w:rsidRPr="00441B32">
        <w:t>Greater Glasgow and The Lothians and Scottish Borders Divisions have recorded the highest volume of rapes than in the same period in any other year and continue to have the greatest increase compared to any other division across the Force</w:t>
      </w:r>
      <w:r w:rsidR="0095021C" w:rsidRPr="00942715">
        <w:t>.</w:t>
      </w:r>
    </w:p>
    <w:p w14:paraId="43559A51" w14:textId="664D2C45" w:rsidR="0095021C" w:rsidRPr="005A33E3" w:rsidRDefault="009D648F" w:rsidP="0095021C">
      <w:r w:rsidRPr="005A33E3">
        <w:t>Analysis is ongoing to better understand increases in volumes of rape across the Service.</w:t>
      </w:r>
    </w:p>
    <w:p w14:paraId="460DDFD4" w14:textId="77777777" w:rsidR="0095021C" w:rsidRDefault="0095021C" w:rsidP="0095021C">
      <w:pPr>
        <w:pStyle w:val="Heading4"/>
      </w:pPr>
      <w:r w:rsidRPr="0091371E">
        <w:t>Child Sexual Abuse</w:t>
      </w:r>
      <w:r>
        <w:t xml:space="preserve"> Online (Strategic Outcome 1</w:t>
      </w:r>
      <w:r w:rsidRPr="0091371E">
        <w:t>)</w:t>
      </w:r>
    </w:p>
    <w:p w14:paraId="1D50B005" w14:textId="77777777" w:rsidR="0095021C" w:rsidRDefault="0095021C" w:rsidP="0095021C">
      <w:pPr>
        <w:rPr>
          <w:lang w:eastAsia="en-GB"/>
        </w:rPr>
      </w:pPr>
      <w:r>
        <w:rPr>
          <w:noProof/>
        </w:rPr>
        <w:drawing>
          <wp:inline distT="0" distB="0" distL="0" distR="0" wp14:anchorId="3A47B799" wp14:editId="6C5B33BC">
            <wp:extent cx="6188710" cy="1747520"/>
            <wp:effectExtent l="0" t="0" r="2540" b="5080"/>
            <wp:docPr id="1527575578" name="Picture 1" descr="Child Sexual Abuse Online Table&#10;The first section (recorded YTD comparison) shows 976 online child sexual abuse crimes PYTD compared to 1,029 YTD (up 5.4% on last year). The six month sparkline shows 168 crimes in April; 179 crimes in May; a low of 162 crimes in June; a high of 181 crimes in July; 173 crimes in August and 166 crimes in September 2024.&#10;The second section (recorded five-year comparison) shows the five-year mean for online child sexual abuse crimes is 943.4 compared to 1,029 YTD (up 9.1% on five-year mean). The five-year sparkline shows 1,026 crimes in 2020/21; 931 crimes in 2021/22; a low of 919 crimes in 2022/23; 976 crimes in 2023/24 and a high of 1,029 crimes in 2024/25 YTD.&#10;The third section (recorded detection rate comparison) shows the detection rate for online child sexual abuse crimes was 70.3% in PYTD compared to 69.8% in YTD (down 0.5% points on last year). The five-year detection rate sparkline shows a low of 62.0% in 2020/21; 64.1% in 2021/22; 70.0% in 2022/23; a high of 70.3% in 2023/24 and 69.8% in 2024/25 YT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75578" name="Picture 1" descr="Child Sexual Abuse Online Table&#10;The first section (recorded YTD comparison) shows 976 online child sexual abuse crimes PYTD compared to 1,029 YTD (up 5.4% on last year). The six month sparkline shows 168 crimes in April; 179 crimes in May; a low of 162 crimes in June; a high of 181 crimes in July; 173 crimes in August and 166 crimes in September 2024.&#10;The second section (recorded five-year comparison) shows the five-year mean for online child sexual abuse crimes is 943.4 compared to 1,029 YTD (up 9.1% on five-year mean). The five-year sparkline shows 1,026 crimes in 2020/21; 931 crimes in 2021/22; a low of 919 crimes in 2022/23; 976 crimes in 2023/24 and a high of 1,029 crimes in 2024/25 YTD.&#10;The third section (recorded detection rate comparison) shows the detection rate for online child sexual abuse crimes was 70.3% in PYTD compared to 69.8% in YTD (down 0.5% points on last year). The five-year detection rate sparkline shows a low of 62.0% in 2020/21; 64.1% in 2021/22; 70.0% in 2022/23; a high of 70.3% in 2023/24 and 69.8% in 2024/25 YTD.&#10;&#10;"/>
                    <pic:cNvPicPr/>
                  </pic:nvPicPr>
                  <pic:blipFill>
                    <a:blip r:embed="rId31"/>
                    <a:stretch>
                      <a:fillRect/>
                    </a:stretch>
                  </pic:blipFill>
                  <pic:spPr>
                    <a:xfrm>
                      <a:off x="0" y="0"/>
                      <a:ext cx="6188710" cy="1747520"/>
                    </a:xfrm>
                    <a:prstGeom prst="rect">
                      <a:avLst/>
                    </a:prstGeom>
                  </pic:spPr>
                </pic:pic>
              </a:graphicData>
            </a:graphic>
          </wp:inline>
        </w:drawing>
      </w:r>
    </w:p>
    <w:p w14:paraId="3B7D67CA" w14:textId="1EDBF475" w:rsidR="0095021C" w:rsidRPr="00012B8E" w:rsidRDefault="0095021C" w:rsidP="0095021C">
      <w:pPr>
        <w:rPr>
          <w:lang w:eastAsia="en-GB"/>
        </w:rPr>
      </w:pPr>
      <w:r w:rsidRPr="00012B8E">
        <w:rPr>
          <w:lang w:eastAsia="en-GB"/>
        </w:rPr>
        <w:t>Online child sexual abuse crimes increased compared to the same period last year (up 5.4%, 53 crimes) and against the five-year mean (up 9.1%, 86 crimes).</w:t>
      </w:r>
    </w:p>
    <w:p w14:paraId="55037E28" w14:textId="1CA6A7C5" w:rsidR="0095021C" w:rsidRPr="00012B8E" w:rsidRDefault="0095021C" w:rsidP="0095021C">
      <w:r w:rsidRPr="00012B8E">
        <w:t>The number of online child sexual abuse crimes recorded each month from April to September have been relatively static.</w:t>
      </w:r>
    </w:p>
    <w:p w14:paraId="020BB334" w14:textId="31C60C90" w:rsidR="0095021C" w:rsidRPr="00012B8E" w:rsidRDefault="0095021C" w:rsidP="0095021C">
      <w:pPr>
        <w:rPr>
          <w:lang w:eastAsia="en-GB"/>
        </w:rPr>
      </w:pPr>
      <w:r w:rsidRPr="00012B8E">
        <w:rPr>
          <w:lang w:eastAsia="en-GB"/>
        </w:rPr>
        <w:t>Overall, the detection rate for online child sexual abuse is 69.8%, a slight decrease compared to last year (70.3%) and an increase compared to the five</w:t>
      </w:r>
      <w:r w:rsidR="00AF7589" w:rsidRPr="00012B8E">
        <w:rPr>
          <w:lang w:eastAsia="en-GB"/>
        </w:rPr>
        <w:t>-</w:t>
      </w:r>
      <w:r w:rsidRPr="00012B8E">
        <w:rPr>
          <w:lang w:eastAsia="en-GB"/>
        </w:rPr>
        <w:t>year mean (66.3%).</w:t>
      </w:r>
    </w:p>
    <w:p w14:paraId="15E6903C" w14:textId="77777777" w:rsidR="0095021C" w:rsidRPr="007766C6" w:rsidRDefault="0095021C" w:rsidP="009A76E0">
      <w:pPr>
        <w:pStyle w:val="Heading4"/>
      </w:pPr>
      <w:r w:rsidRPr="007766C6">
        <w:t xml:space="preserve">Child Sexual Abuse </w:t>
      </w:r>
      <w:r>
        <w:t>On</w:t>
      </w:r>
      <w:r w:rsidRPr="007766C6">
        <w:t>line – Crime Types</w:t>
      </w:r>
    </w:p>
    <w:p w14:paraId="49380612" w14:textId="51F0AF97" w:rsidR="0095021C" w:rsidRPr="009A76E0" w:rsidRDefault="0095021C" w:rsidP="0095021C">
      <w:r w:rsidRPr="00AE4602">
        <w:t>All classifications of online child sexual abuse noted an increase compared to last year, except for grooming</w:t>
      </w:r>
      <w:r>
        <w:t xml:space="preserve"> and </w:t>
      </w:r>
      <w:r w:rsidRPr="00AE4602">
        <w:t>communicating indecently male and female under 13</w:t>
      </w:r>
      <w:r>
        <w:t xml:space="preserve">. </w:t>
      </w:r>
      <w:r w:rsidRPr="00AE4602">
        <w:t xml:space="preserve">Grooming of children for the purposes of sexual offences decreased by seven crimes compared to last year and by 15 crimes against the five-year mean. </w:t>
      </w:r>
      <w:r w:rsidRPr="004F6ABF">
        <w:t>The number of communicating indecently with male / female under 13 crimes are down 16.5% (27 crimes) compared to last year and also down slightly against the five</w:t>
      </w:r>
      <w:r w:rsidR="00AF7589" w:rsidRPr="004F6ABF">
        <w:t>-</w:t>
      </w:r>
      <w:r w:rsidRPr="004F6ABF">
        <w:t>year mean.</w:t>
      </w:r>
    </w:p>
    <w:p w14:paraId="054DBAD5" w14:textId="77777777" w:rsidR="0095021C" w:rsidRDefault="0095021C" w:rsidP="0095021C">
      <w:pPr>
        <w:pStyle w:val="Heading4"/>
      </w:pPr>
      <w:r>
        <w:lastRenderedPageBreak/>
        <w:t>Domestic Abuse (Strategic Outcome 1)</w:t>
      </w:r>
    </w:p>
    <w:p w14:paraId="12052C23" w14:textId="77777777" w:rsidR="0095021C" w:rsidRDefault="0095021C" w:rsidP="0095021C">
      <w:r>
        <w:rPr>
          <w:noProof/>
        </w:rPr>
        <w:drawing>
          <wp:inline distT="0" distB="0" distL="0" distR="0" wp14:anchorId="01DC9442" wp14:editId="06305D41">
            <wp:extent cx="6188710" cy="1459865"/>
            <wp:effectExtent l="0" t="0" r="2540" b="6985"/>
            <wp:docPr id="2103489317" name="Picture 1" descr="Domestic Abuse YTD Comparison Table&#10;The first row shows 31,132 domestic abuse incidents PYTD compared to 32,717 YTD (up 5.1% on last year). The six month sparkline shows a low of 5,226 incidents in April; a high of 5,778 incidents in May; 5,418 incidents in June; 5,520 incidents in July; 5,537 incidents in August and 5,238 incidents in September 2024.&#10;The second row shows 18,243 domestic abuse crimes PYTD compared to 20,271 YTD (up 11.1% on last year). The six month sparkline shows a low of 3,251 crimes in April; a high of 3,451 crimes in May; 3,354 crimes in June; 3,444 crimes in July; 3,421 crimes in August and 3,350 crimes in September 2024.&#10;The third row shows 915 domestic abuse of female crimes PYTD compared to 1,183 YTD (up 29.3% on last year). The six month sparkline shows 195 crimes in April; a low of 180 crimes in May &amp; June; 189 crimes in July; 217 crimes in August; and a high of 222 crimes in September 2024.&#10;The fourth row shows 58 domestic abuse of male crimes PYTD compared to 78 YTD (up 34.5% on last year). The six month sparkline shows a low of 5 crimes in April; 15 crimes in May; 9 crimes in June; 13 crimes in July; and a high of 18 crimes in August and September 202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89317" name="Picture 1" descr="Domestic Abuse YTD Comparison Table&#10;The first row shows 31,132 domestic abuse incidents PYTD compared to 32,717 YTD (up 5.1% on last year). The six month sparkline shows a low of 5,226 incidents in April; a high of 5,778 incidents in May; 5,418 incidents in June; 5,520 incidents in July; 5,537 incidents in August and 5,238 incidents in September 2024.&#10;The second row shows 18,243 domestic abuse crimes PYTD compared to 20,271 YTD (up 11.1% on last year). The six month sparkline shows a low of 3,251 crimes in April; a high of 3,451 crimes in May; 3,354 crimes in June; 3,444 crimes in July; 3,421 crimes in August and 3,350 crimes in September 2024.&#10;The third row shows 915 domestic abuse of female crimes PYTD compared to 1,183 YTD (up 29.3% on last year). The six month sparkline shows 195 crimes in April; a low of 180 crimes in May &amp; June; 189 crimes in July; 217 crimes in August; and a high of 222 crimes in September 2024.&#10;The fourth row shows 58 domestic abuse of male crimes PYTD compared to 78 YTD (up 34.5% on last year). The six month sparkline shows a low of 5 crimes in April; 15 crimes in May; 9 crimes in June; 13 crimes in July; and a high of 18 crimes in August and September 2024.&#10;&#10;"/>
                    <pic:cNvPicPr/>
                  </pic:nvPicPr>
                  <pic:blipFill>
                    <a:blip r:embed="rId32"/>
                    <a:stretch>
                      <a:fillRect/>
                    </a:stretch>
                  </pic:blipFill>
                  <pic:spPr>
                    <a:xfrm>
                      <a:off x="0" y="0"/>
                      <a:ext cx="6188710" cy="1459865"/>
                    </a:xfrm>
                    <a:prstGeom prst="rect">
                      <a:avLst/>
                    </a:prstGeom>
                  </pic:spPr>
                </pic:pic>
              </a:graphicData>
            </a:graphic>
          </wp:inline>
        </w:drawing>
      </w:r>
    </w:p>
    <w:p w14:paraId="6B7AFB60" w14:textId="77777777" w:rsidR="0095021C" w:rsidRDefault="0095021C" w:rsidP="0095021C">
      <w:r>
        <w:rPr>
          <w:noProof/>
        </w:rPr>
        <w:drawing>
          <wp:inline distT="0" distB="0" distL="0" distR="0" wp14:anchorId="08763FB7" wp14:editId="3B770352">
            <wp:extent cx="6188710" cy="1453515"/>
            <wp:effectExtent l="0" t="0" r="2540" b="0"/>
            <wp:docPr id="1467202814" name="Picture 1" descr="Domestic Abuse Five-Year Comparison Table&#10;The first row shows the five-year mean for domestic abuse incidents is 31,643.8 compared to 32,717 YTD (up 3.4% on five-year mean). The five-year sparkline shows a high of 33,628 incidents in 2020/21; 31,329 incidents in 2021/22; a low of 30,546 incidents in 2022/23; 31,132 incidents in 2023/24 and 32,717 incidents in 2024/25 YTD.&#10;The second row shows the five-year mean for domestic abuse crimes is 19,524.6 compared to 20,271 YTD (up 3.8% on five-year mean). The five-year sparkline shows a high of 20,952 crimes in 2020/21; 19,747 crimes in 2021/22; 18,815 crimes in 2022/23; a low of 18,243 crimes in 2023/24 and 20,271 crimes in 2024/25 YTD.&#10;The third row shows the three-year mean for domestic abuse of female crimes is 987.3 compared to 1,183 YTD (up 19.8% on three-year mean). The three-year sparkline shows a low of 864 crimes in 2022/23; 915 crimes in 2023/24 and a high of 1,183 crimes in 2024/25 YTD.&#10;The fourth row shows the three-year mean for domestic abuse of male crimes is 60.0 compared to 78 YTD (up 30.0% on three-year mean). The three-year sparkline shows a low of 44 crimes in 2022/23; 58 crimes in 2023/24 and a high of 78 crimes in 2024/25 YT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02814" name="Picture 1" descr="Domestic Abuse Five-Year Comparison Table&#10;The first row shows the five-year mean for domestic abuse incidents is 31,643.8 compared to 32,717 YTD (up 3.4% on five-year mean). The five-year sparkline shows a high of 33,628 incidents in 2020/21; 31,329 incidents in 2021/22; a low of 30,546 incidents in 2022/23; 31,132 incidents in 2023/24 and 32,717 incidents in 2024/25 YTD.&#10;The second row shows the five-year mean for domestic abuse crimes is 19,524.6 compared to 20,271 YTD (up 3.8% on five-year mean). The five-year sparkline shows a high of 20,952 crimes in 2020/21; 19,747 crimes in 2021/22; 18,815 crimes in 2022/23; a low of 18,243 crimes in 2023/24 and 20,271 crimes in 2024/25 YTD.&#10;The third row shows the three-year mean for domestic abuse of female crimes is 987.3 compared to 1,183 YTD (up 19.8% on three-year mean). The three-year sparkline shows a low of 864 crimes in 2022/23; 915 crimes in 2023/24 and a high of 1,183 crimes in 2024/25 YTD.&#10;The fourth row shows the three-year mean for domestic abuse of male crimes is 60.0 compared to 78 YTD (up 30.0% on three-year mean). The three-year sparkline shows a low of 44 crimes in 2022/23; 58 crimes in 2023/24 and a high of 78 crimes in 2024/25 YTD.&#10;&#10;"/>
                    <pic:cNvPicPr/>
                  </pic:nvPicPr>
                  <pic:blipFill>
                    <a:blip r:embed="rId33"/>
                    <a:stretch>
                      <a:fillRect/>
                    </a:stretch>
                  </pic:blipFill>
                  <pic:spPr>
                    <a:xfrm>
                      <a:off x="0" y="0"/>
                      <a:ext cx="6188710" cy="1453515"/>
                    </a:xfrm>
                    <a:prstGeom prst="rect">
                      <a:avLst/>
                    </a:prstGeom>
                  </pic:spPr>
                </pic:pic>
              </a:graphicData>
            </a:graphic>
          </wp:inline>
        </w:drawing>
      </w:r>
    </w:p>
    <w:p w14:paraId="680A88B6" w14:textId="77777777" w:rsidR="0095021C" w:rsidRDefault="0095021C" w:rsidP="0095021C">
      <w:r>
        <w:rPr>
          <w:noProof/>
        </w:rPr>
        <w:drawing>
          <wp:inline distT="0" distB="0" distL="0" distR="0" wp14:anchorId="5FC7460B" wp14:editId="7AD70476">
            <wp:extent cx="6188710" cy="1456055"/>
            <wp:effectExtent l="0" t="0" r="2540" b="0"/>
            <wp:docPr id="1807739940" name="Picture 1" descr="Domestic Abuse Detection Rate/Proportion Comparison Table&#10;The first row shows the proportion of domestic abuse incidents resulting in a crime was 42.4% in PYTD compared to 39.6% in YTD (down 2.8% points on last year). The five-year proportion rate sparkline shows a high of 44.3% in 2020/21; 43.8% in 2021/22; 43.3% in 2022/23; 42.4% in 2023/24 and a low of 39.6% in 2024/25 YTD.&#10;The second row shows the detection rate for domestic abuse crimes was 61.9% in PYTD compared to 64.0% in YTD (up 2.1% points on last year) . The five-year detection rate sparkline shows a high of 70.0% in 2020/21; 68.1% in 2021/22; 64.6% in 2022/23; a low of 61.9% in 2023/24 and 64.0% in 2024/25 YTD.&#10;The third row shows the detection rate for domestic abuse of female crimes was 74.6% in PYTD compared to 69.6% in YTD (down 5.0% points on last year). The three-year detection rate sparkline shows 70.1% in 2022/23; a high of 74.6% in 2023/24 and a low of 69.6% in 2024/25 YTD.&#10;The fourth row shows the detection rate for domestic abuse of male crimes was 51.7% in PYTD compared to 48.7% in YTD (down 3.0% points on last year). The three-year detection rate sparkline shows a 50.0% in 2022/23; a high of 51.7% in 2023/24 and a low of 48.7% in 2024/25 YT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39940" name="Picture 1" descr="Domestic Abuse Detection Rate/Proportion Comparison Table&#10;The first row shows the proportion of domestic abuse incidents resulting in a crime was 42.4% in PYTD compared to 39.6% in YTD (down 2.8% points on last year). The five-year proportion rate sparkline shows a high of 44.3% in 2020/21; 43.8% in 2021/22; 43.3% in 2022/23; 42.4% in 2023/24 and a low of 39.6% in 2024/25 YTD.&#10;The second row shows the detection rate for domestic abuse crimes was 61.9% in PYTD compared to 64.0% in YTD (up 2.1% points on last year) . The five-year detection rate sparkline shows a high of 70.0% in 2020/21; 68.1% in 2021/22; 64.6% in 2022/23; a low of 61.9% in 2023/24 and 64.0% in 2024/25 YTD.&#10;The third row shows the detection rate for domestic abuse of female crimes was 74.6% in PYTD compared to 69.6% in YTD (down 5.0% points on last year). The three-year detection rate sparkline shows 70.1% in 2022/23; a high of 74.6% in 2023/24 and a low of 69.6% in 2024/25 YTD.&#10;The fourth row shows the detection rate for domestic abuse of male crimes was 51.7% in PYTD compared to 48.7% in YTD (down 3.0% points on last year). The three-year detection rate sparkline shows a 50.0% in 2022/23; a high of 51.7% in 2023/24 and a low of 48.7% in 2024/25 YTD.&#10;&#10;"/>
                    <pic:cNvPicPr/>
                  </pic:nvPicPr>
                  <pic:blipFill>
                    <a:blip r:embed="rId34"/>
                    <a:stretch>
                      <a:fillRect/>
                    </a:stretch>
                  </pic:blipFill>
                  <pic:spPr>
                    <a:xfrm>
                      <a:off x="0" y="0"/>
                      <a:ext cx="6188710" cy="1456055"/>
                    </a:xfrm>
                    <a:prstGeom prst="rect">
                      <a:avLst/>
                    </a:prstGeom>
                  </pic:spPr>
                </pic:pic>
              </a:graphicData>
            </a:graphic>
          </wp:inline>
        </w:drawing>
      </w:r>
    </w:p>
    <w:p w14:paraId="691DD0F9" w14:textId="20813EDF" w:rsidR="00A363D7" w:rsidRPr="004C6E68" w:rsidRDefault="0095021C" w:rsidP="00A363D7">
      <w:r w:rsidRPr="004C6E68">
        <w:t>Police Scotland has moved to a new single national crime recording system (National Unifi), which is capable of recording domestic related crimes. Previously</w:t>
      </w:r>
      <w:r w:rsidR="004172CB">
        <w:t>,</w:t>
      </w:r>
      <w:r w:rsidRPr="004C6E68">
        <w:t xml:space="preserve"> due to limitations in legacy crime recording systems</w:t>
      </w:r>
      <w:r w:rsidR="004172CB">
        <w:t>,</w:t>
      </w:r>
      <w:r w:rsidRPr="004C6E68">
        <w:t xml:space="preserve"> domestic crime was recorded and counted in </w:t>
      </w:r>
      <w:r w:rsidR="004172CB">
        <w:t>the</w:t>
      </w:r>
      <w:r w:rsidRPr="004C6E68">
        <w:t xml:space="preserve"> Vulnerable Person Database. </w:t>
      </w:r>
      <w:r w:rsidR="004172CB">
        <w:t>F</w:t>
      </w:r>
      <w:r w:rsidRPr="004C6E68">
        <w:t>rom 01 April 2024</w:t>
      </w:r>
      <w:r w:rsidR="004172CB">
        <w:t>,</w:t>
      </w:r>
      <w:r w:rsidRPr="004C6E68">
        <w:t xml:space="preserve"> all crime data (including domestic abuse) </w:t>
      </w:r>
      <w:r w:rsidR="004172CB">
        <w:t>now</w:t>
      </w:r>
      <w:r w:rsidRPr="004C6E68">
        <w:t xml:space="preserve"> come</w:t>
      </w:r>
      <w:r w:rsidR="004172CB">
        <w:t>s</w:t>
      </w:r>
      <w:r w:rsidRPr="004C6E68">
        <w:t xml:space="preserve"> from the same system.</w:t>
      </w:r>
      <w:r w:rsidR="00A363D7" w:rsidRPr="00A363D7">
        <w:t xml:space="preserve"> </w:t>
      </w:r>
      <w:r w:rsidR="00A363D7">
        <w:t xml:space="preserve">Please refer to the </w:t>
      </w:r>
      <w:hyperlink r:id="rId35" w:history="1">
        <w:r w:rsidR="00A363D7" w:rsidRPr="00A363D7">
          <w:rPr>
            <w:rStyle w:val="Hyperlink"/>
          </w:rPr>
          <w:t>Quarter 1 SPA Performance Report</w:t>
        </w:r>
      </w:hyperlink>
      <w:r w:rsidR="00A363D7">
        <w:t xml:space="preserve"> for a</w:t>
      </w:r>
      <w:r w:rsidR="00A363D7" w:rsidRPr="004C6E68">
        <w:t>n example of the differences in methodology</w:t>
      </w:r>
      <w:r w:rsidR="00A363D7">
        <w:t>.</w:t>
      </w:r>
    </w:p>
    <w:p w14:paraId="3E752DEF" w14:textId="44AC4AEA" w:rsidR="0095021C" w:rsidRPr="0095021C" w:rsidRDefault="0095021C" w:rsidP="0095021C">
      <w:r w:rsidRPr="00DD397D">
        <w:t xml:space="preserve">Domestic </w:t>
      </w:r>
      <w:r w:rsidR="00F41B00">
        <w:t xml:space="preserve">abuse </w:t>
      </w:r>
      <w:r w:rsidRPr="00DD397D">
        <w:t>crimes have increased compared to last year, up 11.1% (2,028 crimes) and against the five</w:t>
      </w:r>
      <w:r w:rsidR="00733844" w:rsidRPr="00DD397D">
        <w:t>-</w:t>
      </w:r>
      <w:r w:rsidRPr="00DD397D">
        <w:t>year mean (up 3.8%, 747 crimes)</w:t>
      </w:r>
      <w:r>
        <w:t xml:space="preserve">, </w:t>
      </w:r>
      <w:r w:rsidRPr="00DD397D">
        <w:t>Domestic incidents also noted an increase, up 5.1% (1,585 incidents) against last year and up 3.4% (1,074 incidents) against the five-year mean.</w:t>
      </w:r>
    </w:p>
    <w:p w14:paraId="306FFCEC" w14:textId="77777777" w:rsidR="0095021C" w:rsidRPr="00DD397D" w:rsidRDefault="0095021C" w:rsidP="0095021C">
      <w:r w:rsidRPr="00DD397D">
        <w:t>Overall DASA crimes increased by 29.6% (288 crimes) with DASA of a female increasing by 268 crimes and DASA of a male increasing by 20 crimes compared to last year.</w:t>
      </w:r>
    </w:p>
    <w:p w14:paraId="5346AE11" w14:textId="60953A8E" w:rsidR="0095021C" w:rsidRPr="003F3D6C" w:rsidRDefault="0095021C" w:rsidP="0095021C">
      <w:pPr>
        <w:rPr>
          <w:rFonts w:cs="Arial"/>
          <w:color w:val="000000" w:themeColor="text1"/>
        </w:rPr>
      </w:pPr>
      <w:r w:rsidRPr="003F3D6C">
        <w:rPr>
          <w:rFonts w:cs="Arial"/>
          <w:color w:val="000000" w:themeColor="text1"/>
        </w:rPr>
        <w:t xml:space="preserve">Two domestic homicides </w:t>
      </w:r>
      <w:r>
        <w:rPr>
          <w:rFonts w:cs="Arial"/>
          <w:color w:val="000000" w:themeColor="text1"/>
        </w:rPr>
        <w:t>were</w:t>
      </w:r>
      <w:r w:rsidRPr="003F3D6C">
        <w:rPr>
          <w:rFonts w:cs="Arial"/>
          <w:color w:val="000000" w:themeColor="text1"/>
        </w:rPr>
        <w:t xml:space="preserve"> recorded </w:t>
      </w:r>
      <w:r>
        <w:rPr>
          <w:rFonts w:cs="Arial"/>
          <w:color w:val="000000" w:themeColor="text1"/>
        </w:rPr>
        <w:t>during the</w:t>
      </w:r>
      <w:r w:rsidRPr="003F3D6C">
        <w:rPr>
          <w:rFonts w:cs="Arial"/>
          <w:color w:val="000000" w:themeColor="text1"/>
        </w:rPr>
        <w:t xml:space="preserve"> reporting period, both of which were committed in June 2024.</w:t>
      </w:r>
      <w:r>
        <w:rPr>
          <w:rFonts w:cs="Arial"/>
          <w:color w:val="000000" w:themeColor="text1"/>
        </w:rPr>
        <w:t xml:space="preserve"> Both domestic homicides </w:t>
      </w:r>
      <w:r w:rsidR="004172CB">
        <w:rPr>
          <w:rFonts w:cs="Arial"/>
          <w:color w:val="000000" w:themeColor="text1"/>
        </w:rPr>
        <w:t>have been</w:t>
      </w:r>
      <w:r>
        <w:rPr>
          <w:rFonts w:cs="Arial"/>
          <w:color w:val="000000" w:themeColor="text1"/>
        </w:rPr>
        <w:t xml:space="preserve"> detected.</w:t>
      </w:r>
    </w:p>
    <w:p w14:paraId="5990B531" w14:textId="77777777" w:rsidR="0095021C" w:rsidRDefault="0095021C" w:rsidP="009A76E0">
      <w:pPr>
        <w:pStyle w:val="Heading4"/>
      </w:pPr>
      <w:r w:rsidRPr="00D25688">
        <w:t>Disclosure Scheme for Domestic Abuse Scotland (DSDAS)</w:t>
      </w:r>
    </w:p>
    <w:p w14:paraId="1F83EBAC" w14:textId="4F71023E" w:rsidR="0095021C" w:rsidRPr="00020856" w:rsidRDefault="0095021C" w:rsidP="0095021C">
      <w:pPr>
        <w:rPr>
          <w:rFonts w:cs="Arial"/>
        </w:rPr>
      </w:pPr>
      <w:r w:rsidRPr="00020856">
        <w:rPr>
          <w:rFonts w:cs="Arial"/>
        </w:rPr>
        <w:t>During the reporting period DSDAS applications have increased by 30.8% overall</w:t>
      </w:r>
      <w:r w:rsidR="004172CB">
        <w:rPr>
          <w:rFonts w:cs="Arial"/>
        </w:rPr>
        <w:t>,</w:t>
      </w:r>
      <w:r w:rsidRPr="00020856">
        <w:rPr>
          <w:rFonts w:cs="Arial"/>
        </w:rPr>
        <w:t xml:space="preserve"> with a 21.6% increase in Power to Tell (PTT) applications and a 52.2% increase in Right to Ask </w:t>
      </w:r>
      <w:r w:rsidRPr="00020856">
        <w:rPr>
          <w:rFonts w:cs="Arial"/>
        </w:rPr>
        <w:lastRenderedPageBreak/>
        <w:t>(RTA) applications</w:t>
      </w:r>
      <w:r w:rsidR="004172CB">
        <w:rPr>
          <w:rFonts w:cs="Arial"/>
        </w:rPr>
        <w:t>,</w:t>
      </w:r>
      <w:r w:rsidRPr="00020856">
        <w:rPr>
          <w:rFonts w:cs="Arial"/>
        </w:rPr>
        <w:t xml:space="preserve"> compared to the same period last year.</w:t>
      </w:r>
      <w:r>
        <w:rPr>
          <w:rFonts w:cs="Arial"/>
        </w:rPr>
        <w:t xml:space="preserve"> </w:t>
      </w:r>
      <w:r>
        <w:t xml:space="preserve">Traditionally, the larger increase is noted in the </w:t>
      </w:r>
      <w:r w:rsidR="00733844">
        <w:t>PTT</w:t>
      </w:r>
      <w:r>
        <w:t xml:space="preserve"> pathway (Police Generated) however, this year the largest increase has been noted in the </w:t>
      </w:r>
      <w:r w:rsidR="00733844">
        <w:t>RTA</w:t>
      </w:r>
      <w:r>
        <w:t xml:space="preserve"> pathway. This may suggest an increase in awareness and/or confidence in our approach to domestic abuse.</w:t>
      </w:r>
    </w:p>
    <w:p w14:paraId="22F4FB48" w14:textId="77777777" w:rsidR="0095021C" w:rsidRDefault="0095021C" w:rsidP="0095021C">
      <w:pPr>
        <w:pStyle w:val="Heading4"/>
      </w:pPr>
      <w:r w:rsidRPr="003C77EC">
        <w:t>Hate Crime</w:t>
      </w:r>
      <w:r>
        <w:t xml:space="preserve"> (Strategic Outcome 2)</w:t>
      </w:r>
    </w:p>
    <w:p w14:paraId="2B58ABCF" w14:textId="77777777" w:rsidR="0095021C" w:rsidRDefault="0095021C" w:rsidP="0095021C">
      <w:r>
        <w:rPr>
          <w:noProof/>
        </w:rPr>
        <w:drawing>
          <wp:inline distT="0" distB="0" distL="0" distR="0" wp14:anchorId="25D3155C" wp14:editId="2DE732E1">
            <wp:extent cx="6188710" cy="889000"/>
            <wp:effectExtent l="0" t="0" r="2540" b="6350"/>
            <wp:docPr id="821158394" name="Picture 1" descr="Hate Crime YTD Comparison Table&#10;The first row shows 643 non crime hate incidents PYTD compared to 536 YTD (down 16.6% on last year). The six month sparkline shows a high of 107 incidents in April; 91 incidents in May; 91 incidents in June; a low of 77 incidents in July; 84 incidents in August and 86 incidents in September 2024.&#10;The second row shows 3,321 hate crimes PYTD compared to 5,376 YTD (up 61.9% on last year). The six month sparkline shows 864 crimes in April; 951 crimes in May; 890 crimes in June; a low of 824 crimes in July; a high of 978 crimes in August and 868 crimes in September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58394" name="Picture 1" descr="Hate Crime YTD Comparison Table&#10;The first row shows 643 non crime hate incidents PYTD compared to 536 YTD (down 16.6% on last year). The six month sparkline shows a high of 107 incidents in April; 91 incidents in May; 91 incidents in June; a low of 77 incidents in July; 84 incidents in August and 86 incidents in September 2024.&#10;The second row shows 3,321 hate crimes PYTD compared to 5,376 YTD (up 61.9% on last year). The six month sparkline shows 864 crimes in April; 951 crimes in May; 890 crimes in June; a low of 824 crimes in July; a high of 978 crimes in August and 868 crimes in September 2024.&#10;"/>
                    <pic:cNvPicPr/>
                  </pic:nvPicPr>
                  <pic:blipFill>
                    <a:blip r:embed="rId36"/>
                    <a:stretch>
                      <a:fillRect/>
                    </a:stretch>
                  </pic:blipFill>
                  <pic:spPr>
                    <a:xfrm>
                      <a:off x="0" y="0"/>
                      <a:ext cx="6188710" cy="889000"/>
                    </a:xfrm>
                    <a:prstGeom prst="rect">
                      <a:avLst/>
                    </a:prstGeom>
                  </pic:spPr>
                </pic:pic>
              </a:graphicData>
            </a:graphic>
          </wp:inline>
        </w:drawing>
      </w:r>
    </w:p>
    <w:p w14:paraId="03C3F5F3" w14:textId="0870C213" w:rsidR="0095021C" w:rsidRDefault="00C42DEA" w:rsidP="0095021C">
      <w:r>
        <w:rPr>
          <w:noProof/>
        </w:rPr>
        <w:drawing>
          <wp:inline distT="0" distB="0" distL="0" distR="0" wp14:anchorId="29178E3C" wp14:editId="0D1FA641">
            <wp:extent cx="6188710" cy="884555"/>
            <wp:effectExtent l="0" t="0" r="2540" b="0"/>
            <wp:docPr id="1184580697" name="Picture 1" descr="Hate Crime Five-Year Comparison Table&#10;The first row shows the five-year mean for non crime hate incidents is 456.8 compared to 536 YTD (up 17.3% on five-year mean). The five-year sparkline shows a low of 332 incidents in 2020/21; 392 incidents in 2021/22; 605 incidents in 2022/23; a high of 643 incidents in 2023/24 and 536 incidents in 2024/25 YTD.&#10;The second row shows the five-year mean for hate crimes is 3,535.2 compared to 5,376 YTD (up 52.1% on five-year mean). The five-year sparkline shows 3,775 crimes in 2020/21; 3,826 crimes in 2021/22; 3,419 crimes in 2022/23; a low of 3,321 crimes in 2023/24 and a high of 5,376 crimes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80697" name="Picture 1" descr="Hate Crime Five-Year Comparison Table&#10;The first row shows the five-year mean for non crime hate incidents is 456.8 compared to 536 YTD (up 17.3% on five-year mean). The five-year sparkline shows a low of 332 incidents in 2020/21; 392 incidents in 2021/22; 605 incidents in 2022/23; a high of 643 incidents in 2023/24 and 536 incidents in 2024/25 YTD.&#10;The second row shows the five-year mean for hate crimes is 3,535.2 compared to 5,376 YTD (up 52.1% on five-year mean). The five-year sparkline shows 3,775 crimes in 2020/21; 3,826 crimes in 2021/22; 3,419 crimes in 2022/23; a low of 3,321 crimes in 2023/24 and a high of 5,376 crimes in 2024/25 YTD.&#10;"/>
                    <pic:cNvPicPr/>
                  </pic:nvPicPr>
                  <pic:blipFill>
                    <a:blip r:embed="rId37"/>
                    <a:stretch>
                      <a:fillRect/>
                    </a:stretch>
                  </pic:blipFill>
                  <pic:spPr>
                    <a:xfrm>
                      <a:off x="0" y="0"/>
                      <a:ext cx="6188710" cy="884555"/>
                    </a:xfrm>
                    <a:prstGeom prst="rect">
                      <a:avLst/>
                    </a:prstGeom>
                  </pic:spPr>
                </pic:pic>
              </a:graphicData>
            </a:graphic>
          </wp:inline>
        </w:drawing>
      </w:r>
    </w:p>
    <w:p w14:paraId="0FBF2546" w14:textId="77777777" w:rsidR="0095021C" w:rsidRPr="00C443B8" w:rsidRDefault="0095021C" w:rsidP="0095021C">
      <w:r>
        <w:rPr>
          <w:noProof/>
        </w:rPr>
        <w:drawing>
          <wp:inline distT="0" distB="0" distL="0" distR="0" wp14:anchorId="531639DE" wp14:editId="16B6D0CB">
            <wp:extent cx="6188710" cy="608330"/>
            <wp:effectExtent l="0" t="0" r="2540" b="1270"/>
            <wp:docPr id="1512937775" name="Picture 1" descr="Hate Crime Detection Rate Comparison Table&#10;This row shows the detection rate for hate crimes was 61.7% in PYTD compared to 65.0% in YTD (up 3.3% points on last year). The five-year detection rate sparkline shows a high of 70.1% in 2020/21; 64.7% in 2021/22; 63.1% in 2022/23; a low of 61.7% in 2023/24 and 65.0%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37775" name="Picture 1" descr="Hate Crime Detection Rate Comparison Table&#10;This row shows the detection rate for hate crimes was 61.7% in PYTD compared to 65.0% in YTD (up 3.3% points on last year). The five-year detection rate sparkline shows a high of 70.1% in 2020/21; 64.7% in 2021/22; 63.1% in 2022/23; a low of 61.7% in 2023/24 and 65.0% in 2024/25 YTD.&#10;"/>
                    <pic:cNvPicPr/>
                  </pic:nvPicPr>
                  <pic:blipFill>
                    <a:blip r:embed="rId38"/>
                    <a:stretch>
                      <a:fillRect/>
                    </a:stretch>
                  </pic:blipFill>
                  <pic:spPr>
                    <a:xfrm>
                      <a:off x="0" y="0"/>
                      <a:ext cx="6188710" cy="608330"/>
                    </a:xfrm>
                    <a:prstGeom prst="rect">
                      <a:avLst/>
                    </a:prstGeom>
                  </pic:spPr>
                </pic:pic>
              </a:graphicData>
            </a:graphic>
          </wp:inline>
        </w:drawing>
      </w:r>
    </w:p>
    <w:p w14:paraId="3305B889" w14:textId="77777777" w:rsidR="0095021C" w:rsidRDefault="0095021C" w:rsidP="0095021C">
      <w:r>
        <w:t>Please note due to changes in legislation introduced on 01 April 2024, direct comparisons to previous years should not be made and are for illustrative purposes only.</w:t>
      </w:r>
    </w:p>
    <w:p w14:paraId="7D852BE5" w14:textId="77777777" w:rsidR="0095021C" w:rsidRDefault="0095021C" w:rsidP="0095021C">
      <w:r>
        <w:rPr>
          <w:noProof/>
        </w:rPr>
        <w:drawing>
          <wp:inline distT="0" distB="0" distL="0" distR="0" wp14:anchorId="7E74B8BC" wp14:editId="5EDFFEF4">
            <wp:extent cx="5675630" cy="2578735"/>
            <wp:effectExtent l="0" t="0" r="1270" b="0"/>
            <wp:docPr id="1970131305" name="Picture 2" descr="Hate Crime by Protected Characteristics Bar Chart&#10;This visualisation shows the volume of hate crime by protected characteristics in 2024/25 YTD. From top to bottom there have been 10 by variations in sex characteristics; 383 by age; 655 by disability; 1,142 by sexual orientation; 2,980 by racial; 349 by religion; and 118 by transgen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31305" name="Picture 2" descr="Hate Crime by Protected Characteristics Bar Chart&#10;This visualisation shows the volume of hate crime by protected characteristics in 2024/25 YTD. From top to bottom there have been 10 by variations in sex characteristics; 383 by age; 655 by disability; 1,142 by sexual orientation; 2,980 by racial; 349 by religion; and 118 by transgender.&#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5630" cy="2578735"/>
                    </a:xfrm>
                    <a:prstGeom prst="rect">
                      <a:avLst/>
                    </a:prstGeom>
                    <a:noFill/>
                  </pic:spPr>
                </pic:pic>
              </a:graphicData>
            </a:graphic>
          </wp:inline>
        </w:drawing>
      </w:r>
    </w:p>
    <w:p w14:paraId="78F1DF02" w14:textId="5461BA08" w:rsidR="0095021C" w:rsidRDefault="0095021C" w:rsidP="0095021C">
      <w:r w:rsidRPr="006E5919">
        <w:t xml:space="preserve">Hate crime continues to be that which is predominantly aggravated by racial or sexual orientation, amounting to </w:t>
      </w:r>
      <w:r>
        <w:t>5</w:t>
      </w:r>
      <w:r w:rsidR="005429B1">
        <w:t>2</w:t>
      </w:r>
      <w:r>
        <w:t>.</w:t>
      </w:r>
      <w:r w:rsidR="005429B1">
        <w:t>9</w:t>
      </w:r>
      <w:r w:rsidRPr="006E5919">
        <w:t>%</w:t>
      </w:r>
      <w:r>
        <w:t xml:space="preserve"> and 2</w:t>
      </w:r>
      <w:r w:rsidR="005429B1">
        <w:t>0</w:t>
      </w:r>
      <w:r>
        <w:t>.3%</w:t>
      </w:r>
      <w:r w:rsidRPr="006E5919">
        <w:t xml:space="preserve"> of total aggravators across the reporting period.</w:t>
      </w:r>
    </w:p>
    <w:p w14:paraId="72054270" w14:textId="5B68C319" w:rsidR="0095021C" w:rsidRDefault="0095021C" w:rsidP="0095021C">
      <w:r>
        <w:t>Despite the significant increase in recorded hate crimes this year the detection rate has also increased (</w:t>
      </w:r>
      <w:r w:rsidR="00F23CF9">
        <w:t>u</w:t>
      </w:r>
      <w:r>
        <w:t xml:space="preserve">p 3.3% </w:t>
      </w:r>
      <w:r w:rsidR="009F668C">
        <w:t xml:space="preserve">points </w:t>
      </w:r>
      <w:r>
        <w:t>from PYTD).</w:t>
      </w:r>
    </w:p>
    <w:p w14:paraId="4ED2C67C" w14:textId="77777777" w:rsidR="0095021C" w:rsidRPr="00A31A0D" w:rsidRDefault="0095021C" w:rsidP="009A76E0">
      <w:pPr>
        <w:pStyle w:val="Heading4"/>
      </w:pPr>
      <w:r w:rsidRPr="00A31A0D">
        <w:t>Hate Strategy for Scotland</w:t>
      </w:r>
    </w:p>
    <w:p w14:paraId="0715705F" w14:textId="6EA27322" w:rsidR="0095021C" w:rsidRPr="00A31A0D" w:rsidRDefault="0095021C" w:rsidP="0095021C">
      <w:bookmarkStart w:id="27" w:name="_Hlk183092377"/>
      <w:r w:rsidRPr="00A31A0D">
        <w:t>A dedicated team of staff was pulled together to develop a new Responding to Hate Policy and supporting Standard Operating Procedure</w:t>
      </w:r>
      <w:r w:rsidR="00585AD5">
        <w:t xml:space="preserve"> (SOP)</w:t>
      </w:r>
      <w:r w:rsidRPr="00A31A0D">
        <w:t xml:space="preserve">. There were 19 recommendations </w:t>
      </w:r>
      <w:r w:rsidRPr="00A31A0D">
        <w:lastRenderedPageBreak/>
        <w:t>identified during the development of the SOP and consultation phases</w:t>
      </w:r>
      <w:bookmarkEnd w:id="27"/>
      <w:r w:rsidRPr="00A31A0D">
        <w:t xml:space="preserve">. The Hate Crime Working Group will now be reinvigorated for discussion of the 19 recommendations with a view to remain a forum for hate crime discussion going forward. There is a planned </w:t>
      </w:r>
      <w:r w:rsidR="00F23CF9">
        <w:t>six-</w:t>
      </w:r>
      <w:r w:rsidRPr="00A31A0D">
        <w:t>month review to take place of the SOP which will be due in February 2025.</w:t>
      </w:r>
    </w:p>
    <w:p w14:paraId="5C84A083" w14:textId="6927DE81" w:rsidR="0095021C" w:rsidRDefault="0095021C" w:rsidP="0095021C">
      <w:r w:rsidRPr="00A31A0D">
        <w:t>Work is also ongoing with Scottish Government in partnership with the Hate Crime Strategic Partnership Group to undertake meaningful lived experience engagement to further understand how we can best tackle hatred and prejudice.</w:t>
      </w:r>
    </w:p>
    <w:p w14:paraId="3F4B83AA" w14:textId="1EF28F3F" w:rsidR="009A76E0" w:rsidRPr="00A31A0D" w:rsidRDefault="009A76E0" w:rsidP="009A76E0">
      <w:pPr>
        <w:pStyle w:val="Heading4"/>
      </w:pPr>
      <w:r>
        <w:t>British Sign Language (BSL)</w:t>
      </w:r>
    </w:p>
    <w:p w14:paraId="1A918064" w14:textId="70CF83B2" w:rsidR="00BE497A" w:rsidRDefault="0095021C" w:rsidP="0095021C">
      <w:bookmarkStart w:id="28" w:name="_Hlk183093516"/>
      <w:r w:rsidRPr="00A31A0D">
        <w:t>ACC P</w:t>
      </w:r>
      <w:r w:rsidR="00BE497A">
        <w:t>olicing Together</w:t>
      </w:r>
      <w:r w:rsidRPr="00A31A0D">
        <w:t xml:space="preserve"> has signed off the BSL face to face interpreting </w:t>
      </w:r>
      <w:r w:rsidR="00585AD5">
        <w:t>Data Protection Impact Assessment (</w:t>
      </w:r>
      <w:r w:rsidRPr="00A31A0D">
        <w:t>DPIA</w:t>
      </w:r>
      <w:r w:rsidR="00585AD5">
        <w:t>)</w:t>
      </w:r>
      <w:r w:rsidRPr="00A31A0D">
        <w:t xml:space="preserve"> allowing the Video Remote Interpreting (VRI) work to progress. Part 1 of a VRI DPIA has been drafted and is currently with Information Assurance for review and the team are awaiting update</w:t>
      </w:r>
      <w:bookmarkEnd w:id="28"/>
      <w:r w:rsidRPr="00A31A0D">
        <w:t>.</w:t>
      </w:r>
    </w:p>
    <w:p w14:paraId="4909A5BC" w14:textId="7156CF09" w:rsidR="00BE497A" w:rsidRDefault="0095021C" w:rsidP="0095021C">
      <w:bookmarkStart w:id="29" w:name="_Hlk183093558"/>
      <w:r w:rsidRPr="00A31A0D">
        <w:t>H</w:t>
      </w:r>
      <w:r w:rsidR="00585AD5">
        <w:t xml:space="preserve">uman </w:t>
      </w:r>
      <w:r w:rsidRPr="00A31A0D">
        <w:t>R</w:t>
      </w:r>
      <w:r w:rsidR="00585AD5">
        <w:t>esources</w:t>
      </w:r>
      <w:r w:rsidRPr="00A31A0D">
        <w:t xml:space="preserve"> are currently reviewing their section from the action plan and once complete this can then be published</w:t>
      </w:r>
      <w:bookmarkEnd w:id="29"/>
      <w:r w:rsidRPr="00A31A0D">
        <w:t>. The team are awaiting update from Smart Thinking in respect of the BSL training bid submitted. At present the team are working with procurement and interpreter agencies to identify service improvements for face-to-face deployments following feedback from other Divisions.</w:t>
      </w:r>
    </w:p>
    <w:p w14:paraId="36C3D8C1" w14:textId="5ACEC287" w:rsidR="0095021C" w:rsidRDefault="0095021C" w:rsidP="0095021C">
      <w:bookmarkStart w:id="30" w:name="_Hlk183093573"/>
      <w:r w:rsidRPr="00A31A0D">
        <w:t>Work is ongoing with the Domestic Abuse Coordination Unit on promotion of the new BSL domestic abuse resources with support from corporate communications</w:t>
      </w:r>
      <w:bookmarkEnd w:id="30"/>
      <w:r w:rsidRPr="00A31A0D">
        <w:t xml:space="preserve">. </w:t>
      </w:r>
    </w:p>
    <w:p w14:paraId="125F34F7" w14:textId="77777777" w:rsidR="0095021C" w:rsidRDefault="0095021C" w:rsidP="0095021C">
      <w:pPr>
        <w:pStyle w:val="Heading4"/>
      </w:pPr>
      <w:r>
        <w:t>Anti-social Behaviour and Disorder (Strategic Outcome 2)</w:t>
      </w:r>
    </w:p>
    <w:p w14:paraId="697F9AD4" w14:textId="77777777" w:rsidR="0095021C" w:rsidRDefault="0095021C" w:rsidP="0095021C">
      <w:pPr>
        <w:rPr>
          <w:noProof/>
        </w:rPr>
      </w:pPr>
      <w:r>
        <w:rPr>
          <w:noProof/>
        </w:rPr>
        <w:drawing>
          <wp:inline distT="0" distB="0" distL="0" distR="0" wp14:anchorId="5244BDD1" wp14:editId="3232D956">
            <wp:extent cx="6188710" cy="886460"/>
            <wp:effectExtent l="0" t="0" r="2540" b="8890"/>
            <wp:docPr id="1553161378" name="Picture 1" descr="ASB/Disorder Recorded YTD Comparison Table&#10;The first row shows 147,276 antisocial behaviour incidents PYTD compared to 138,740 YTD (down 5.8% on last year). The six month sparkline shows 21,915 incidents in April; a high of 24,786 incidents in May; 22,596 incidents in June; 23,866 incidents in July; 23,690 incidents in August and a low of 21,887 incidents in September 2024.&#10;The second row shows 104,426 complaints regarding disorder PYTD compared to 96,969 YTD (down 7.1% on last year). The six month sparkline shows a low of 15,158 complaints in April; a high of 17,349 complaints in May; 15,781 complaints in June; 16,934 complaints in July; 16,359 complaints in August and 15,388 complaints in September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61378" name="Picture 1" descr="ASB/Disorder Recorded YTD Comparison Table&#10;The first row shows 147,276 antisocial behaviour incidents PYTD compared to 138,740 YTD (down 5.8% on last year). The six month sparkline shows 21,915 incidents in April; a high of 24,786 incidents in May; 22,596 incidents in June; 23,866 incidents in July; 23,690 incidents in August and a low of 21,887 incidents in September 2024.&#10;The second row shows 104,426 complaints regarding disorder PYTD compared to 96,969 YTD (down 7.1% on last year). The six month sparkline shows a low of 15,158 complaints in April; a high of 17,349 complaints in May; 15,781 complaints in June; 16,934 complaints in July; 16,359 complaints in August and 15,388 complaints in September 2024.&#10;"/>
                    <pic:cNvPicPr/>
                  </pic:nvPicPr>
                  <pic:blipFill>
                    <a:blip r:embed="rId40"/>
                    <a:stretch>
                      <a:fillRect/>
                    </a:stretch>
                  </pic:blipFill>
                  <pic:spPr>
                    <a:xfrm>
                      <a:off x="0" y="0"/>
                      <a:ext cx="6188710" cy="886460"/>
                    </a:xfrm>
                    <a:prstGeom prst="rect">
                      <a:avLst/>
                    </a:prstGeom>
                  </pic:spPr>
                </pic:pic>
              </a:graphicData>
            </a:graphic>
          </wp:inline>
        </w:drawing>
      </w:r>
    </w:p>
    <w:p w14:paraId="5F63B292" w14:textId="77777777" w:rsidR="0095021C" w:rsidRDefault="0095021C" w:rsidP="0095021C">
      <w:pPr>
        <w:rPr>
          <w:noProof/>
        </w:rPr>
      </w:pPr>
      <w:r>
        <w:rPr>
          <w:noProof/>
        </w:rPr>
        <w:drawing>
          <wp:inline distT="0" distB="0" distL="0" distR="0" wp14:anchorId="63C88CFC" wp14:editId="1FD58A19">
            <wp:extent cx="6188710" cy="889000"/>
            <wp:effectExtent l="0" t="0" r="2540" b="6350"/>
            <wp:docPr id="145110642" name="Picture 1" descr="ASB/Disorder Recorded Five-Year Comparison Table&#10;The first row shows the five-year mean for antisocial behaviour incidents is 177,441.6 compared to 138,740 YTD (down 21.8% on five-year mean). The five-year sparkline shows a high of 233,592 incidents in 2020/21; 181,153 incidents in 2021/22; 151,164 incidents in 2022/23; 147,276 incidents in 2023/24 and a low of 138,740 incidents in 2024/25 YTD.&#10;The second row shows the five-year mean for complaints regarding disorder is 129,041.2 compared to 96,969 YTD (down 24.9% on five-year mean). The five-year sparkline shows a high of 178,106 complaints in 2020/21; 131,687 complaints in 2021/22; 106,787 complaints in 2022/23; 104,426 complaints in 2023/24 and a low of 96,969 complaints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0642" name="Picture 1" descr="ASB/Disorder Recorded Five-Year Comparison Table&#10;The first row shows the five-year mean for antisocial behaviour incidents is 177,441.6 compared to 138,740 YTD (down 21.8% on five-year mean). The five-year sparkline shows a high of 233,592 incidents in 2020/21; 181,153 incidents in 2021/22; 151,164 incidents in 2022/23; 147,276 incidents in 2023/24 and a low of 138,740 incidents in 2024/25 YTD.&#10;The second row shows the five-year mean for complaints regarding disorder is 129,041.2 compared to 96,969 YTD (down 24.9% on five-year mean). The five-year sparkline shows a high of 178,106 complaints in 2020/21; 131,687 complaints in 2021/22; 106,787 complaints in 2022/23; 104,426 complaints in 2023/24 and a low of 96,969 complaints in 2024/25 YTD.&#10;"/>
                    <pic:cNvPicPr/>
                  </pic:nvPicPr>
                  <pic:blipFill>
                    <a:blip r:embed="rId41"/>
                    <a:stretch>
                      <a:fillRect/>
                    </a:stretch>
                  </pic:blipFill>
                  <pic:spPr>
                    <a:xfrm>
                      <a:off x="0" y="0"/>
                      <a:ext cx="6188710" cy="889000"/>
                    </a:xfrm>
                    <a:prstGeom prst="rect">
                      <a:avLst/>
                    </a:prstGeom>
                  </pic:spPr>
                </pic:pic>
              </a:graphicData>
            </a:graphic>
          </wp:inline>
        </w:drawing>
      </w:r>
    </w:p>
    <w:p w14:paraId="0EC6790A" w14:textId="45A73A1A" w:rsidR="0095021C" w:rsidRPr="00BB1310" w:rsidRDefault="0095021C" w:rsidP="0095021C">
      <w:pPr>
        <w:rPr>
          <w:color w:val="000000" w:themeColor="text1"/>
        </w:rPr>
      </w:pPr>
      <w:bookmarkStart w:id="31" w:name="_Hlk183093658"/>
      <w:r w:rsidRPr="00BB1310">
        <w:rPr>
          <w:color w:val="000000" w:themeColor="text1"/>
        </w:rPr>
        <w:t>The number of incidents of anti-social behaviour</w:t>
      </w:r>
      <w:r w:rsidR="005065A8">
        <w:rPr>
          <w:color w:val="000000" w:themeColor="text1"/>
        </w:rPr>
        <w:t xml:space="preserve"> (ASB)</w:t>
      </w:r>
      <w:r w:rsidRPr="00BB1310">
        <w:rPr>
          <w:color w:val="000000" w:themeColor="text1"/>
        </w:rPr>
        <w:t>, and the number of complaints of disorder, recorded by Police Scotland continue to be at their lowest levels for the period in recent years.</w:t>
      </w:r>
      <w:r>
        <w:rPr>
          <w:color w:val="000000" w:themeColor="text1"/>
        </w:rPr>
        <w:t xml:space="preserve"> </w:t>
      </w:r>
      <w:bookmarkEnd w:id="31"/>
      <w:r>
        <w:rPr>
          <w:color w:val="000000" w:themeColor="text1"/>
        </w:rPr>
        <w:t>With the exception of Dumfries &amp; Galloway, which saw a very slight (2.6%) increase in complaints of disorder from last year (and which was still 17.6% lower than their five-year</w:t>
      </w:r>
      <w:r w:rsidR="002A7E4F">
        <w:rPr>
          <w:color w:val="000000" w:themeColor="text1"/>
        </w:rPr>
        <w:t xml:space="preserve"> </w:t>
      </w:r>
      <w:r>
        <w:rPr>
          <w:color w:val="000000" w:themeColor="text1"/>
        </w:rPr>
        <w:t>mean) every police division saw decreased levels of ASB incidents and complaints of disorder short and long-term this period.</w:t>
      </w:r>
    </w:p>
    <w:p w14:paraId="6F1E1A9E" w14:textId="59AB436C" w:rsidR="0095021C" w:rsidRPr="00BB1310" w:rsidRDefault="0095021C" w:rsidP="0095021C">
      <w:pPr>
        <w:rPr>
          <w:color w:val="000000" w:themeColor="text1"/>
        </w:rPr>
      </w:pPr>
      <w:bookmarkStart w:id="32" w:name="_Hlk183093677"/>
      <w:r w:rsidRPr="00BB1310">
        <w:rPr>
          <w:color w:val="000000" w:themeColor="text1"/>
        </w:rPr>
        <w:t>There were a total of 27,357 anti-social offences recorded during the April to September period. This represents an increase of 7.5% from last year, however a reduction from the five-year</w:t>
      </w:r>
      <w:r w:rsidR="002A7E4F">
        <w:rPr>
          <w:color w:val="000000" w:themeColor="text1"/>
        </w:rPr>
        <w:t xml:space="preserve"> </w:t>
      </w:r>
      <w:r w:rsidRPr="00BB1310">
        <w:rPr>
          <w:color w:val="000000" w:themeColor="text1"/>
        </w:rPr>
        <w:t xml:space="preserve">mean of 8.7%. </w:t>
      </w:r>
      <w:bookmarkEnd w:id="32"/>
      <w:r w:rsidRPr="00BB1310">
        <w:rPr>
          <w:color w:val="000000" w:themeColor="text1"/>
        </w:rPr>
        <w:t>Anti-social offences include breach of the peace, consuming alcohol in designated places, drunk &amp; incapable behaviour, hate aggravated conduct, threatening or abusive behaviour, urinating in public and other alcohol related offences.</w:t>
      </w:r>
    </w:p>
    <w:p w14:paraId="70F0231F" w14:textId="77777777" w:rsidR="0095021C" w:rsidRPr="00BB1310" w:rsidRDefault="0095021C" w:rsidP="0095021C">
      <w:pPr>
        <w:rPr>
          <w:color w:val="000000" w:themeColor="text1"/>
        </w:rPr>
      </w:pPr>
      <w:bookmarkStart w:id="33" w:name="_Hlk183093712"/>
      <w:r w:rsidRPr="00BB1310">
        <w:rPr>
          <w:color w:val="000000" w:themeColor="text1"/>
        </w:rPr>
        <w:lastRenderedPageBreak/>
        <w:t>Threatening or abusive behaviour made up most of the total anti-social offences, accounting for 81.6% of the crimes in this category</w:t>
      </w:r>
      <w:bookmarkEnd w:id="33"/>
      <w:r w:rsidRPr="00BB1310">
        <w:rPr>
          <w:color w:val="000000" w:themeColor="text1"/>
        </w:rPr>
        <w:t>.</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26075D" w:rsidRPr="0003495F" w14:paraId="7589FA6E" w14:textId="77777777" w:rsidTr="00A1797D">
        <w:trPr>
          <w:trHeight w:val="680"/>
          <w:tblHeader/>
        </w:trPr>
        <w:tc>
          <w:tcPr>
            <w:tcW w:w="9862" w:type="dxa"/>
            <w:shd w:val="clear" w:color="auto" w:fill="FFE599" w:themeFill="accent4" w:themeFillTint="66"/>
            <w:vAlign w:val="center"/>
            <w:hideMark/>
          </w:tcPr>
          <w:p w14:paraId="26110217" w14:textId="52CAE260" w:rsidR="0026075D" w:rsidRPr="00D87D1B" w:rsidRDefault="0026075D" w:rsidP="00A1797D">
            <w:pPr>
              <w:pStyle w:val="TableHeaderLeft"/>
              <w:rPr>
                <w:color w:val="000000" w:themeColor="text1"/>
              </w:rPr>
            </w:pPr>
            <w:bookmarkStart w:id="34" w:name="Moonbeam"/>
            <w:bookmarkEnd w:id="34"/>
            <w:r w:rsidRPr="00D87D1B">
              <w:rPr>
                <w:color w:val="000000" w:themeColor="text1"/>
              </w:rPr>
              <w:t xml:space="preserve">Proactive/Preventative Policing – </w:t>
            </w:r>
            <w:r>
              <w:rPr>
                <w:color w:val="000000" w:themeColor="text1"/>
              </w:rPr>
              <w:t>Operation Moonbeam</w:t>
            </w:r>
          </w:p>
        </w:tc>
      </w:tr>
      <w:tr w:rsidR="0026075D" w:rsidRPr="0003495F" w14:paraId="0F41B130" w14:textId="77777777" w:rsidTr="00A1797D">
        <w:trPr>
          <w:trHeight w:val="680"/>
        </w:trPr>
        <w:tc>
          <w:tcPr>
            <w:tcW w:w="9862" w:type="dxa"/>
            <w:shd w:val="clear" w:color="auto" w:fill="FFF2CC" w:themeFill="accent4" w:themeFillTint="33"/>
            <w:vAlign w:val="center"/>
            <w:hideMark/>
          </w:tcPr>
          <w:p w14:paraId="1D1779CD" w14:textId="77777777" w:rsidR="009A76E0" w:rsidRDefault="0026075D" w:rsidP="009A76E0">
            <w:pPr>
              <w:pStyle w:val="TableBodyLeft"/>
            </w:pPr>
            <w:bookmarkStart w:id="35" w:name="_Hlk183093802"/>
            <w:r w:rsidRPr="00541CAB">
              <w:t>Policing Together’s Violence Prevention and Licensing Coordination Unit (VPLCU) continue to support Operation Moonbeam (the national public order response to prevent violence and disorder over the bonfire period) in both the prevention phase and the implementation of Firework Control Zones</w:t>
            </w:r>
            <w:bookmarkEnd w:id="35"/>
            <w:r w:rsidRPr="00541CAB">
              <w:t>.</w:t>
            </w:r>
          </w:p>
          <w:p w14:paraId="0B63D07B" w14:textId="7012D237" w:rsidR="0026075D" w:rsidRPr="00D87D1B" w:rsidRDefault="0026075D" w:rsidP="009A76E0">
            <w:pPr>
              <w:pStyle w:val="TableBodyLeft"/>
            </w:pPr>
            <w:bookmarkStart w:id="36" w:name="_Hlk183093821"/>
            <w:r w:rsidRPr="00541CAB">
              <w:t>As part of this, VPLCU will provide a</w:t>
            </w:r>
            <w:r w:rsidR="002A7E4F">
              <w:t>n</w:t>
            </w:r>
            <w:r w:rsidRPr="00541CAB">
              <w:t xml:space="preserve"> on</w:t>
            </w:r>
            <w:r w:rsidR="00713E2E">
              <w:t>-</w:t>
            </w:r>
            <w:r w:rsidRPr="00541CAB">
              <w:t>call service during key dates throughout the bonfire period to offer legislative advice. In collaboration with Scottish Fire and Rescue Service and Fearless, we are delivering safety inputs to children on the dangers of fireworks and pyrotechnics.</w:t>
            </w:r>
            <w:bookmarkEnd w:id="36"/>
          </w:p>
        </w:tc>
      </w:tr>
    </w:tbl>
    <w:p w14:paraId="1E8B3F78" w14:textId="692B56AC" w:rsidR="0095021C" w:rsidRDefault="0095021C" w:rsidP="0095021C">
      <w:pPr>
        <w:pStyle w:val="Heading4"/>
      </w:pPr>
      <w:r>
        <w:t>Crime</w:t>
      </w:r>
      <w:r w:rsidR="00DB2882">
        <w:t>s of Dishonesty</w:t>
      </w:r>
      <w:r>
        <w:t xml:space="preserve"> (Strategic Outcome 2)</w:t>
      </w:r>
    </w:p>
    <w:p w14:paraId="5F0E96CA" w14:textId="77777777" w:rsidR="0095021C" w:rsidRDefault="0095021C" w:rsidP="0095021C">
      <w:pPr>
        <w:rPr>
          <w:noProof/>
        </w:rPr>
      </w:pPr>
      <w:r>
        <w:rPr>
          <w:noProof/>
        </w:rPr>
        <w:drawing>
          <wp:inline distT="0" distB="0" distL="0" distR="0" wp14:anchorId="5E1F9FCC" wp14:editId="7E423038">
            <wp:extent cx="6188710" cy="1463040"/>
            <wp:effectExtent l="0" t="0" r="2540" b="3810"/>
            <wp:docPr id="1766660329" name="Picture 1" descr="Crimes of Dishonesty YTD Comparison Table&#10;The first row shows 56,290 group 3 crimes of dishonesty PYTD compared to 58,116 YTD (up 3.2% on last year). The six month sparkline shows 9,288 crimes in April; 9,554 crimes in May; a low of 9,080 crimes in June; 9,948 crimes in July; a high of 10,428 crimes in August and 9,818 crimes in September 2024.&#10;The second row shows 4,613 total housebreaking crimes PYTD compared to 3,831 YTD (down 17.0% on last year). The six month sparkline shows 640 crimes in April; a high of 670 crimes in May; 616 crimes in June; 632 crimes in July; 663 crimes in August and a low of 610 crimes in September 2024.&#10;The third row shows 6,183 total motor vehicle crimes PYTD compared to 5,644 YTD (down 8.7% on last year). The six month sparkline shows a low of 861 crimes in April; 977 crimes in May; 881 crimes in June; a high of 1,016 crimes in July; 895 crimes in August and 1,014 crimes in September 2024.&#10;The fourth row shows 19,201 theft by shoplifting crimes PYTD compared to 22,806 YTD (up 18.8% on last year). The six month sparkline shows 3,690 crimes in April; 3,598 crimes in May; a low of 3,411 crimes in June; 3,847 crimes in July; a high of 4,374 crimes in August and 3,886 crimes in September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60329" name="Picture 1" descr="Crimes of Dishonesty YTD Comparison Table&#10;The first row shows 56,290 group 3 crimes of dishonesty PYTD compared to 58,116 YTD (up 3.2% on last year). The six month sparkline shows 9,288 crimes in April; 9,554 crimes in May; a low of 9,080 crimes in June; 9,948 crimes in July; a high of 10,428 crimes in August and 9,818 crimes in September 2024.&#10;The second row shows 4,613 total housebreaking crimes PYTD compared to 3,831 YTD (down 17.0% on last year). The six month sparkline shows 640 crimes in April; a high of 670 crimes in May; 616 crimes in June; 632 crimes in July; 663 crimes in August and a low of 610 crimes in September 2024.&#10;The third row shows 6,183 total motor vehicle crimes PYTD compared to 5,644 YTD (down 8.7% on last year). The six month sparkline shows a low of 861 crimes in April; 977 crimes in May; 881 crimes in June; a high of 1,016 crimes in July; 895 crimes in August and 1,014 crimes in September 2024.&#10;The fourth row shows 19,201 theft by shoplifting crimes PYTD compared to 22,806 YTD (up 18.8% on last year). The six month sparkline shows 3,690 crimes in April; 3,598 crimes in May; a low of 3,411 crimes in June; 3,847 crimes in July; a high of 4,374 crimes in August and 3,886 crimes in September 2024.&#10;"/>
                    <pic:cNvPicPr/>
                  </pic:nvPicPr>
                  <pic:blipFill>
                    <a:blip r:embed="rId42"/>
                    <a:stretch>
                      <a:fillRect/>
                    </a:stretch>
                  </pic:blipFill>
                  <pic:spPr>
                    <a:xfrm>
                      <a:off x="0" y="0"/>
                      <a:ext cx="6188710" cy="1463040"/>
                    </a:xfrm>
                    <a:prstGeom prst="rect">
                      <a:avLst/>
                    </a:prstGeom>
                  </pic:spPr>
                </pic:pic>
              </a:graphicData>
            </a:graphic>
          </wp:inline>
        </w:drawing>
      </w:r>
    </w:p>
    <w:p w14:paraId="4DBBA610" w14:textId="77777777" w:rsidR="0095021C" w:rsidRDefault="0095021C" w:rsidP="0095021C">
      <w:pPr>
        <w:rPr>
          <w:noProof/>
        </w:rPr>
      </w:pPr>
      <w:r>
        <w:rPr>
          <w:noProof/>
        </w:rPr>
        <w:drawing>
          <wp:inline distT="0" distB="0" distL="0" distR="0" wp14:anchorId="4C40CFC0" wp14:editId="6D6ED8E1">
            <wp:extent cx="6188710" cy="1450975"/>
            <wp:effectExtent l="0" t="0" r="2540" b="0"/>
            <wp:docPr id="191516939" name="Picture 1" descr="Crimes of Dishonesty Five-Year Comparison Table&#10;The first row shows the five-year mean for group 3 crimes of dishonesty is 51,010.0 compared to 58,116 YTD (up 13.9% on five-year mean). The five-year sparkline shows 45,436 crimes in 2020/21; a low of 44,937 crimes in 2021/22; 51,708 crimes in 2022/23; 56,290 crimes in 2023/24 and a high of 58,116 crimes in 2024/25 YTD.&#10;The second row shows the five-year mean for total housebreaking crimes is 4,933.2 compared to 3,831 YTD (down 22.3% on five-year mean). The five-year sparkline shows a high of 5,235 crimes in 2020/21; 4,139 crimes in 2021/22; 4,277 crimes in 2022/23; 4,613 crimes in 2023/24 and a low of 3,831 crimes in 2024/25 YTD.&#10;The third row shows the five-year mean for total motor vehicle crimes is 5,946.8 compared to 5,644 YTD (down 5.1% on five-year mean). The five-year sparkline shows 5,691 crimes in 2020/21; a low of 5,242 crimes in 2021/22; 5,743 crimes in 2022/23; a high of 6,183 crimes in 2023/24 and 5,644 crimes in 2024/25 YTD.&#10;The fourth row shows the five-year mean for theft by shoplifting crimes is 14,210.4 compared to 22,806 YTD (up 60.5% on five-year mean). The five-year sparkline shows a low of 10,457 crimes in 2020/21; 11,098 crimes in 2021/22; 14,107 crimes in 2022/23; 19,201 crimes in 2023/24 and a high of 22,806 crimes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6939" name="Picture 1" descr="Crimes of Dishonesty Five-Year Comparison Table&#10;The first row shows the five-year mean for group 3 crimes of dishonesty is 51,010.0 compared to 58,116 YTD (up 13.9% on five-year mean). The five-year sparkline shows 45,436 crimes in 2020/21; a low of 44,937 crimes in 2021/22; 51,708 crimes in 2022/23; 56,290 crimes in 2023/24 and a high of 58,116 crimes in 2024/25 YTD.&#10;The second row shows the five-year mean for total housebreaking crimes is 4,933.2 compared to 3,831 YTD (down 22.3% on five-year mean). The five-year sparkline shows a high of 5,235 crimes in 2020/21; 4,139 crimes in 2021/22; 4,277 crimes in 2022/23; 4,613 crimes in 2023/24 and a low of 3,831 crimes in 2024/25 YTD.&#10;The third row shows the five-year mean for total motor vehicle crimes is 5,946.8 compared to 5,644 YTD (down 5.1% on five-year mean). The five-year sparkline shows 5,691 crimes in 2020/21; a low of 5,242 crimes in 2021/22; 5,743 crimes in 2022/23; a high of 6,183 crimes in 2023/24 and 5,644 crimes in 2024/25 YTD.&#10;The fourth row shows the five-year mean for theft by shoplifting crimes is 14,210.4 compared to 22,806 YTD (up 60.5% on five-year mean). The five-year sparkline shows a low of 10,457 crimes in 2020/21; 11,098 crimes in 2021/22; 14,107 crimes in 2022/23; 19,201 crimes in 2023/24 and a high of 22,806 crimes in 2024/25 YTD.&#10;"/>
                    <pic:cNvPicPr/>
                  </pic:nvPicPr>
                  <pic:blipFill>
                    <a:blip r:embed="rId43"/>
                    <a:stretch>
                      <a:fillRect/>
                    </a:stretch>
                  </pic:blipFill>
                  <pic:spPr>
                    <a:xfrm>
                      <a:off x="0" y="0"/>
                      <a:ext cx="6188710" cy="1450975"/>
                    </a:xfrm>
                    <a:prstGeom prst="rect">
                      <a:avLst/>
                    </a:prstGeom>
                  </pic:spPr>
                </pic:pic>
              </a:graphicData>
            </a:graphic>
          </wp:inline>
        </w:drawing>
      </w:r>
    </w:p>
    <w:p w14:paraId="32DE961F" w14:textId="77777777" w:rsidR="0095021C" w:rsidRDefault="0095021C" w:rsidP="0095021C">
      <w:pPr>
        <w:rPr>
          <w:noProof/>
        </w:rPr>
      </w:pPr>
      <w:r>
        <w:rPr>
          <w:noProof/>
        </w:rPr>
        <w:drawing>
          <wp:inline distT="0" distB="0" distL="0" distR="0" wp14:anchorId="508331AA" wp14:editId="54151F66">
            <wp:extent cx="6188710" cy="1459230"/>
            <wp:effectExtent l="0" t="0" r="2540" b="7620"/>
            <wp:docPr id="182877982" name="Picture 1" descr="Crimes of Dishonesty Detection Rate Comparison Table&#10;The first row shows the detection rate for group 3 crimes of dishonesty was 31.7% in PYTD compared to 34.3% in YTD (up 2.6% points on last year). The five-year detection rate sparkline shows a high of 40.5% in 2020/21; 31.9% in 2021/22; a low of 31.3% in 2022/23; 31.7% in 2023/24 and 34.3% in 2024/25 YTD.&#10;The second row shows the detection rate for total housebreaking crimes was 27.6% in PYTD compared to 33.7% in YTD (up 6.1% points on last year). The five-year detection rate sparkline shows 31.1% in 2020/21; 27.4% in 2021/22; a low of 26.9% in 2022/23; 27.6% in 2023/24 and a high of 33.7% in 2024/25 YTD.&#10;The third row shows the detection rate for total motor vehicle crimes was 28.4% in PYTD compared to 31.5% in YTD (up 3.1% points on last year). The five-year detection rate sparkline shows a high of 39.4% in 2020/21; 29.1% in 2021/22; a low of 27.8% in 2022/23; 28.4% in 2023/24 and 31.5% in 2024/25 YTD.&#10;The fourth row shows the detection rate for theft by shoplifting crimes was 48.3% in PYTD compared to 48.1% in YTD (down 0.2% points on last year). The five-year detection rate sparkline shows a high of 69.3% in 2020/21; 56.9% in 2021/22; 54.0% in 2022/23; 48.3% in 2023/24 and a low of 48.1%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7982" name="Picture 1" descr="Crimes of Dishonesty Detection Rate Comparison Table&#10;The first row shows the detection rate for group 3 crimes of dishonesty was 31.7% in PYTD compared to 34.3% in YTD (up 2.6% points on last year). The five-year detection rate sparkline shows a high of 40.5% in 2020/21; 31.9% in 2021/22; a low of 31.3% in 2022/23; 31.7% in 2023/24 and 34.3% in 2024/25 YTD.&#10;The second row shows the detection rate for total housebreaking crimes was 27.6% in PYTD compared to 33.7% in YTD (up 6.1% points on last year). The five-year detection rate sparkline shows 31.1% in 2020/21; 27.4% in 2021/22; a low of 26.9% in 2022/23; 27.6% in 2023/24 and a high of 33.7% in 2024/25 YTD.&#10;The third row shows the detection rate for total motor vehicle crimes was 28.4% in PYTD compared to 31.5% in YTD (up 3.1% points on last year). The five-year detection rate sparkline shows a high of 39.4% in 2020/21; 29.1% in 2021/22; a low of 27.8% in 2022/23; 28.4% in 2023/24 and 31.5% in 2024/25 YTD.&#10;The fourth row shows the detection rate for theft by shoplifting crimes was 48.3% in PYTD compared to 48.1% in YTD (down 0.2% points on last year). The five-year detection rate sparkline shows a high of 69.3% in 2020/21; 56.9% in 2021/22; 54.0% in 2022/23; 48.3% in 2023/24 and a low of 48.1% in 2024/25 YTD.&#10;"/>
                    <pic:cNvPicPr/>
                  </pic:nvPicPr>
                  <pic:blipFill>
                    <a:blip r:embed="rId44"/>
                    <a:stretch>
                      <a:fillRect/>
                    </a:stretch>
                  </pic:blipFill>
                  <pic:spPr>
                    <a:xfrm>
                      <a:off x="0" y="0"/>
                      <a:ext cx="6188710" cy="1459230"/>
                    </a:xfrm>
                    <a:prstGeom prst="rect">
                      <a:avLst/>
                    </a:prstGeom>
                  </pic:spPr>
                </pic:pic>
              </a:graphicData>
            </a:graphic>
          </wp:inline>
        </w:drawing>
      </w:r>
    </w:p>
    <w:p w14:paraId="2031E2BA" w14:textId="08FDD125" w:rsidR="0095021C" w:rsidRPr="00567764" w:rsidRDefault="00BE497A" w:rsidP="0095021C">
      <w:pPr>
        <w:rPr>
          <w:color w:val="000000" w:themeColor="text1"/>
        </w:rPr>
      </w:pPr>
      <w:r>
        <w:rPr>
          <w:color w:val="000000" w:themeColor="text1"/>
        </w:rPr>
        <w:t>Crimes of dishonesty</w:t>
      </w:r>
      <w:r w:rsidR="0095021C" w:rsidRPr="00567764">
        <w:rPr>
          <w:color w:val="000000" w:themeColor="text1"/>
        </w:rPr>
        <w:t xml:space="preserve"> continue to increase compared to the previous year (up 3.2%) and the five-year mean (up 13.9%). It should be noted that the five-year mean has been affected by the COVID-19 period where there was a significant decrease in the number of crimes</w:t>
      </w:r>
      <w:r>
        <w:rPr>
          <w:color w:val="000000" w:themeColor="text1"/>
        </w:rPr>
        <w:t xml:space="preserve"> of dishonesty</w:t>
      </w:r>
      <w:r w:rsidR="0095021C" w:rsidRPr="00567764">
        <w:rPr>
          <w:color w:val="000000" w:themeColor="text1"/>
        </w:rPr>
        <w:t xml:space="preserve"> recorded. Comparing to the first year before COVID-19 (2019/20) the current figures are slightly increased (1,437 more, up 2.5%).</w:t>
      </w:r>
    </w:p>
    <w:p w14:paraId="34D3CDA4" w14:textId="55CEC417" w:rsidR="0095021C" w:rsidRPr="00567764" w:rsidRDefault="0095021C" w:rsidP="0095021C">
      <w:pPr>
        <w:rPr>
          <w:color w:val="000000" w:themeColor="text1"/>
        </w:rPr>
      </w:pPr>
      <w:r w:rsidRPr="00567764">
        <w:rPr>
          <w:color w:val="000000" w:themeColor="text1"/>
        </w:rPr>
        <w:lastRenderedPageBreak/>
        <w:t>If Theft by Shoplifting is removed from the overall crime</w:t>
      </w:r>
      <w:r w:rsidR="00BE497A">
        <w:rPr>
          <w:color w:val="000000" w:themeColor="text1"/>
        </w:rPr>
        <w:t>s of dishonesty</w:t>
      </w:r>
      <w:r w:rsidRPr="00567764">
        <w:rPr>
          <w:color w:val="000000" w:themeColor="text1"/>
        </w:rPr>
        <w:t xml:space="preserve"> total</w:t>
      </w:r>
      <w:r w:rsidR="00BF667F">
        <w:rPr>
          <w:color w:val="000000" w:themeColor="text1"/>
        </w:rPr>
        <w:t>,</w:t>
      </w:r>
      <w:r w:rsidRPr="00567764">
        <w:rPr>
          <w:color w:val="000000" w:themeColor="text1"/>
        </w:rPr>
        <w:t xml:space="preserve"> there is a decrease of 1,779 crimes (down 4.8%) compared to the previous year. Aside from Theft by Shoplifting, which has risen by 18.8% compared to the previous year, there have also been significant increases in Attempted Theft of a Motor Vehicle (62 more crimes, up 24.7%) and Opening Lockfast Places (not motor vehicle) which increased by 135 crimes (up 20.2%).</w:t>
      </w:r>
    </w:p>
    <w:p w14:paraId="3C84DEC6" w14:textId="188F20BC" w:rsidR="0095021C" w:rsidRPr="00567764" w:rsidRDefault="0095021C" w:rsidP="0095021C">
      <w:pPr>
        <w:rPr>
          <w:color w:val="000000" w:themeColor="text1"/>
        </w:rPr>
      </w:pPr>
      <w:r w:rsidRPr="00567764">
        <w:rPr>
          <w:color w:val="000000" w:themeColor="text1"/>
        </w:rPr>
        <w:t>Despite the overall increase in crime</w:t>
      </w:r>
      <w:r w:rsidR="00BE497A">
        <w:rPr>
          <w:color w:val="000000" w:themeColor="text1"/>
        </w:rPr>
        <w:t>s of dishonesty</w:t>
      </w:r>
      <w:r w:rsidRPr="00567764">
        <w:rPr>
          <w:color w:val="000000" w:themeColor="text1"/>
        </w:rPr>
        <w:t xml:space="preserve"> there were decreases in Overall Housebreaking crimes, which decreased by 782 (down 17.0%), Opening Lockfast Places (motor vehicle), down </w:t>
      </w:r>
      <w:r w:rsidR="00D74FFE">
        <w:rPr>
          <w:color w:val="000000" w:themeColor="text1"/>
        </w:rPr>
        <w:t>174</w:t>
      </w:r>
      <w:r w:rsidRPr="00567764">
        <w:rPr>
          <w:color w:val="000000" w:themeColor="text1"/>
        </w:rPr>
        <w:t xml:space="preserve"> crimes (</w:t>
      </w:r>
      <w:r w:rsidR="00D74FFE">
        <w:rPr>
          <w:color w:val="000000" w:themeColor="text1"/>
        </w:rPr>
        <w:t>13.6</w:t>
      </w:r>
      <w:r w:rsidRPr="00567764">
        <w:rPr>
          <w:color w:val="000000" w:themeColor="text1"/>
        </w:rPr>
        <w:t>%) and in Theft from a Motor Vehicle, insecure, which decreased by 213 (down 9.8%).</w:t>
      </w:r>
    </w:p>
    <w:p w14:paraId="506335BC" w14:textId="77777777" w:rsidR="0095021C" w:rsidRDefault="0095021C" w:rsidP="009A76E0">
      <w:pPr>
        <w:pStyle w:val="Heading4"/>
      </w:pPr>
      <w:r>
        <w:t>Shoplifting</w:t>
      </w:r>
    </w:p>
    <w:p w14:paraId="0911450B" w14:textId="5B53308E" w:rsidR="0095021C" w:rsidRPr="00567764" w:rsidRDefault="0095021C" w:rsidP="0095021C">
      <w:pPr>
        <w:rPr>
          <w:color w:val="000000" w:themeColor="text1"/>
        </w:rPr>
      </w:pPr>
      <w:r w:rsidRPr="00567764">
        <w:rPr>
          <w:color w:val="000000" w:themeColor="text1"/>
        </w:rPr>
        <w:t>Crimes of shoplifting account for 39.2% of all crime</w:t>
      </w:r>
      <w:r w:rsidR="00BE497A">
        <w:rPr>
          <w:color w:val="000000" w:themeColor="text1"/>
        </w:rPr>
        <w:t>s of dishonesty</w:t>
      </w:r>
      <w:r w:rsidRPr="00567764">
        <w:rPr>
          <w:color w:val="000000" w:themeColor="text1"/>
        </w:rPr>
        <w:t xml:space="preserve"> and are continuing the upwards trend observed in the previous two years. Shoplifting crimes have increased by 6,618 (up 40.9%) compared to the pre-COVID-19 year of 2019/20. Compared to the same period last year there has been an increase of 3,605 crimes (up 18.8%) and all regions of Scotland are continuing to experience increases for this crime type.</w:t>
      </w:r>
    </w:p>
    <w:p w14:paraId="76925F01" w14:textId="77777777" w:rsidR="0095021C" w:rsidRPr="00567764" w:rsidRDefault="0095021C" w:rsidP="0095021C">
      <w:pPr>
        <w:rPr>
          <w:color w:val="000000" w:themeColor="text1"/>
        </w:rPr>
      </w:pPr>
      <w:r w:rsidRPr="00567764">
        <w:rPr>
          <w:color w:val="000000" w:themeColor="text1"/>
        </w:rPr>
        <w:t>The detection rate for shoplifting crimes has decreased by 0.2 percentage points to 48.1%. This is despite an increase in detections YTD, rising 18.3% (1,697 detections) to 10,963.</w:t>
      </w:r>
    </w:p>
    <w:p w14:paraId="6853A96A" w14:textId="77777777" w:rsidR="0095021C" w:rsidRDefault="0095021C" w:rsidP="009A76E0">
      <w:pPr>
        <w:pStyle w:val="Heading4"/>
      </w:pPr>
      <w:r>
        <w:t>Housebreaking</w:t>
      </w:r>
    </w:p>
    <w:p w14:paraId="29AFD2C7" w14:textId="16ECA495" w:rsidR="00C553C4" w:rsidRDefault="00C553C4" w:rsidP="00C553C4">
      <w:r w:rsidRPr="00C553C4">
        <w:t>Overall housebreaking crimes have decreased by 782 crimes (</w:t>
      </w:r>
      <w:r w:rsidR="0058306F">
        <w:t xml:space="preserve">down </w:t>
      </w:r>
      <w:r w:rsidRPr="00C553C4">
        <w:t>17.0%)</w:t>
      </w:r>
      <w:r w:rsidR="007D0A67">
        <w:t xml:space="preserve"> on last year</w:t>
      </w:r>
      <w:r w:rsidRPr="00C553C4">
        <w:t xml:space="preserve"> </w:t>
      </w:r>
      <w:r w:rsidR="007D0A67" w:rsidRPr="00C553C4">
        <w:t>and</w:t>
      </w:r>
      <w:r w:rsidRPr="00C553C4">
        <w:t xml:space="preserve"> decreased by 1,102 crimes (</w:t>
      </w:r>
      <w:r w:rsidR="0058306F">
        <w:t xml:space="preserve">down </w:t>
      </w:r>
      <w:r w:rsidRPr="00C553C4">
        <w:t xml:space="preserve">22.3%) compared to the five-year mean. </w:t>
      </w:r>
      <w:r>
        <w:t>When c</w:t>
      </w:r>
      <w:r w:rsidRPr="00C553C4">
        <w:t>ompared to the pre-COVID-19 year of 2019/20</w:t>
      </w:r>
      <w:r>
        <w:t>,</w:t>
      </w:r>
      <w:r w:rsidRPr="00C553C4">
        <w:t xml:space="preserve"> there has been an overall decrease of </w:t>
      </w:r>
      <w:r>
        <w:t>2,571</w:t>
      </w:r>
      <w:r w:rsidRPr="00C553C4">
        <w:t xml:space="preserve"> (</w:t>
      </w:r>
      <w:r w:rsidR="0058306F">
        <w:t xml:space="preserve">down </w:t>
      </w:r>
      <w:r>
        <w:t>40.2</w:t>
      </w:r>
      <w:r w:rsidRPr="00C553C4">
        <w:t>%) crimes.</w:t>
      </w:r>
    </w:p>
    <w:p w14:paraId="6C9731AE" w14:textId="142A26BD" w:rsidR="0095021C" w:rsidRPr="009A76E0" w:rsidRDefault="00C553C4" w:rsidP="0095021C">
      <w:pPr>
        <w:rPr>
          <w:b/>
        </w:rPr>
      </w:pPr>
      <w:bookmarkStart w:id="37" w:name="_Hlk183094969"/>
      <w:r w:rsidRPr="00C553C4">
        <w:t xml:space="preserve">Detections have increased 1.4% (18 </w:t>
      </w:r>
      <w:r w:rsidR="0058306F">
        <w:t xml:space="preserve">more </w:t>
      </w:r>
      <w:r w:rsidRPr="00C553C4">
        <w:t>detections) compared to the same period last year, leading to a 6.1 percentage point increase in detection rate</w:t>
      </w:r>
      <w:r>
        <w:t xml:space="preserve"> which now sits at 33.7%.</w:t>
      </w:r>
    </w:p>
    <w:bookmarkEnd w:id="37"/>
    <w:p w14:paraId="7F59C8CF" w14:textId="77777777" w:rsidR="0095021C" w:rsidRDefault="0095021C" w:rsidP="009A76E0">
      <w:pPr>
        <w:pStyle w:val="Heading4"/>
      </w:pPr>
      <w:r>
        <w:t>Vehicle Crime</w:t>
      </w:r>
    </w:p>
    <w:p w14:paraId="32799CEB" w14:textId="652DEAC9" w:rsidR="0095021C" w:rsidRPr="00567764" w:rsidRDefault="0095021C" w:rsidP="0095021C">
      <w:pPr>
        <w:rPr>
          <w:color w:val="000000" w:themeColor="text1"/>
        </w:rPr>
      </w:pPr>
      <w:r w:rsidRPr="00567764">
        <w:rPr>
          <w:color w:val="000000" w:themeColor="text1"/>
        </w:rPr>
        <w:t>Motor vehicle crime has decreased compared to the previous year (539 fewer, down 8.7%) and compared to the five-year mean (303 fewer, down 5.1%). There has been a significant decrease in motor vehicle crime compared to the pre-COVID-19 period, with 1,232 (down 17.9%) fewer crimes. The only crime under this grouping which has increased compared to the previous year is Attempt Theft of Motor Vehicle which has observed an increase of 62 crimes (up 24.7%). Detections for motor vehicle crimes have slightly increased by 1.1%</w:t>
      </w:r>
      <w:r w:rsidR="004F2B7C">
        <w:rPr>
          <w:color w:val="000000" w:themeColor="text1"/>
        </w:rPr>
        <w:t xml:space="preserve"> with the detection rate up 3.1% points on last year</w:t>
      </w:r>
      <w:r w:rsidRPr="00567764">
        <w:rPr>
          <w:color w:val="000000" w:themeColor="text1"/>
        </w:rPr>
        <w:t>.</w:t>
      </w:r>
    </w:p>
    <w:p w14:paraId="7E85B69D" w14:textId="77777777" w:rsidR="0095021C" w:rsidRDefault="0095021C" w:rsidP="009A76E0">
      <w:pPr>
        <w:pStyle w:val="Heading4"/>
      </w:pPr>
      <w:r w:rsidRPr="001136E9">
        <w:lastRenderedPageBreak/>
        <w:t>Fraud</w:t>
      </w:r>
    </w:p>
    <w:p w14:paraId="6ABB9DAB" w14:textId="77777777" w:rsidR="0095021C" w:rsidRDefault="0095021C" w:rsidP="0095021C">
      <w:pPr>
        <w:rPr>
          <w:noProof/>
        </w:rPr>
      </w:pPr>
      <w:r>
        <w:rPr>
          <w:noProof/>
        </w:rPr>
        <w:drawing>
          <wp:inline distT="0" distB="0" distL="0" distR="0" wp14:anchorId="49626153" wp14:editId="5E3C7BC0">
            <wp:extent cx="6188710" cy="1754505"/>
            <wp:effectExtent l="0" t="0" r="2540" b="0"/>
            <wp:docPr id="810182173" name="Picture 1" descr="Fraud Comparison Table&#10;The first section (recorded YTD comparison) shows 8,179 fraud crimes PYTD compared to 7,678 YTD (down 6.1% on last year). The six month sparkline shows a high of 1,310 crimes in April; 1,307 crimes in May; a low of 1,176 crimes in June; 1,308 crimes in July; 1,267 crimes in August and a high of 1,310 crimes in September 2024.&#10;The second section (recorded five-year comparison) shows the five-year mean for fraud crimes is 7,052.8 compared to 7,678 YTD (up 8.9% on five-year mean). The five-year sparkline shows a low of 6,284 crimes in 2020/21; 7,469 crimes in 2021/22; a high of 8,240 crimes in 2022/23; 8,179 crimes in 2023/24 and 7,678 crimes in 2024/25 YTD.&#10;The third section (recorded detection rate comparison) shows the detection rate for fraud crimes was 15.2% in PYTD compared to 18.6% in YTD (up 3.4% points on last year). The five-year detection rate sparkline shows a high of 28.2% in 2020/21; 17.2% in 2021/22; 17.2% in 2022/23; a low of 15.2% in 2023/24 and 18.6%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82173" name="Picture 1" descr="Fraud Comparison Table&#10;The first section (recorded YTD comparison) shows 8,179 fraud crimes PYTD compared to 7,678 YTD (down 6.1% on last year). The six month sparkline shows a high of 1,310 crimes in April; 1,307 crimes in May; a low of 1,176 crimes in June; 1,308 crimes in July; 1,267 crimes in August and a high of 1,310 crimes in September 2024.&#10;The second section (recorded five-year comparison) shows the five-year mean for fraud crimes is 7,052.8 compared to 7,678 YTD (up 8.9% on five-year mean). The five-year sparkline shows a low of 6,284 crimes in 2020/21; 7,469 crimes in 2021/22; a high of 8,240 crimes in 2022/23; 8,179 crimes in 2023/24 and 7,678 crimes in 2024/25 YTD.&#10;The third section (recorded detection rate comparison) shows the detection rate for fraud crimes was 15.2% in PYTD compared to 18.6% in YTD (up 3.4% points on last year). The five-year detection rate sparkline shows a high of 28.2% in 2020/21; 17.2% in 2021/22; 17.2% in 2022/23; a low of 15.2% in 2023/24 and 18.6% in 2024/25 YTD.&#10;"/>
                    <pic:cNvPicPr/>
                  </pic:nvPicPr>
                  <pic:blipFill>
                    <a:blip r:embed="rId45"/>
                    <a:stretch>
                      <a:fillRect/>
                    </a:stretch>
                  </pic:blipFill>
                  <pic:spPr>
                    <a:xfrm>
                      <a:off x="0" y="0"/>
                      <a:ext cx="6188710" cy="1754505"/>
                    </a:xfrm>
                    <a:prstGeom prst="rect">
                      <a:avLst/>
                    </a:prstGeom>
                  </pic:spPr>
                </pic:pic>
              </a:graphicData>
            </a:graphic>
          </wp:inline>
        </w:drawing>
      </w:r>
    </w:p>
    <w:p w14:paraId="3A9C940B" w14:textId="12E8F982" w:rsidR="0095021C" w:rsidRPr="00567764" w:rsidRDefault="0095021C" w:rsidP="0095021C">
      <w:pPr>
        <w:rPr>
          <w:color w:val="000000" w:themeColor="text1"/>
        </w:rPr>
      </w:pPr>
      <w:bookmarkStart w:id="38" w:name="_Hlk157688678"/>
      <w:r w:rsidRPr="00567764">
        <w:rPr>
          <w:color w:val="000000" w:themeColor="text1"/>
        </w:rPr>
        <w:t xml:space="preserve">The decrease in recorded fraud crimes has continued this quarter and are now </w:t>
      </w:r>
      <w:r w:rsidR="00D14DF2">
        <w:rPr>
          <w:color w:val="000000" w:themeColor="text1"/>
        </w:rPr>
        <w:t xml:space="preserve">down </w:t>
      </w:r>
      <w:r w:rsidRPr="00567764">
        <w:rPr>
          <w:color w:val="000000" w:themeColor="text1"/>
        </w:rPr>
        <w:t xml:space="preserve">6.1% on the same period last year (501 fewer crimes). Compared to the five-year mean there remains an increase of 8.9% and the current total is still higher than the pre-COVID-19 period by 2,586 (up 50.8%). The detection rate for fraud has seen an </w:t>
      </w:r>
      <w:r w:rsidR="004F2B7C">
        <w:rPr>
          <w:color w:val="000000" w:themeColor="text1"/>
        </w:rPr>
        <w:t>3.4%</w:t>
      </w:r>
      <w:r w:rsidRPr="00567764">
        <w:rPr>
          <w:color w:val="000000" w:themeColor="text1"/>
        </w:rPr>
        <w:t xml:space="preserve"> point increase compared to the same period last year, however this remains </w:t>
      </w:r>
      <w:r w:rsidR="004F2B7C">
        <w:rPr>
          <w:color w:val="000000" w:themeColor="text1"/>
        </w:rPr>
        <w:t>12.7%</w:t>
      </w:r>
      <w:r w:rsidRPr="00567764">
        <w:rPr>
          <w:color w:val="000000" w:themeColor="text1"/>
        </w:rPr>
        <w:t xml:space="preserve"> points below the pre-COVID-19 detection rate</w:t>
      </w:r>
      <w:r w:rsidR="004F2B7C">
        <w:rPr>
          <w:color w:val="000000" w:themeColor="text1"/>
        </w:rPr>
        <w:t xml:space="preserve"> in 2019/20</w:t>
      </w:r>
      <w:r w:rsidRPr="00567764">
        <w:rPr>
          <w:color w:val="000000" w:themeColor="text1"/>
        </w:rPr>
        <w:t>.</w:t>
      </w:r>
    </w:p>
    <w:p w14:paraId="3D2F9A29" w14:textId="77777777" w:rsidR="00D14DF2" w:rsidRDefault="0095021C" w:rsidP="0095021C">
      <w:pPr>
        <w:rPr>
          <w:color w:val="000000" w:themeColor="text1"/>
        </w:rPr>
      </w:pPr>
      <w:bookmarkStart w:id="39" w:name="_Hlk183095298"/>
      <w:bookmarkEnd w:id="38"/>
      <w:r w:rsidRPr="003612A8">
        <w:rPr>
          <w:color w:val="000000" w:themeColor="text1"/>
        </w:rPr>
        <w:t>In September 2024, P</w:t>
      </w:r>
      <w:r>
        <w:rPr>
          <w:color w:val="000000" w:themeColor="text1"/>
        </w:rPr>
        <w:t xml:space="preserve">olicing in a </w:t>
      </w:r>
      <w:r w:rsidRPr="003612A8">
        <w:rPr>
          <w:color w:val="000000" w:themeColor="text1"/>
        </w:rPr>
        <w:t>D</w:t>
      </w:r>
      <w:r>
        <w:rPr>
          <w:color w:val="000000" w:themeColor="text1"/>
        </w:rPr>
        <w:t xml:space="preserve">igital </w:t>
      </w:r>
      <w:r w:rsidRPr="003612A8">
        <w:rPr>
          <w:color w:val="000000" w:themeColor="text1"/>
        </w:rPr>
        <w:t>W</w:t>
      </w:r>
      <w:r>
        <w:rPr>
          <w:color w:val="000000" w:themeColor="text1"/>
        </w:rPr>
        <w:t xml:space="preserve">orld </w:t>
      </w:r>
      <w:r w:rsidRPr="003612A8">
        <w:rPr>
          <w:color w:val="000000" w:themeColor="text1"/>
        </w:rPr>
        <w:t>P</w:t>
      </w:r>
      <w:r>
        <w:rPr>
          <w:color w:val="000000" w:themeColor="text1"/>
        </w:rPr>
        <w:t>roject (PDWP)</w:t>
      </w:r>
      <w:r w:rsidRPr="003612A8">
        <w:rPr>
          <w:color w:val="000000" w:themeColor="text1"/>
        </w:rPr>
        <w:t xml:space="preserve"> began the governance journey that describes Police Scotland’s vision to enhance its current model to improve the investigation and response to the threat of Fraud through the Fraud Strategy and Operating Model Project.</w:t>
      </w:r>
    </w:p>
    <w:bookmarkEnd w:id="39"/>
    <w:p w14:paraId="2E4442E4" w14:textId="77777777" w:rsidR="00D14DF2" w:rsidRDefault="0095021C" w:rsidP="0095021C">
      <w:pPr>
        <w:rPr>
          <w:color w:val="000000" w:themeColor="text1"/>
        </w:rPr>
      </w:pPr>
      <w:r w:rsidRPr="003612A8">
        <w:rPr>
          <w:color w:val="000000" w:themeColor="text1"/>
        </w:rPr>
        <w:t>Support and engagement continue with the NPCC Lead for Cyber and Fraud, the City of London Police, in relation to their delivery of the new Fraud and Cybercrime Reporting and Analysis Service (FCCRAS).</w:t>
      </w:r>
    </w:p>
    <w:p w14:paraId="23E84B8E" w14:textId="5795F0D0" w:rsidR="0095021C" w:rsidRDefault="0095021C" w:rsidP="0095021C">
      <w:pPr>
        <w:rPr>
          <w:color w:val="000000" w:themeColor="text1"/>
        </w:rPr>
      </w:pPr>
      <w:r w:rsidRPr="003612A8">
        <w:rPr>
          <w:color w:val="000000" w:themeColor="text1"/>
        </w:rPr>
        <w:t>It has been recognised that to support the organisation’s ability to effectively and efficiently respond to Fraud and Cyber incidents, Police Scotland should seek to align our approach along with other UK LEA’s. This will include changing our internal structures to create a Fraud Cyber Command.</w:t>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95021C" w:rsidRPr="0075685D" w14:paraId="2A4568A3" w14:textId="77777777" w:rsidTr="00F34EB1">
        <w:trPr>
          <w:trHeight w:val="680"/>
          <w:tblHeader/>
        </w:trPr>
        <w:tc>
          <w:tcPr>
            <w:tcW w:w="9862" w:type="dxa"/>
            <w:shd w:val="clear" w:color="auto" w:fill="FFE599" w:themeFill="accent4" w:themeFillTint="66"/>
            <w:vAlign w:val="center"/>
            <w:hideMark/>
          </w:tcPr>
          <w:p w14:paraId="21A74D18" w14:textId="77777777" w:rsidR="0095021C" w:rsidRPr="009A76E0" w:rsidRDefault="0095021C" w:rsidP="009A76E0">
            <w:pPr>
              <w:pStyle w:val="TableHeaderLeft"/>
            </w:pPr>
            <w:bookmarkStart w:id="40" w:name="Banking"/>
            <w:bookmarkEnd w:id="40"/>
            <w:r w:rsidRPr="009A76E0">
              <w:rPr>
                <w:rStyle w:val="Strong"/>
                <w:b/>
                <w:bCs w:val="0"/>
              </w:rPr>
              <w:t>Proactive/Preventative Policing - Identifying Vulnerable Victims of Fraud: The Banking Protocol</w:t>
            </w:r>
          </w:p>
        </w:tc>
      </w:tr>
      <w:tr w:rsidR="0095021C" w:rsidRPr="0075685D" w14:paraId="5D3B5B0A" w14:textId="77777777" w:rsidTr="00F34EB1">
        <w:trPr>
          <w:trHeight w:val="680"/>
        </w:trPr>
        <w:tc>
          <w:tcPr>
            <w:tcW w:w="9862" w:type="dxa"/>
            <w:shd w:val="clear" w:color="auto" w:fill="FFF2CC" w:themeFill="accent4" w:themeFillTint="33"/>
            <w:vAlign w:val="center"/>
            <w:hideMark/>
          </w:tcPr>
          <w:p w14:paraId="177E2CF9" w14:textId="47928780" w:rsidR="0040757B" w:rsidRPr="0040757B" w:rsidRDefault="0040757B" w:rsidP="0040757B">
            <w:pPr>
              <w:pStyle w:val="TableBodyLeft"/>
            </w:pPr>
            <w:r w:rsidRPr="0040757B">
              <w:t>The Banking Protocol is a multi-agency initiative between law enforcement, banking institutions and Trading Standards. Its aim is to identify vulnerable victims at the earliest opportunity, who are in the process of being defrauded of funds from their bank accounts by unscrupulous criminals and to intervene to prevent these crimes.</w:t>
            </w:r>
          </w:p>
          <w:p w14:paraId="5E9012F7" w14:textId="77777777" w:rsidR="0040757B" w:rsidRPr="0040757B" w:rsidRDefault="0040757B" w:rsidP="0040757B">
            <w:pPr>
              <w:pStyle w:val="TableBodyLeft"/>
            </w:pPr>
            <w:r w:rsidRPr="0040757B">
              <w:t>If staff suspect customers are being coerced or the transaction is as a result of fraud, the transaction is stopped, and the Police are contacted.</w:t>
            </w:r>
          </w:p>
          <w:p w14:paraId="583464A5" w14:textId="77777777" w:rsidR="0040757B" w:rsidRPr="0040757B" w:rsidRDefault="0040757B" w:rsidP="0040757B">
            <w:pPr>
              <w:pStyle w:val="TableBodyLeft"/>
            </w:pPr>
            <w:r w:rsidRPr="0040757B">
              <w:t>The Protocol is designed to provide a standardised method for how these concerns are dealt with and reported to police and to stop multiple victimisations.</w:t>
            </w:r>
          </w:p>
          <w:p w14:paraId="6D0602C1" w14:textId="5C2823A6" w:rsidR="0040757B" w:rsidRPr="0040757B" w:rsidRDefault="0040757B" w:rsidP="0040757B">
            <w:pPr>
              <w:pStyle w:val="TableBodyLeft"/>
            </w:pPr>
            <w:r w:rsidRPr="0040757B">
              <w:t>In terms of Quarter 2 of the reporting year 2024/25, the Banking Protocol recorded 265 incidents accounting for £946,930 of fraud being prevented.</w:t>
            </w:r>
          </w:p>
          <w:p w14:paraId="1AA486C6" w14:textId="77777777" w:rsidR="0040757B" w:rsidRPr="0040757B" w:rsidRDefault="0040757B" w:rsidP="0040757B">
            <w:pPr>
              <w:pStyle w:val="TableBodyLeft"/>
            </w:pPr>
            <w:bookmarkStart w:id="41" w:name="_Hlk183095486"/>
            <w:r w:rsidRPr="0040757B">
              <w:lastRenderedPageBreak/>
              <w:t>This initiative continues to succeed in protecting the vulnerable victims of fraud and its success demonstrates the value of the public / private partnership model.</w:t>
            </w:r>
          </w:p>
          <w:bookmarkEnd w:id="41"/>
          <w:p w14:paraId="34D319B2" w14:textId="0EAC4A0B" w:rsidR="0040757B" w:rsidRPr="0040757B" w:rsidRDefault="0040757B" w:rsidP="0040757B">
            <w:pPr>
              <w:pStyle w:val="TableBodyLeft"/>
            </w:pPr>
            <w:r w:rsidRPr="0040757B">
              <w:t>YTD there have been 495 incidents account</w:t>
            </w:r>
            <w:r w:rsidR="00881DDB">
              <w:t>ing</w:t>
            </w:r>
            <w:r w:rsidRPr="0040757B">
              <w:t xml:space="preserve"> for £2,090,467 of fraud prevented.</w:t>
            </w:r>
          </w:p>
          <w:p w14:paraId="3026D80E" w14:textId="5317B46B" w:rsidR="0095021C" w:rsidRPr="0040757B" w:rsidRDefault="0040757B" w:rsidP="0058306F">
            <w:pPr>
              <w:pStyle w:val="TableBodyLeft"/>
            </w:pPr>
            <w:r w:rsidRPr="0040757B">
              <w:t xml:space="preserve">A recent example during September involved a 61-year-old female who fell victim to a romance scam. She attended the branch requesting to send £45,000 to a third party in </w:t>
            </w:r>
            <w:bookmarkStart w:id="42" w:name="_Hlk183095531"/>
            <w:r w:rsidR="009A7715" w:rsidRPr="0040757B">
              <w:t>Türkiye</w:t>
            </w:r>
            <w:bookmarkEnd w:id="42"/>
            <w:r w:rsidRPr="0040757B">
              <w:t xml:space="preserve"> providing multiple explanations including building work and sending funds to her husband.</w:t>
            </w:r>
          </w:p>
        </w:tc>
      </w:tr>
    </w:tbl>
    <w:p w14:paraId="49207330" w14:textId="77777777" w:rsidR="0095021C" w:rsidRPr="001675D8" w:rsidRDefault="0095021C" w:rsidP="0095021C">
      <w:pPr>
        <w:pStyle w:val="Heading4"/>
        <w:rPr>
          <w:lang w:eastAsia="en-GB"/>
        </w:rPr>
      </w:pPr>
      <w:r w:rsidRPr="001675D8">
        <w:rPr>
          <w:lang w:eastAsia="en-GB"/>
        </w:rPr>
        <w:lastRenderedPageBreak/>
        <w:t>Cybercrime</w:t>
      </w:r>
      <w:r>
        <w:rPr>
          <w:lang w:eastAsia="en-GB"/>
        </w:rPr>
        <w:t xml:space="preserve"> (Strategic Outcome 2)</w:t>
      </w:r>
    </w:p>
    <w:p w14:paraId="7CEFC922" w14:textId="77777777" w:rsidR="0095021C" w:rsidRPr="003612A8" w:rsidRDefault="0095021C" w:rsidP="0095021C">
      <w:bookmarkStart w:id="43" w:name="_Hlk183095569"/>
      <w:r w:rsidRPr="003612A8">
        <w:t>Policing in a Digital World (PDWP) aims to transform how Police Scotland respond to the evolving threat of cybercrime</w:t>
      </w:r>
      <w:bookmarkEnd w:id="43"/>
      <w:r w:rsidRPr="003612A8">
        <w:t>. The following details several of the current projects and workstreams that have developed over the last quarter.</w:t>
      </w:r>
    </w:p>
    <w:p w14:paraId="30C8231C" w14:textId="14B5D769" w:rsidR="00D14DF2" w:rsidRDefault="0095021C" w:rsidP="0095021C">
      <w:r w:rsidRPr="003612A8">
        <w:t>The Police Cyber Alarm (PCA) was launched across Scotland in August</w:t>
      </w:r>
      <w:r>
        <w:t xml:space="preserve"> 2024</w:t>
      </w:r>
      <w:r w:rsidR="003D0C6B">
        <w:t>. So far</w:t>
      </w:r>
      <w:r w:rsidRPr="003612A8">
        <w:t xml:space="preserve"> approximately 70 organisations have requested to join the programme, with </w:t>
      </w:r>
      <w:r>
        <w:t>five</w:t>
      </w:r>
      <w:r w:rsidRPr="003612A8">
        <w:t xml:space="preserve"> organisations </w:t>
      </w:r>
      <w:r w:rsidR="003D0C6B">
        <w:t>having</w:t>
      </w:r>
      <w:r w:rsidRPr="003612A8">
        <w:t xml:space="preserve"> completed the sign-up process and </w:t>
      </w:r>
      <w:r w:rsidR="003D0C6B">
        <w:t xml:space="preserve">are </w:t>
      </w:r>
      <w:r w:rsidRPr="003612A8">
        <w:t>sharing live data.</w:t>
      </w:r>
    </w:p>
    <w:p w14:paraId="78FA0B1A" w14:textId="77777777" w:rsidR="00D14DF2" w:rsidRDefault="0095021C" w:rsidP="0095021C">
      <w:r w:rsidRPr="003612A8">
        <w:t>Both Cyber Harm Prevention and Cyber Investigations teams have been trained on the capability and use of the PCA dashboard with continued follow up sessions being delivered as and when necessary.</w:t>
      </w:r>
    </w:p>
    <w:p w14:paraId="16040F3F" w14:textId="24A21485" w:rsidR="0095021C" w:rsidRPr="003612A8" w:rsidRDefault="0095021C" w:rsidP="0095021C">
      <w:r w:rsidRPr="003612A8">
        <w:t xml:space="preserve">Despite </w:t>
      </w:r>
      <w:r>
        <w:t>PCA being in its infancy</w:t>
      </w:r>
      <w:r w:rsidRPr="003612A8">
        <w:t>, the first analytical document has been produced which has already highlighted suspicious activity allowing Police Scotland to engage and mitigate an organisation from becoming a victim of cybercrime.</w:t>
      </w:r>
    </w:p>
    <w:p w14:paraId="34C99AF6" w14:textId="0AEC7904" w:rsidR="0095021C" w:rsidRPr="003612A8" w:rsidRDefault="0095021C" w:rsidP="0095021C">
      <w:r w:rsidRPr="003612A8">
        <w:t>The Cyber Training and Capability Project continue their work following a workshop held in August 2024 with key business stakeholders, developing a new approach to training in this space. A plan to roll out bitesize training to all officers and staff over the rest of the financial year is under development</w:t>
      </w:r>
      <w:r w:rsidR="007721E6">
        <w:t>. This</w:t>
      </w:r>
      <w:r w:rsidRPr="003612A8">
        <w:t xml:space="preserve"> will complement the launch of a Cyber and Digital Knowledge Hub for the Force provided by our internal training team.</w:t>
      </w:r>
    </w:p>
    <w:p w14:paraId="7B908C2F" w14:textId="77777777" w:rsidR="00D14DF2" w:rsidRDefault="0095021C" w:rsidP="0095021C">
      <w:r w:rsidRPr="003612A8">
        <w:t>The Cyber Choices Scotland (CCS) project is currently being developed for delivery across Scotland in April/May 2025. This project takes the framework of the Cyber Choices programme in England and Wales to identify, engage and divert young and vulnerable people who may be susceptible to be drawn into cyber criminal behaviour to make more positive choices.</w:t>
      </w:r>
    </w:p>
    <w:p w14:paraId="354A9640" w14:textId="2CEB3C89" w:rsidR="0095021C" w:rsidRDefault="0095021C" w:rsidP="0095021C">
      <w:r w:rsidRPr="003612A8">
        <w:t xml:space="preserve">The CCS project is firmly within the Cyber Prevent space and is being developed to be a collaborative partnership approach with </w:t>
      </w:r>
      <w:proofErr w:type="spellStart"/>
      <w:r w:rsidRPr="003612A8">
        <w:t>CyberFirst</w:t>
      </w:r>
      <w:proofErr w:type="spellEnd"/>
      <w:r w:rsidRPr="003612A8">
        <w:t xml:space="preserve">, </w:t>
      </w:r>
      <w:proofErr w:type="spellStart"/>
      <w:r w:rsidRPr="003612A8">
        <w:t>YouthLink</w:t>
      </w:r>
      <w:proofErr w:type="spellEnd"/>
      <w:r w:rsidRPr="003612A8">
        <w:t xml:space="preserve"> Scotland, Young Scot and others.</w:t>
      </w:r>
    </w:p>
    <w:p w14:paraId="0972E8A6" w14:textId="77777777" w:rsidR="0095021C" w:rsidRPr="003612A8" w:rsidRDefault="0095021C" w:rsidP="009A76E0">
      <w:pPr>
        <w:pStyle w:val="Heading4"/>
        <w:rPr>
          <w:lang w:eastAsia="en-GB"/>
        </w:rPr>
      </w:pPr>
      <w:bookmarkStart w:id="44" w:name="_Hlk180064838"/>
      <w:r>
        <w:rPr>
          <w:lang w:eastAsia="en-GB"/>
        </w:rPr>
        <w:t>Ransomware</w:t>
      </w:r>
    </w:p>
    <w:p w14:paraId="51580FD6" w14:textId="77777777" w:rsidR="00D14DF2" w:rsidRDefault="0095021C" w:rsidP="0095021C">
      <w:bookmarkStart w:id="45" w:name="_Hlk183095698"/>
      <w:bookmarkEnd w:id="44"/>
      <w:r w:rsidRPr="003612A8">
        <w:t xml:space="preserve">Ransomware continues to pose a significant threat to businesses across the United Kingdom, </w:t>
      </w:r>
      <w:bookmarkEnd w:id="45"/>
      <w:r w:rsidRPr="003612A8">
        <w:t xml:space="preserve">with Ransomware-As-A-Service (RaaS) groups such as </w:t>
      </w:r>
      <w:proofErr w:type="spellStart"/>
      <w:r w:rsidRPr="003612A8">
        <w:t>Lockbit</w:t>
      </w:r>
      <w:proofErr w:type="spellEnd"/>
      <w:r w:rsidRPr="003612A8">
        <w:t xml:space="preserve">, </w:t>
      </w:r>
      <w:proofErr w:type="spellStart"/>
      <w:r w:rsidRPr="003612A8">
        <w:t>Ransomhub</w:t>
      </w:r>
      <w:proofErr w:type="spellEnd"/>
      <w:r w:rsidRPr="003612A8">
        <w:t xml:space="preserve"> and </w:t>
      </w:r>
      <w:r w:rsidRPr="003612A8">
        <w:lastRenderedPageBreak/>
        <w:t>Play continuing to cause disruption to companies in several key industry areas including construction, the legal profession and the healthcare sector.</w:t>
      </w:r>
    </w:p>
    <w:p w14:paraId="1853E227" w14:textId="76022421" w:rsidR="0095021C" w:rsidRDefault="0095021C" w:rsidP="0095021C">
      <w:bookmarkStart w:id="46" w:name="_Hlk183095711"/>
      <w:r w:rsidRPr="003612A8">
        <w:t xml:space="preserve">During this reporting period, Police Scotland received </w:t>
      </w:r>
      <w:r w:rsidR="00D14DF2">
        <w:t>seven</w:t>
      </w:r>
      <w:r w:rsidRPr="003612A8">
        <w:t xml:space="preserve"> new reports of ransomware, which is consistent with the number reported during the same period in 2024. </w:t>
      </w:r>
      <w:bookmarkEnd w:id="46"/>
      <w:r w:rsidRPr="003612A8">
        <w:t xml:space="preserve">Whilst the number of reported incidents has remained static, </w:t>
      </w:r>
      <w:bookmarkStart w:id="47" w:name="_Hlk183095735"/>
      <w:r w:rsidRPr="003612A8">
        <w:t>the number of active ransomware groups continues to increase year-on-year and ransomware continues to be the most significant cyber threat facing United Kingdom organisations.</w:t>
      </w:r>
    </w:p>
    <w:bookmarkEnd w:id="47"/>
    <w:p w14:paraId="6517AE55" w14:textId="77777777" w:rsidR="0095021C" w:rsidRPr="003612A8" w:rsidRDefault="0095021C" w:rsidP="009A76E0">
      <w:pPr>
        <w:pStyle w:val="Heading4"/>
        <w:rPr>
          <w:lang w:eastAsia="en-GB"/>
        </w:rPr>
      </w:pPr>
      <w:r>
        <w:rPr>
          <w:lang w:eastAsia="en-GB"/>
        </w:rPr>
        <w:t>Cyber Kiosks</w:t>
      </w:r>
    </w:p>
    <w:p w14:paraId="2689D6FE" w14:textId="77777777" w:rsidR="00D14DF2" w:rsidRDefault="0095021C" w:rsidP="0095021C">
      <w:bookmarkStart w:id="48" w:name="_Hlk183095759"/>
      <w:r w:rsidRPr="003612A8">
        <w:t>Police Scotland has refreshed its training programme to increase the capability of officers to utilise Cyber Kiosks to triage devices seized in relation to ongoing investigations</w:t>
      </w:r>
      <w:bookmarkEnd w:id="48"/>
      <w:r w:rsidRPr="003612A8">
        <w:t>. This has increased our capability to triage digital devices, enabling investigators to secure evidence quicker and minimise what is processed through our digital forensic labs.</w:t>
      </w:r>
    </w:p>
    <w:p w14:paraId="5887ED9C" w14:textId="4C9E6383" w:rsidR="0095021C" w:rsidRDefault="0095021C" w:rsidP="0095021C">
      <w:bookmarkStart w:id="49" w:name="_Hlk183095786"/>
      <w:r w:rsidRPr="003612A8">
        <w:t>During this reporting period, 26 training courses have been delivered</w:t>
      </w:r>
      <w:r w:rsidR="001760CE">
        <w:t>,</w:t>
      </w:r>
      <w:r w:rsidRPr="003612A8">
        <w:t xml:space="preserve"> 231 staff have been trained in Kiosk examination and 245 Cyber Kiosk examinations were conducted relating to 616 devices</w:t>
      </w:r>
      <w:r>
        <w:t>.</w:t>
      </w:r>
    </w:p>
    <w:bookmarkEnd w:id="49"/>
    <w:p w14:paraId="71B367BD" w14:textId="77777777" w:rsidR="0095021C" w:rsidRPr="003612A8" w:rsidRDefault="0095021C" w:rsidP="009A76E0">
      <w:pPr>
        <w:pStyle w:val="Heading4"/>
        <w:rPr>
          <w:lang w:eastAsia="en-GB"/>
        </w:rPr>
      </w:pPr>
      <w:r>
        <w:rPr>
          <w:lang w:eastAsia="en-GB"/>
        </w:rPr>
        <w:t>Cryptocurrency Tracking</w:t>
      </w:r>
    </w:p>
    <w:p w14:paraId="0A9FB759" w14:textId="77777777" w:rsidR="0095021C" w:rsidRPr="00ED6ED1" w:rsidRDefault="0095021C" w:rsidP="0095021C">
      <w:r w:rsidRPr="00ED6ED1">
        <w:t>Investment scams involving cryptocurrency continue to be a common threat to communities, with criminals actively using social media to advertise fraudulent investment platforms.</w:t>
      </w:r>
    </w:p>
    <w:p w14:paraId="2C498436" w14:textId="77777777" w:rsidR="0095021C" w:rsidRPr="00ED6ED1" w:rsidRDefault="0095021C" w:rsidP="0095021C">
      <w:bookmarkStart w:id="50" w:name="_Hlk183095808"/>
      <w:r w:rsidRPr="00ED6ED1">
        <w:t>Police Scotland continues to develop its recently expanded cryptocurrency tracking capability, with several officers across the country receiving training in the use of specialist tools and techniques to trace the movement of cryptocurrency assets</w:t>
      </w:r>
      <w:bookmarkEnd w:id="50"/>
      <w:r w:rsidRPr="00ED6ED1">
        <w:t>. By analysing transaction patterns, these specialist investigators can identify suspects, uncover criminal networks, and potentially identify opportunities to seize illicit funds.</w:t>
      </w:r>
    </w:p>
    <w:p w14:paraId="1B61CBE9" w14:textId="77777777" w:rsidR="0095021C" w:rsidRPr="00ED6ED1" w:rsidRDefault="0095021C" w:rsidP="0095021C">
      <w:bookmarkStart w:id="51" w:name="_Hlk183095821"/>
      <w:r w:rsidRPr="00ED6ED1">
        <w:t>During this reporting period, Police Scotland have supported 34 cryptocurrency tracking enquiries across the country.</w:t>
      </w:r>
    </w:p>
    <w:bookmarkEnd w:id="51"/>
    <w:p w14:paraId="11D85747" w14:textId="77777777" w:rsidR="0095021C" w:rsidRPr="00ED6ED1" w:rsidRDefault="0095021C" w:rsidP="009A76E0">
      <w:pPr>
        <w:pStyle w:val="Heading4"/>
        <w:rPr>
          <w:lang w:eastAsia="en-GB"/>
        </w:rPr>
      </w:pPr>
      <w:r>
        <w:rPr>
          <w:lang w:eastAsia="en-GB"/>
        </w:rPr>
        <w:t>Digital Forensics</w:t>
      </w:r>
    </w:p>
    <w:p w14:paraId="112249BF" w14:textId="7539F4A3" w:rsidR="0095021C" w:rsidRPr="003612A8" w:rsidRDefault="0095021C" w:rsidP="0095021C">
      <w:bookmarkStart w:id="52" w:name="_Hlk183095843"/>
      <w:r w:rsidRPr="003612A8">
        <w:t>Police Scotland’s Digital Forensic Labs continue to experience significant demand requesting examination of electronic devices seized during investigations. During this reporting period, 268 Electronic Request Forms (ERFs) were approved by the Cybercrime Gateway</w:t>
      </w:r>
      <w:r w:rsidR="007A51FF">
        <w:t>. These related</w:t>
      </w:r>
      <w:r w:rsidRPr="003612A8">
        <w:t xml:space="preserve"> to 2</w:t>
      </w:r>
      <w:r w:rsidR="00763359">
        <w:t>,</w:t>
      </w:r>
      <w:r w:rsidRPr="003612A8">
        <w:t>606 electronic devices. Over the same three-month period there were 1</w:t>
      </w:r>
      <w:r w:rsidR="00D14DF2">
        <w:t>,</w:t>
      </w:r>
      <w:r w:rsidRPr="003612A8">
        <w:t>175 cases completed and 5</w:t>
      </w:r>
      <w:r w:rsidR="00D14DF2">
        <w:t>,</w:t>
      </w:r>
      <w:r w:rsidRPr="003612A8">
        <w:t>575 devices examined.</w:t>
      </w:r>
    </w:p>
    <w:bookmarkEnd w:id="52"/>
    <w:p w14:paraId="64ECCE99" w14:textId="77777777" w:rsidR="00E057C4" w:rsidRDefault="0095021C" w:rsidP="00D14DF2">
      <w:r w:rsidRPr="003612A8">
        <w:t>Cybercrime Digital Forensics continue to receive a significant number of time-critical requests from COPFS via Standard Forensic Instructions (SFIs). During this reporting period, 70% of ERFs approved by the Cybercrime Gateway were submitted because of an SFI issued by COPFS.</w:t>
      </w:r>
    </w:p>
    <w:p w14:paraId="369084B7" w14:textId="4B6B0D5F" w:rsidR="0095021C" w:rsidRDefault="0095021C" w:rsidP="00D14DF2">
      <w:r>
        <w:br w:type="page"/>
      </w:r>
    </w:p>
    <w:p w14:paraId="48E88A63" w14:textId="17AA0676" w:rsidR="00F22131" w:rsidRDefault="00F22131" w:rsidP="00902B08">
      <w:pPr>
        <w:pStyle w:val="Heading3"/>
      </w:pPr>
      <w:bookmarkStart w:id="53" w:name="_Toc182915892"/>
      <w:r>
        <w:lastRenderedPageBreak/>
        <w:t xml:space="preserve">Vision 2030: </w:t>
      </w:r>
      <w:r w:rsidR="00902B08">
        <w:t>S</w:t>
      </w:r>
      <w:r w:rsidR="001A03A1">
        <w:t>afer Communities</w:t>
      </w:r>
      <w:bookmarkEnd w:id="21"/>
      <w:bookmarkEnd w:id="22"/>
      <w:bookmarkEnd w:id="23"/>
      <w:bookmarkEnd w:id="24"/>
      <w:bookmarkEnd w:id="25"/>
      <w:bookmarkEnd w:id="53"/>
    </w:p>
    <w:p w14:paraId="300A5EDC" w14:textId="471AB6BE" w:rsidR="00A075EE" w:rsidRDefault="00A075EE" w:rsidP="00A075EE">
      <w:bookmarkStart w:id="54" w:name="_Hlk140669384"/>
      <w:r>
        <w:t xml:space="preserve">The following sections have all been aligned under Vision 2030: Safer Communities for the purposes of this Quarter 2 report. Some business areas however could potentially be aligned under multiple commitments. This will be developed further in future reporting. </w:t>
      </w:r>
    </w:p>
    <w:p w14:paraId="3428BC09" w14:textId="4DA78E49" w:rsidR="0061596D" w:rsidRDefault="0061596D" w:rsidP="0061596D">
      <w:pPr>
        <w:pStyle w:val="Heading4"/>
      </w:pPr>
      <w:r>
        <w:t>Drugs Harm/Supply (Strategic Outcome 1)</w:t>
      </w:r>
    </w:p>
    <w:p w14:paraId="19C26928" w14:textId="77777777" w:rsidR="0061596D" w:rsidRPr="001115F0" w:rsidRDefault="0061596D" w:rsidP="00E057C4">
      <w:pPr>
        <w:pStyle w:val="Heading4"/>
      </w:pPr>
      <w:r w:rsidRPr="001115F0">
        <w:t>Naloxone</w:t>
      </w:r>
      <w:r>
        <w:t xml:space="preserve"> Administrations</w:t>
      </w:r>
    </w:p>
    <w:p w14:paraId="5248ECBC" w14:textId="77777777" w:rsidR="0061596D" w:rsidRPr="00EC0836" w:rsidRDefault="0061596D" w:rsidP="0061596D">
      <w:pPr>
        <w:rPr>
          <w:rFonts w:cs="Arial"/>
        </w:rPr>
      </w:pPr>
      <w:r w:rsidRPr="00EC0836">
        <w:rPr>
          <w:rFonts w:cs="Arial"/>
        </w:rPr>
        <w:t xml:space="preserve">The national rollout of Naloxone to all operational officers, up to and including the rank of Inspector, concluded on 31 August 2023. </w:t>
      </w:r>
      <w:bookmarkStart w:id="55" w:name="_Hlk183095944"/>
      <w:r w:rsidRPr="00EC0836">
        <w:rPr>
          <w:rFonts w:cs="Arial"/>
        </w:rPr>
        <w:t>Funding for 2024/25 has been approved by Scottish Government and provided to local NHS Health Boards</w:t>
      </w:r>
      <w:bookmarkEnd w:id="55"/>
      <w:r w:rsidRPr="00EC0836">
        <w:rPr>
          <w:rFonts w:cs="Arial"/>
        </w:rPr>
        <w:t xml:space="preserve">. Local Policing divisions have been advised accordingly to permit maintenance of Naloxone stocks. </w:t>
      </w:r>
      <w:bookmarkStart w:id="56" w:name="_Hlk183095958"/>
      <w:r w:rsidRPr="00EC0836">
        <w:rPr>
          <w:rFonts w:cs="Arial"/>
        </w:rPr>
        <w:t>At the time of writing there have been 581 naloxone administrations by Police Scotland.</w:t>
      </w:r>
    </w:p>
    <w:bookmarkEnd w:id="56"/>
    <w:p w14:paraId="52AED3E5" w14:textId="77777777" w:rsidR="0061596D" w:rsidRPr="00083B7F" w:rsidRDefault="0061596D" w:rsidP="00E057C4">
      <w:pPr>
        <w:pStyle w:val="Heading4"/>
      </w:pPr>
      <w:r w:rsidRPr="00083B7F">
        <w:t>Drug Related Death Dashboard</w:t>
      </w:r>
    </w:p>
    <w:p w14:paraId="1803CBBD" w14:textId="77777777" w:rsidR="0061596D" w:rsidRDefault="0061596D" w:rsidP="0061596D">
      <w:r>
        <w:t>The latest Scottish Government Drug Related Deaths (DRD) dashboard was published on 10 September 2024. During the period March to June 2024 Police Scotland recorded 269 suspected drug deaths. There were 1,186 suspected drug deaths over the 12 months to June 2024, 5% (56) more than the 12 months to June 2023.</w:t>
      </w:r>
    </w:p>
    <w:p w14:paraId="64ABD971" w14:textId="77777777" w:rsidR="0061596D" w:rsidRDefault="0061596D" w:rsidP="0061596D">
      <w:bookmarkStart w:id="57" w:name="_Hlk183096067"/>
      <w:bookmarkEnd w:id="54"/>
      <w:r>
        <w:t>In August 2024, the National Records for Scotland (NRS) published the drug related deaths figures for 2023, where 1,172 drug misuse deaths were registered in Scotland. This was an increase of 12% (121 deaths) compared with 202</w:t>
      </w:r>
      <w:bookmarkEnd w:id="57"/>
      <w:r>
        <w:t>2. Whilst drug misuse deaths in Scotland have generally been increasing over the last two decades, this is the second lowest number in the last six years. The next annual drug misuse deaths National Statistics publication from NRS is due to be released in August 2025.</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27506B" w:rsidRPr="0003495F" w14:paraId="2CC7D844" w14:textId="77777777" w:rsidTr="0013531C">
        <w:trPr>
          <w:trHeight w:val="680"/>
          <w:tblHeader/>
        </w:trPr>
        <w:tc>
          <w:tcPr>
            <w:tcW w:w="9862" w:type="dxa"/>
            <w:shd w:val="clear" w:color="auto" w:fill="FFE599" w:themeFill="accent4" w:themeFillTint="66"/>
            <w:vAlign w:val="center"/>
            <w:hideMark/>
          </w:tcPr>
          <w:p w14:paraId="65B35B71" w14:textId="509A19DE" w:rsidR="0027506B" w:rsidRPr="00D87D1B" w:rsidRDefault="0027506B" w:rsidP="0013531C">
            <w:pPr>
              <w:pStyle w:val="TableHeaderLeft"/>
              <w:rPr>
                <w:color w:val="000000" w:themeColor="text1"/>
              </w:rPr>
            </w:pPr>
            <w:bookmarkStart w:id="58" w:name="Drugs"/>
            <w:bookmarkEnd w:id="58"/>
            <w:r w:rsidRPr="00D87D1B">
              <w:rPr>
                <w:color w:val="000000" w:themeColor="text1"/>
              </w:rPr>
              <w:t xml:space="preserve">Proactive/Preventative Policing – </w:t>
            </w:r>
            <w:r>
              <w:rPr>
                <w:color w:val="000000" w:themeColor="text1"/>
              </w:rPr>
              <w:t>High Harm Drugs</w:t>
            </w:r>
          </w:p>
        </w:tc>
      </w:tr>
      <w:tr w:rsidR="0027506B" w:rsidRPr="0003495F" w14:paraId="08282412" w14:textId="77777777" w:rsidTr="0013531C">
        <w:trPr>
          <w:trHeight w:val="680"/>
        </w:trPr>
        <w:tc>
          <w:tcPr>
            <w:tcW w:w="9862" w:type="dxa"/>
            <w:shd w:val="clear" w:color="auto" w:fill="FFF2CC" w:themeFill="accent4" w:themeFillTint="33"/>
            <w:vAlign w:val="center"/>
            <w:hideMark/>
          </w:tcPr>
          <w:p w14:paraId="588E3195" w14:textId="77777777" w:rsidR="00E057C4" w:rsidRDefault="0027506B" w:rsidP="00E057C4">
            <w:pPr>
              <w:pStyle w:val="TableBodyLeft"/>
            </w:pPr>
            <w:r>
              <w:t>Nitazenes are synthetic opioids which have been recovered in Scotland and across the UK. There is a continuing threat of nitazenes in the Scottish drug supply where they are being mixed to varying degrees with other drugs, most commonly heroin, resulting in a higher strength, unpredictable product.</w:t>
            </w:r>
          </w:p>
          <w:p w14:paraId="12855DB2" w14:textId="361B8370" w:rsidR="00E057C4" w:rsidRDefault="0027506B" w:rsidP="00E057C4">
            <w:pPr>
              <w:pStyle w:val="TableBodyLeft"/>
            </w:pPr>
            <w:r>
              <w:t>Due to their unexpected presence in the drug supply and high potency, nitazenes pose a substantial risk of overdose, drug-related hospitalisation and drug-related death.</w:t>
            </w:r>
          </w:p>
          <w:p w14:paraId="0ADC4F94" w14:textId="3C6BE6E3" w:rsidR="0027506B" w:rsidRDefault="0027506B" w:rsidP="00E057C4">
            <w:pPr>
              <w:pStyle w:val="TableBodyLeft"/>
            </w:pPr>
            <w:bookmarkStart w:id="59" w:name="_Hlk183096172"/>
            <w:r>
              <w:t>Public Health Scotland released an updated alert on Nitazenes in July 2024, stating that, based on post-mortem toxicology testing, nitazenes have been detected in 38 deaths (to 31 December 2023). They have been detected a total of 56 times, because in 18 deaths, two different types of nitazene were detected</w:t>
            </w:r>
            <w:bookmarkEnd w:id="59"/>
            <w:r>
              <w:t>.</w:t>
            </w:r>
          </w:p>
          <w:p w14:paraId="0E919DBF" w14:textId="77777777" w:rsidR="00E057C4" w:rsidRDefault="0027506B" w:rsidP="00E057C4">
            <w:pPr>
              <w:pStyle w:val="TableBodyLeft"/>
            </w:pPr>
            <w:bookmarkStart w:id="60" w:name="_Hlk183096196"/>
            <w:r>
              <w:t>In the last quarter Police Scotland and partner agencies have been successful in seizing large amounts of nitazenes across the country, disrupting the supply of the drug within Scotland.</w:t>
            </w:r>
          </w:p>
          <w:bookmarkEnd w:id="60"/>
          <w:p w14:paraId="60FFC60E" w14:textId="77777777" w:rsidR="00E057C4" w:rsidRDefault="0027506B" w:rsidP="00E057C4">
            <w:pPr>
              <w:pStyle w:val="TableBodyLeft"/>
            </w:pPr>
            <w:r>
              <w:lastRenderedPageBreak/>
              <w:t>We are also seeking to increase public awareness of the dangers of this high harm drug through a bespoke Crimestoppers campaign and the cascading of information products to local policing divisions.</w:t>
            </w:r>
          </w:p>
          <w:p w14:paraId="379C7458" w14:textId="31B0A6E7" w:rsidR="0027506B" w:rsidRPr="00D87D1B" w:rsidRDefault="0027506B" w:rsidP="00E057C4">
            <w:pPr>
              <w:pStyle w:val="TableBodyLeft"/>
              <w:rPr>
                <w:color w:val="000000" w:themeColor="text1"/>
              </w:rPr>
            </w:pPr>
            <w:r>
              <w:t>We will continue our prevention activity across the Education and Health Sectors through contributing to Public Health Scotland RADAR (Rapid Action Drug Alerts and Response) alerts, attending Children and Young people meetings, and School Engagement Forums</w:t>
            </w:r>
            <w:r>
              <w:rPr>
                <w:color w:val="000000" w:themeColor="text1"/>
              </w:rPr>
              <w:t>.</w:t>
            </w:r>
          </w:p>
        </w:tc>
      </w:tr>
    </w:tbl>
    <w:p w14:paraId="2FC19E57" w14:textId="77777777" w:rsidR="0061596D" w:rsidRPr="005C25FA" w:rsidRDefault="0061596D" w:rsidP="00E057C4">
      <w:pPr>
        <w:pStyle w:val="Heading4"/>
      </w:pPr>
      <w:r w:rsidRPr="005C25FA">
        <w:lastRenderedPageBreak/>
        <w:t>Safer Drug Consumption Facilities</w:t>
      </w:r>
    </w:p>
    <w:p w14:paraId="31E444BA" w14:textId="6DE9E810" w:rsidR="0061596D" w:rsidRDefault="0061596D" w:rsidP="0061596D">
      <w:r>
        <w:t>Glasgow City Health and Social Care Partnership, supported by the Scottish Government, have proposed the introduction of a Safer Drug Consumption Facility (SDCF) in Glasgow City Centre.</w:t>
      </w:r>
    </w:p>
    <w:p w14:paraId="1D2D543C" w14:textId="24C2B189" w:rsidR="0061596D" w:rsidRDefault="0061596D" w:rsidP="0061596D">
      <w:r>
        <w:t>A Policy document has been developed to provide guidance and direction for officer</w:t>
      </w:r>
      <w:r w:rsidR="00A4464D">
        <w:t>s</w:t>
      </w:r>
      <w:r>
        <w:t xml:space="preserve"> in terms of policing approach, the Statement of Prosecution Policy, the Lord Advocate</w:t>
      </w:r>
      <w:r w:rsidR="0079078A">
        <w:t>’s</w:t>
      </w:r>
      <w:r>
        <w:t xml:space="preserve"> guidance, recording and reporting processes.</w:t>
      </w:r>
    </w:p>
    <w:p w14:paraId="6F055244" w14:textId="77777777" w:rsidR="0061596D" w:rsidRDefault="0061596D" w:rsidP="0061596D">
      <w:bookmarkStart w:id="61" w:name="_Hlk183096243"/>
      <w:r>
        <w:t>In September 2024, the proposer of the SDCF placed into the public domain that the facility would seek to be operational in October 2024</w:t>
      </w:r>
      <w:bookmarkEnd w:id="61"/>
      <w:r>
        <w:t>.</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61596D" w:rsidRPr="0003495F" w14:paraId="2AEC2299" w14:textId="77777777" w:rsidTr="00C90DD0">
        <w:trPr>
          <w:trHeight w:val="680"/>
          <w:tblHeader/>
        </w:trPr>
        <w:tc>
          <w:tcPr>
            <w:tcW w:w="9862" w:type="dxa"/>
            <w:shd w:val="clear" w:color="auto" w:fill="FFE599" w:themeFill="accent4" w:themeFillTint="66"/>
            <w:vAlign w:val="center"/>
            <w:hideMark/>
          </w:tcPr>
          <w:p w14:paraId="3A31FE0E" w14:textId="77777777" w:rsidR="0061596D" w:rsidRPr="00D87D1B" w:rsidRDefault="0061596D" w:rsidP="00C90DD0">
            <w:pPr>
              <w:pStyle w:val="TableHeaderLeft"/>
              <w:rPr>
                <w:color w:val="000000" w:themeColor="text1"/>
              </w:rPr>
            </w:pPr>
            <w:bookmarkStart w:id="62" w:name="Events"/>
            <w:bookmarkEnd w:id="62"/>
            <w:r w:rsidRPr="00D87D1B">
              <w:rPr>
                <w:color w:val="000000" w:themeColor="text1"/>
              </w:rPr>
              <w:t>Proactive/Preventative Policing – Events and Conferences</w:t>
            </w:r>
          </w:p>
        </w:tc>
      </w:tr>
      <w:tr w:rsidR="0061596D" w:rsidRPr="0003495F" w14:paraId="69C523CD" w14:textId="77777777" w:rsidTr="00C90DD0">
        <w:trPr>
          <w:trHeight w:val="680"/>
        </w:trPr>
        <w:tc>
          <w:tcPr>
            <w:tcW w:w="9862" w:type="dxa"/>
            <w:shd w:val="clear" w:color="auto" w:fill="FFF2CC" w:themeFill="accent4" w:themeFillTint="33"/>
            <w:vAlign w:val="center"/>
            <w:hideMark/>
          </w:tcPr>
          <w:p w14:paraId="12559B90" w14:textId="77777777" w:rsidR="00E057C4" w:rsidRDefault="0061596D" w:rsidP="00C90DD0">
            <w:pPr>
              <w:pStyle w:val="TableBodyLeft"/>
              <w:rPr>
                <w:color w:val="000000" w:themeColor="text1"/>
              </w:rPr>
            </w:pPr>
            <w:r w:rsidRPr="00D87D1B">
              <w:rPr>
                <w:color w:val="000000" w:themeColor="text1"/>
              </w:rPr>
              <w:t>Policing Together Division, Substance Harm Prevention</w:t>
            </w:r>
            <w:r>
              <w:rPr>
                <w:color w:val="000000" w:themeColor="text1"/>
              </w:rPr>
              <w:t xml:space="preserve"> (SHP)</w:t>
            </w:r>
            <w:r w:rsidRPr="00D87D1B">
              <w:rPr>
                <w:color w:val="000000" w:themeColor="text1"/>
              </w:rPr>
              <w:t xml:space="preserve">, held two continuous professional development events in Glasgow and Perth to mark International Overdose Awareness Day 2024. </w:t>
            </w:r>
            <w:r>
              <w:rPr>
                <w:color w:val="000000" w:themeColor="text1"/>
              </w:rPr>
              <w:t>The event is the world’s largest annual campaign to end overdose</w:t>
            </w:r>
            <w:r w:rsidR="00FB6233">
              <w:rPr>
                <w:color w:val="000000" w:themeColor="text1"/>
              </w:rPr>
              <w:t>s</w:t>
            </w:r>
            <w:r>
              <w:rPr>
                <w:color w:val="000000" w:themeColor="text1"/>
              </w:rPr>
              <w:t xml:space="preserve"> and remember without stigma those who have died</w:t>
            </w:r>
            <w:r w:rsidR="00FB6233">
              <w:rPr>
                <w:color w:val="000000" w:themeColor="text1"/>
              </w:rPr>
              <w:t>,</w:t>
            </w:r>
            <w:r>
              <w:rPr>
                <w:color w:val="000000" w:themeColor="text1"/>
              </w:rPr>
              <w:t xml:space="preserve"> whilst acknowledging the grief of family and friends left behind.</w:t>
            </w:r>
          </w:p>
          <w:p w14:paraId="3FF8144F" w14:textId="4A434908" w:rsidR="0061596D" w:rsidRDefault="0061596D" w:rsidP="00C90DD0">
            <w:pPr>
              <w:pStyle w:val="TableBodyLeft"/>
              <w:rPr>
                <w:color w:val="000000" w:themeColor="text1"/>
              </w:rPr>
            </w:pPr>
            <w:r>
              <w:rPr>
                <w:color w:val="000000" w:themeColor="text1"/>
              </w:rPr>
              <w:t>Officers who attended the events received information from SHP about the use of Naloxone, non-fatal overdoses, emerging threats, risks, and trends. Inputs were also provided from support agencies about their work in the community, as well as people with lived and living experiences.</w:t>
            </w:r>
          </w:p>
          <w:p w14:paraId="2B2FF48A" w14:textId="77777777" w:rsidR="0061596D" w:rsidRPr="00D87D1B" w:rsidRDefault="0061596D" w:rsidP="00C90DD0">
            <w:pPr>
              <w:pStyle w:val="TableBodyLeft"/>
              <w:rPr>
                <w:color w:val="000000" w:themeColor="text1"/>
              </w:rPr>
            </w:pPr>
            <w:r>
              <w:rPr>
                <w:color w:val="000000" w:themeColor="text1"/>
              </w:rPr>
              <w:t>SHP will also be delivering a Promising Practices conference on Wednesday 04 December 2024 in Stirling, bringing together strategic police and harm reduction partners. The event aims to explore emerging drug threats and trends across Scotland, highlighting good practice and encouraging delegates to participate in high level discussions to counter stigma surrounding substance harm prevention.</w:t>
            </w:r>
          </w:p>
        </w:tc>
      </w:tr>
    </w:tbl>
    <w:p w14:paraId="4AFB6F3A" w14:textId="77777777" w:rsidR="0061596D" w:rsidRPr="007B4E59" w:rsidRDefault="0061596D" w:rsidP="00E057C4">
      <w:pPr>
        <w:pStyle w:val="Heading4"/>
      </w:pPr>
      <w:bookmarkStart w:id="63" w:name="_Hlk180744524"/>
      <w:r w:rsidRPr="00011568">
        <w:t xml:space="preserve">Serious Organised Crime Groups </w:t>
      </w:r>
      <w:r>
        <w:t>(SOCGs)</w:t>
      </w:r>
    </w:p>
    <w:p w14:paraId="5E27414F" w14:textId="6CAED7FA" w:rsidR="00E006EB" w:rsidRPr="0091177D" w:rsidRDefault="00E006EB" w:rsidP="00E006EB">
      <w:r w:rsidRPr="0091177D">
        <w:t xml:space="preserve">Serious Organised Crime Group Mapping (SOCGM) is a tool used by law enforcement in Scotland to map the characteristics of the individuals and groups that are known through intelligence and operational activity. The </w:t>
      </w:r>
      <w:r w:rsidR="00D97F4F">
        <w:t xml:space="preserve">following </w:t>
      </w:r>
      <w:r w:rsidRPr="0091177D">
        <w:t>figures are reflective of the SOCGM picture in Scotland as at 2024/25 Quarter 2.</w:t>
      </w:r>
    </w:p>
    <w:p w14:paraId="23014AD8" w14:textId="2265E852" w:rsidR="00E006EB" w:rsidRPr="0091177D" w:rsidRDefault="00E006EB" w:rsidP="00E006EB">
      <w:r w:rsidRPr="0091177D">
        <w:lastRenderedPageBreak/>
        <w:t>The number of mapped operations has not changed since Quarter 1 and remains at 108. The number of individuals being investigated by police and partners in Scotland has increased by 1.0% to 1,372.</w:t>
      </w:r>
    </w:p>
    <w:p w14:paraId="5022B0C3" w14:textId="560943C6" w:rsidR="0061596D" w:rsidRPr="00E057C4" w:rsidRDefault="00E006EB" w:rsidP="0061596D">
      <w:r w:rsidRPr="0091177D">
        <w:t>Between Quarter 1 202</w:t>
      </w:r>
      <w:r w:rsidR="007F6500">
        <w:t>4</w:t>
      </w:r>
      <w:r w:rsidRPr="0091177D">
        <w:t>/2</w:t>
      </w:r>
      <w:r w:rsidR="007F6500">
        <w:t>5</w:t>
      </w:r>
      <w:r w:rsidRPr="0091177D">
        <w:t xml:space="preserve"> and Quarter 2 2024/25, 35 mapped operations experienced a decrease in their risk score. During this quarter, nine mapped operations were archived at the SOCG Management Board (SOCGMB) as a result of successful operational activity.</w:t>
      </w:r>
    </w:p>
    <w:bookmarkEnd w:id="63"/>
    <w:p w14:paraId="5DE409DF" w14:textId="77777777" w:rsidR="0061596D" w:rsidRPr="00EE1D1A" w:rsidRDefault="0061596D" w:rsidP="00E057C4">
      <w:pPr>
        <w:pStyle w:val="Heading4"/>
      </w:pPr>
      <w:r>
        <w:t>Proceeds of Crime</w:t>
      </w:r>
    </w:p>
    <w:tbl>
      <w:tblPr>
        <w:tblStyle w:val="TableGrid5"/>
        <w:tblW w:w="9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Mechanism"/>
        <w:tblDescription w:val="The Mechanism table is broken down into two columns. The first column lists the three Mechanism measures and the second column details the total amount recovered under each mechanism."/>
      </w:tblPr>
      <w:tblGrid>
        <w:gridCol w:w="7597"/>
        <w:gridCol w:w="2268"/>
      </w:tblGrid>
      <w:tr w:rsidR="0061596D" w:rsidRPr="004F1401" w14:paraId="67C14C76" w14:textId="77777777" w:rsidTr="00C90DD0">
        <w:trPr>
          <w:tblHeader/>
        </w:trPr>
        <w:tc>
          <w:tcPr>
            <w:tcW w:w="7597" w:type="dxa"/>
            <w:shd w:val="clear" w:color="auto" w:fill="23ACCF"/>
            <w:vAlign w:val="center"/>
          </w:tcPr>
          <w:p w14:paraId="105B9279" w14:textId="77777777" w:rsidR="0061596D" w:rsidRPr="004F1401" w:rsidRDefault="0061596D" w:rsidP="00C90DD0">
            <w:pPr>
              <w:pStyle w:val="TableHeaderLeft"/>
            </w:pPr>
            <w:r w:rsidRPr="0082659C">
              <w:t>Mechanism</w:t>
            </w:r>
          </w:p>
        </w:tc>
        <w:tc>
          <w:tcPr>
            <w:tcW w:w="2268" w:type="dxa"/>
            <w:shd w:val="clear" w:color="auto" w:fill="23ACCF"/>
            <w:vAlign w:val="center"/>
          </w:tcPr>
          <w:p w14:paraId="240ED2FF" w14:textId="77777777" w:rsidR="0061596D" w:rsidRPr="0082659C" w:rsidRDefault="0061596D" w:rsidP="00C90DD0">
            <w:pPr>
              <w:pStyle w:val="TableHeaderCentre"/>
              <w:rPr>
                <w:color w:val="auto"/>
              </w:rPr>
            </w:pPr>
            <w:r w:rsidRPr="0082659C">
              <w:rPr>
                <w:color w:val="auto"/>
              </w:rPr>
              <w:t>Amount</w:t>
            </w:r>
          </w:p>
        </w:tc>
      </w:tr>
      <w:tr w:rsidR="0061596D" w:rsidRPr="004F1401" w14:paraId="4D72BA37" w14:textId="77777777" w:rsidTr="00C90DD0">
        <w:trPr>
          <w:cantSplit/>
          <w:trHeight w:val="680"/>
        </w:trPr>
        <w:tc>
          <w:tcPr>
            <w:tcW w:w="7597" w:type="dxa"/>
            <w:shd w:val="clear" w:color="000000" w:fill="FFFFFF"/>
            <w:vAlign w:val="center"/>
          </w:tcPr>
          <w:p w14:paraId="7D9F442C" w14:textId="77777777" w:rsidR="0061596D" w:rsidRPr="004F1401" w:rsidRDefault="0061596D" w:rsidP="00C90DD0">
            <w:pPr>
              <w:pStyle w:val="TableBodyLeft"/>
            </w:pPr>
            <w:r>
              <w:t>Proceeds of Crime Act (POCA) – Year to date figures for POCA represent those provided to COPFS and CRU for consideration of confiscation and forfeiture</w:t>
            </w:r>
          </w:p>
        </w:tc>
        <w:tc>
          <w:tcPr>
            <w:tcW w:w="2268" w:type="dxa"/>
            <w:shd w:val="clear" w:color="auto" w:fill="auto"/>
            <w:vAlign w:val="center"/>
          </w:tcPr>
          <w:p w14:paraId="62074F1B" w14:textId="77777777" w:rsidR="0061596D" w:rsidRPr="004F1401" w:rsidRDefault="0061596D" w:rsidP="00C90DD0">
            <w:pPr>
              <w:pStyle w:val="TableBodyCentre"/>
            </w:pPr>
            <w:r>
              <w:t>£28,724,048</w:t>
            </w:r>
          </w:p>
        </w:tc>
      </w:tr>
      <w:tr w:rsidR="0061596D" w:rsidRPr="004F1401" w14:paraId="3F0A41AF" w14:textId="77777777" w:rsidTr="00C90DD0">
        <w:trPr>
          <w:cantSplit/>
          <w:trHeight w:val="680"/>
        </w:trPr>
        <w:tc>
          <w:tcPr>
            <w:tcW w:w="7597" w:type="dxa"/>
            <w:shd w:val="clear" w:color="000000" w:fill="FFFFFF"/>
            <w:vAlign w:val="center"/>
          </w:tcPr>
          <w:p w14:paraId="455EB00A" w14:textId="77777777" w:rsidR="0061596D" w:rsidRDefault="0061596D" w:rsidP="00C90DD0">
            <w:pPr>
              <w:pStyle w:val="TableBodyLeft"/>
            </w:pPr>
            <w:r>
              <w:t>Confiscations Orders</w:t>
            </w:r>
          </w:p>
        </w:tc>
        <w:tc>
          <w:tcPr>
            <w:tcW w:w="2268" w:type="dxa"/>
            <w:shd w:val="clear" w:color="auto" w:fill="auto"/>
            <w:vAlign w:val="center"/>
          </w:tcPr>
          <w:p w14:paraId="5C94443A" w14:textId="77777777" w:rsidR="0061596D" w:rsidRDefault="0061596D" w:rsidP="00C90DD0">
            <w:pPr>
              <w:pStyle w:val="TableBodyCentre"/>
            </w:pPr>
            <w:r w:rsidRPr="00D16F71">
              <w:t>£3,872,284</w:t>
            </w:r>
          </w:p>
        </w:tc>
      </w:tr>
      <w:tr w:rsidR="0061596D" w:rsidRPr="004F1401" w14:paraId="529915A7" w14:textId="77777777" w:rsidTr="00C90DD0">
        <w:trPr>
          <w:cantSplit/>
          <w:trHeight w:val="680"/>
        </w:trPr>
        <w:tc>
          <w:tcPr>
            <w:tcW w:w="7597" w:type="dxa"/>
            <w:shd w:val="clear" w:color="000000" w:fill="FFFFFF"/>
            <w:vAlign w:val="center"/>
          </w:tcPr>
          <w:p w14:paraId="07869D89" w14:textId="77777777" w:rsidR="0061596D" w:rsidRPr="004F1401" w:rsidRDefault="0061596D" w:rsidP="00C90DD0">
            <w:pPr>
              <w:pStyle w:val="TableBodyLeft"/>
            </w:pPr>
            <w:r>
              <w:t>Civil Recoveries Unit</w:t>
            </w:r>
          </w:p>
        </w:tc>
        <w:tc>
          <w:tcPr>
            <w:tcW w:w="2268" w:type="dxa"/>
            <w:shd w:val="clear" w:color="auto" w:fill="auto"/>
            <w:vAlign w:val="center"/>
          </w:tcPr>
          <w:p w14:paraId="525644C5" w14:textId="77777777" w:rsidR="0061596D" w:rsidRPr="004F1401" w:rsidRDefault="0061596D" w:rsidP="00C90DD0">
            <w:pPr>
              <w:pStyle w:val="TableBodyCentre"/>
            </w:pPr>
            <w:r w:rsidRPr="00D16F71">
              <w:t>£2,511,179</w:t>
            </w:r>
          </w:p>
        </w:tc>
      </w:tr>
    </w:tbl>
    <w:p w14:paraId="55E08A93" w14:textId="77777777" w:rsidR="0061596D" w:rsidRDefault="0061596D" w:rsidP="00E057C4">
      <w:pPr>
        <w:pStyle w:val="Heading4"/>
      </w:pPr>
      <w:r w:rsidRPr="00F12FE6">
        <w:t>Disruption Activity</w:t>
      </w:r>
    </w:p>
    <w:p w14:paraId="2230FA41" w14:textId="49213F97" w:rsidR="0061596D" w:rsidRPr="0006494C" w:rsidRDefault="0061596D" w:rsidP="0061596D">
      <w:bookmarkStart w:id="64" w:name="_Hlk180142065"/>
      <w:bookmarkStart w:id="65" w:name="_Hlk140134264"/>
      <w:bookmarkStart w:id="66" w:name="_Hlk140134459"/>
      <w:r w:rsidRPr="0006494C">
        <w:t>Alongside th</w:t>
      </w:r>
      <w:r w:rsidR="008B75C2">
        <w:t>is</w:t>
      </w:r>
      <w:r w:rsidRPr="0006494C">
        <w:t xml:space="preserve"> disruption activity</w:t>
      </w:r>
      <w:r w:rsidR="008B75C2">
        <w:t>,</w:t>
      </w:r>
      <w:r w:rsidRPr="0006494C">
        <w:t xml:space="preserve"> there were successful outcomes in court cases this quarter. At the High Court in Glasgow six males were convicted of serious and organised crime and drug offences after concealing around a tonne of cocaine within a consignment of bananas. This joint operation with the National Crime Agency</w:t>
      </w:r>
      <w:r w:rsidR="00201384">
        <w:t xml:space="preserve"> (NCA)</w:t>
      </w:r>
      <w:r w:rsidRPr="0006494C">
        <w:t xml:space="preserve"> saw the seizure of 119 packages in September 2020 on a vessel from Ecuador, leading to an estimated £100 million of cocaine being discovered.</w:t>
      </w:r>
    </w:p>
    <w:p w14:paraId="4BFD42B7" w14:textId="5F4E2900" w:rsidR="0061596D" w:rsidRDefault="0061596D" w:rsidP="0061596D">
      <w:r w:rsidRPr="0006494C">
        <w:t>A large-scale fraud investigation was also concluded at Edinburgh High Court with a man and woman sentenced to 13 years</w:t>
      </w:r>
      <w:r w:rsidR="000B3F81">
        <w:t>,</w:t>
      </w:r>
      <w:r w:rsidRPr="0006494C">
        <w:t xml:space="preserve"> six months and two years</w:t>
      </w:r>
      <w:r w:rsidR="000B3F81">
        <w:t>,</w:t>
      </w:r>
      <w:r w:rsidRPr="0006494C">
        <w:t xml:space="preserve"> six months respectively for offences including fraud, theft and impersonating a police officer. The pair were responsible for the theft of over £214,000 from members of the public across Scotland.</w:t>
      </w:r>
    </w:p>
    <w:p w14:paraId="473A47F7" w14:textId="3BBE74EE" w:rsidR="005F16D7" w:rsidRPr="0061596D" w:rsidRDefault="005F16D7" w:rsidP="0061596D">
      <w:r>
        <w:t>In 2020 Police Scotland found pill presses used by an organised crime group to produce Etizolam, a drug which was a factor in more than 800 drug related deaths in Scotland that year. Alongside partner agencies such as NCA</w:t>
      </w:r>
      <w:r w:rsidR="001F2557">
        <w:t>, the investigation led to a male being arrested at his home in Wiltshire in 2022 and the recovery of pill press stamps, Scottish bank notes and tablets with Etizolam and MDMA. At Swindon Crown Court he was sentenced to 13 years imprisonment after pleading guilty to all charges against him.</w:t>
      </w:r>
    </w:p>
    <w:p w14:paraId="4DF53BAC" w14:textId="77777777" w:rsidR="0061596D" w:rsidRPr="00953564" w:rsidRDefault="0061596D" w:rsidP="0061596D">
      <w:pPr>
        <w:rPr>
          <w:rStyle w:val="Strong"/>
        </w:rPr>
      </w:pPr>
      <w:r w:rsidRPr="00953564">
        <w:rPr>
          <w:rStyle w:val="Strong"/>
        </w:rPr>
        <w:t>July 2024</w:t>
      </w:r>
    </w:p>
    <w:p w14:paraId="53FF237A" w14:textId="77777777" w:rsidR="0061596D" w:rsidRPr="00B56A03" w:rsidRDefault="0061596D" w:rsidP="0061596D">
      <w:pPr>
        <w:pStyle w:val="Bullets"/>
      </w:pPr>
      <w:r w:rsidRPr="00B56A03">
        <w:t>Officers in Barmulloch, Glasgow, recovered nine kilograms of cocaine worth over £400,000. A man has since plead guilty to drug dealing and was sentenced to five years and four months imprisonment.</w:t>
      </w:r>
    </w:p>
    <w:p w14:paraId="7E00F208" w14:textId="77777777" w:rsidR="0061596D" w:rsidRPr="00B56A03" w:rsidRDefault="0061596D" w:rsidP="0061596D">
      <w:pPr>
        <w:pStyle w:val="Bullets"/>
      </w:pPr>
      <w:r w:rsidRPr="00B56A03">
        <w:lastRenderedPageBreak/>
        <w:t>Officers attended and arrested a male in Glasgow last year, recov</w:t>
      </w:r>
      <w:r>
        <w:t>e</w:t>
      </w:r>
      <w:r w:rsidRPr="00B56A03">
        <w:t>ring 13 viable homemade firearms and a quantity of ammunition. In July this year the man pled guilty and was sentenced to five years in prison.</w:t>
      </w:r>
    </w:p>
    <w:p w14:paraId="055220A2" w14:textId="61FA3CBF" w:rsidR="0061596D" w:rsidRPr="00B56A03" w:rsidRDefault="0061596D" w:rsidP="0061596D">
      <w:pPr>
        <w:pStyle w:val="Bullets"/>
      </w:pPr>
      <w:r w:rsidRPr="00B56A03">
        <w:t xml:space="preserve">On 28 </w:t>
      </w:r>
      <w:r>
        <w:t>J</w:t>
      </w:r>
      <w:r w:rsidRPr="00B56A03">
        <w:t>une officers a</w:t>
      </w:r>
      <w:r>
        <w:t>t</w:t>
      </w:r>
      <w:r w:rsidRPr="00B56A03">
        <w:t>tended an address in Glas</w:t>
      </w:r>
      <w:r w:rsidR="00FB4D9D">
        <w:t>g</w:t>
      </w:r>
      <w:r w:rsidRPr="00B56A03">
        <w:t>ow and recovered various Class A and B drugs, worth over £290,000 including cocaine and cannabis. A firearm, ammunition and a five-figure sum of cash were also recovered. Two men, aged 19 and 34 years were arrested and charged.</w:t>
      </w:r>
    </w:p>
    <w:bookmarkEnd w:id="64"/>
    <w:p w14:paraId="3ABAA6EA" w14:textId="77777777" w:rsidR="0061596D" w:rsidRPr="00953564" w:rsidRDefault="0061596D" w:rsidP="0061596D">
      <w:pPr>
        <w:rPr>
          <w:rStyle w:val="Strong"/>
        </w:rPr>
      </w:pPr>
      <w:r w:rsidRPr="00953564">
        <w:rPr>
          <w:rStyle w:val="Strong"/>
        </w:rPr>
        <w:t>August 2024</w:t>
      </w:r>
    </w:p>
    <w:p w14:paraId="25A24476" w14:textId="77777777" w:rsidR="0061596D" w:rsidRPr="00B56A03" w:rsidRDefault="0061596D" w:rsidP="0061596D">
      <w:pPr>
        <w:pStyle w:val="Bullets"/>
      </w:pPr>
      <w:r w:rsidRPr="00B56A03">
        <w:t>Drugs with an estimated street value of over £490,000 were recovered from an address in Buckie. An extensive cannabis cultivation was found and a male was arrested and charged with drug offences.</w:t>
      </w:r>
    </w:p>
    <w:p w14:paraId="5D293A75" w14:textId="77777777" w:rsidR="0061596D" w:rsidRPr="00B56A03" w:rsidRDefault="0061596D" w:rsidP="0061596D">
      <w:pPr>
        <w:pStyle w:val="Bullets"/>
      </w:pPr>
      <w:r w:rsidRPr="00B56A03">
        <w:t>On 07 August cocaine worth £1.1 million was seized following a house search in Giffnock. Two men aged 29 and 35 years old were arrested and charged in connection.</w:t>
      </w:r>
    </w:p>
    <w:p w14:paraId="11B4814F" w14:textId="1C76F93E" w:rsidR="0061596D" w:rsidRPr="00B56A03" w:rsidRDefault="0061596D" w:rsidP="0061596D">
      <w:pPr>
        <w:pStyle w:val="Bullets"/>
      </w:pPr>
      <w:r w:rsidRPr="00B56A03">
        <w:t>A 34 year old man was arrested and ch</w:t>
      </w:r>
      <w:r w:rsidR="00E44797">
        <w:t>a</w:t>
      </w:r>
      <w:r w:rsidRPr="00B56A03">
        <w:t xml:space="preserve">rged in </w:t>
      </w:r>
      <w:r w:rsidR="00E44797">
        <w:t>connection</w:t>
      </w:r>
      <w:r w:rsidRPr="00B56A03">
        <w:t xml:space="preserve"> with drugs offences foll</w:t>
      </w:r>
      <w:r w:rsidR="00CA7C14">
        <w:t>o</w:t>
      </w:r>
      <w:r w:rsidRPr="00B56A03">
        <w:t>wing the discovery of a cannabis cultivation in Spean Bridge. The cannabis had an estimated street value of more than £700,000.</w:t>
      </w:r>
    </w:p>
    <w:p w14:paraId="54D16F44" w14:textId="77777777" w:rsidR="0061596D" w:rsidRPr="00953564" w:rsidRDefault="0061596D" w:rsidP="0061596D">
      <w:pPr>
        <w:rPr>
          <w:rStyle w:val="Strong"/>
        </w:rPr>
      </w:pPr>
      <w:r w:rsidRPr="00953564">
        <w:rPr>
          <w:rStyle w:val="Strong"/>
        </w:rPr>
        <w:t>September 2024</w:t>
      </w:r>
    </w:p>
    <w:p w14:paraId="01A66D0E" w14:textId="77777777" w:rsidR="0061596D" w:rsidRPr="007C0801" w:rsidRDefault="0061596D" w:rsidP="0061596D">
      <w:pPr>
        <w:pStyle w:val="Bullets"/>
      </w:pPr>
      <w:r w:rsidRPr="007C0801">
        <w:t>In September Greater Glasgow’s Human Trafficking Unit arrested and charged a man and woman in connection with human trafficking offences.</w:t>
      </w:r>
    </w:p>
    <w:p w14:paraId="68B27465" w14:textId="77777777" w:rsidR="0061596D" w:rsidRPr="007C0801" w:rsidRDefault="0061596D" w:rsidP="0061596D">
      <w:pPr>
        <w:pStyle w:val="Bullets"/>
      </w:pPr>
      <w:bookmarkStart w:id="67" w:name="_Hlk141098008"/>
      <w:bookmarkEnd w:id="65"/>
      <w:bookmarkEnd w:id="66"/>
      <w:r w:rsidRPr="007C0801">
        <w:t>A cannabis cultivation was discovered in Irvine with an estimated street value of between £1.2 and £1.8 million. Three men were arrested and charged in connection with drugs offences.</w:t>
      </w:r>
    </w:p>
    <w:p w14:paraId="21283D62" w14:textId="77777777" w:rsidR="0061596D" w:rsidRPr="007C0801" w:rsidRDefault="0061596D" w:rsidP="0061596D">
      <w:pPr>
        <w:pStyle w:val="Bullets"/>
      </w:pPr>
      <w:r w:rsidRPr="007C0801">
        <w:t>On 25 September five men were arrested following the discovery of a cannabis cultivation in West Calder estimated to be worth £1.2 million.</w:t>
      </w:r>
    </w:p>
    <w:p w14:paraId="1FC78CC1" w14:textId="77777777" w:rsidR="0061596D" w:rsidRDefault="0061596D" w:rsidP="0061596D">
      <w:pPr>
        <w:pStyle w:val="Bullets"/>
      </w:pPr>
      <w:r>
        <w:t>Cocaine worth an estimated street value of £486,000 was recovered in Dundee, with two men arrested in connection.</w:t>
      </w:r>
    </w:p>
    <w:p w14:paraId="456F8BC6" w14:textId="77777777" w:rsidR="0061596D" w:rsidRPr="007C0801" w:rsidRDefault="0061596D" w:rsidP="0061596D">
      <w:pPr>
        <w:pStyle w:val="Bullets"/>
      </w:pPr>
      <w:r>
        <w:t>An extensive cannabis cultivation was discovered on 18 September in Peterhead. Worth an estimated street value of £1.5 million, two men were traced within the premises and arrested and charged with drugs offences.</w:t>
      </w:r>
    </w:p>
    <w:p w14:paraId="63520597" w14:textId="77777777" w:rsidR="0061596D" w:rsidRDefault="0061596D" w:rsidP="0061596D">
      <w:pPr>
        <w:pStyle w:val="Heading4"/>
      </w:pPr>
      <w:r>
        <w:lastRenderedPageBreak/>
        <w:t>Missing Persons</w:t>
      </w:r>
      <w:bookmarkEnd w:id="67"/>
      <w:r>
        <w:t xml:space="preserve"> (Strategic Outcome 1)</w:t>
      </w:r>
    </w:p>
    <w:p w14:paraId="5CAD69D0" w14:textId="77777777" w:rsidR="0061596D" w:rsidRDefault="0061596D" w:rsidP="0061596D">
      <w:pPr>
        <w:rPr>
          <w:noProof/>
        </w:rPr>
      </w:pPr>
      <w:r>
        <w:rPr>
          <w:noProof/>
        </w:rPr>
        <w:drawing>
          <wp:inline distT="0" distB="0" distL="0" distR="0" wp14:anchorId="62827377" wp14:editId="41949397">
            <wp:extent cx="6188710" cy="2018030"/>
            <wp:effectExtent l="0" t="0" r="2540" b="1270"/>
            <wp:docPr id="47754525" name="Picture 1" descr="Missing Persons YTD Comparison Table&#10;The first row shows 9,154 missing persons investigations PYTD compared to 7,943 YTD (down 13.2% on last year). The six month sparkline shows a low of 1,142 investigations in April; a high of 1,411 investigations in May; 1,316 investigations in June; 1,290 investigations in July; 1,382 investigations in August and 1,402 investigations in September 2024.&#10;The second row shows 2,367 missing persons investigations where they were missing previously PYTD compared to 1,914 YTD (down 19.1% on last year). The six month sparkline shows a low of 465 missing previously in April; 547 missing previously in May; 497 missing previously in June; 520 missing previously in July; a high of 561 missing previously in August and 499 missing previously in September 2024.&#10;The third row shows 781 missing persons investigations from NHS PYTD compared to 698 YTD (down 10.6% on last year). The six month sparkline shows 121 missing from NHS in April; 114 missing from NHS in May; a low of 111 missing from NHS in June; 121 missing from NHS in July; a high of 123 missing from NHS in August and a low of 111 missing from NHS in September 2024.&#10;The fourth row shows 1,793 missing persons investigations from RCH PYTD compared to 1,660 YTD (down 7.4% on last year). The six month sparkline shows a low of 213 missing from RCH in April; 289 missing from RCH in May; 283 missing from RCH in June; 273 missing from RCH in July; 284 missing from RCH in August; and a high of 318 missing from RCH in September 2024.&#10;The fifth row shows 255 missing persons investigations from Foster Care PYTD compared to 166 YTD (down 34.9% on last year). The six month sparkline shows 21 missing from Foster Care in April; a low of 18 missing from Foster Care in May; a high of 34 missing from Foster Care in June, August and September 2024; and 25 missing from Foster Care in July.&#10;The sixth row shows 2,830 missing persons investigations with a mental health marker PYTD compared to 2,445 YTD (down 13.6% on last year). The six month sparkline shows 396 missing with a mental health marker in April; 403 missing with a mental health marker in May; a low of 395 missing with a mental health marker in June; a high of 420 missing with a mental health marker in July; 415 missing with a mental health marker in August; and 398 missing with a mental health marker in September 202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4525" name="Picture 1" descr="Missing Persons YTD Comparison Table&#10;The first row shows 9,154 missing persons investigations PYTD compared to 7,943 YTD (down 13.2% on last year). The six month sparkline shows a low of 1,142 investigations in April; a high of 1,411 investigations in May; 1,316 investigations in June; 1,290 investigations in July; 1,382 investigations in August and 1,402 investigations in September 2024.&#10;The second row shows 2,367 missing persons investigations where they were missing previously PYTD compared to 1,914 YTD (down 19.1% on last year). The six month sparkline shows a low of 465 missing previously in April; 547 missing previously in May; 497 missing previously in June; 520 missing previously in July; a high of 561 missing previously in August and 499 missing previously in September 2024.&#10;The third row shows 781 missing persons investigations from NHS PYTD compared to 698 YTD (down 10.6% on last year). The six month sparkline shows 121 missing from NHS in April; 114 missing from NHS in May; a low of 111 missing from NHS in June; 121 missing from NHS in July; a high of 123 missing from NHS in August and a low of 111 missing from NHS in September 2024.&#10;The fourth row shows 1,793 missing persons investigations from RCH PYTD compared to 1,660 YTD (down 7.4% on last year). The six month sparkline shows a low of 213 missing from RCH in April; 289 missing from RCH in May; 283 missing from RCH in June; 273 missing from RCH in July; 284 missing from RCH in August; and a high of 318 missing from RCH in September 2024.&#10;The fifth row shows 255 missing persons investigations from Foster Care PYTD compared to 166 YTD (down 34.9% on last year). The six month sparkline shows 21 missing from Foster Care in April; a low of 18 missing from Foster Care in May; a high of 34 missing from Foster Care in June, August and September 2024; and 25 missing from Foster Care in July.&#10;The sixth row shows 2,830 missing persons investigations with a mental health marker PYTD compared to 2,445 YTD (down 13.6% on last year). The six month sparkline shows 396 missing with a mental health marker in April; 403 missing with a mental health marker in May; a low of 395 missing with a mental health marker in June; a high of 420 missing with a mental health marker in July; 415 missing with a mental health marker in August; and 398 missing with a mental health marker in September 2024.&#10;&#10;"/>
                    <pic:cNvPicPr/>
                  </pic:nvPicPr>
                  <pic:blipFill>
                    <a:blip r:embed="rId46"/>
                    <a:stretch>
                      <a:fillRect/>
                    </a:stretch>
                  </pic:blipFill>
                  <pic:spPr>
                    <a:xfrm>
                      <a:off x="0" y="0"/>
                      <a:ext cx="6188710" cy="2018030"/>
                    </a:xfrm>
                    <a:prstGeom prst="rect">
                      <a:avLst/>
                    </a:prstGeom>
                  </pic:spPr>
                </pic:pic>
              </a:graphicData>
            </a:graphic>
          </wp:inline>
        </w:drawing>
      </w:r>
    </w:p>
    <w:p w14:paraId="03C1495A" w14:textId="77777777" w:rsidR="0061596D" w:rsidRDefault="0061596D" w:rsidP="0061596D">
      <w:pPr>
        <w:rPr>
          <w:noProof/>
        </w:rPr>
      </w:pPr>
      <w:r>
        <w:rPr>
          <w:noProof/>
        </w:rPr>
        <w:drawing>
          <wp:inline distT="0" distB="0" distL="0" distR="0" wp14:anchorId="7BEEEF41" wp14:editId="185D83EE">
            <wp:extent cx="6188710" cy="2042795"/>
            <wp:effectExtent l="0" t="0" r="2540" b="0"/>
            <wp:docPr id="2066157045" name="Picture 1" descr="Missing Persons Five-Year Comparison Table&#10;The first row shows the five-year mean for missing persons investigations is 8,452.4 compared to 7,943 YTD (down 6.0% on five-year mean). The five-year sparkline shows a low of 6,899 investigations in 2020/21; 8,967 investigations in 2021/22; a high of 9,299 investigations in 2022/23; 9,154 investigations in 2023/24; and 7,943 investigations in 2024/25 YTD.&#10;The second row shows the five-year mean for missing persons investigations where they were missing previously is 2,198.8 compared to 1,914 YTD (down 13.0% on five-year mean). The five-year sparkline shows a low of 1,824 missing previously in 2020/21; 2,361 missing previously in 2021/22; a high of 2,528 missing previously in 2022/23; 2,367 missing previously in 2023/24; and 1,914 missing previously in 2024/25 YTD.&#10;The third row shows the five-year mean for missing persons investigations from NHS is 782.4 compared to 698 YTD (down 10.8% on five-year mean). The five-year sparkline shows a low of 588 missing from NHS in 2020/21; 872 missing from NHS in 2021/22; a high of 973 missing from NHS in 2022/23; 781 missing from NHS in 2023/24; and 698 missing from NHS in 2024/25 YTD.&#10;The fourth row shows the five-year mean for missing persons investigations from RCH is 1,705.2 compared to 1,660 YTD (down 2.7% on five-year mean). The five-year sparkline shows a low of 1,531 missing from RCH in 2020/21; a high of 1,873 missing from RCH in 2021/22; 1,669 missing from RCH in 2022/23; 1,793 missing from RCH in 2023/24; and 1,660 missing from RCH in 2024/25 YTD.&#10;The fifth row shows the five-year mean for missing persons investigations from Foster Care is 201.0 compared to 166 YTD (down 17.4% on five-year mean). The five-year sparkline shows a low of 134 missing from Foster Care in 2020/21; 200 missing from Foster Care in 2021/22; 250 missing from Foster Care in 2022/23; a high of 255 missing from Foster Care in 2023/24 and 166 missing from Foster Care in 2024/25 YTD.&#10;The sixth row shows the five-year mean for missing persons investigations with a mental health marker is 2,692.0 compared to 2,445 YTD (down 9.2% on five-year mean). The five-year sparkline shows a low of 2,334 missing with a mental health marker in 2020/21; a high of 2,947 missing with a mental health marker in 2021/22; 2,904 missing with a mental health marker in 2022/23; 2,830 missing with a mental health marker in 2023/24; and 2,445 missing with a mental health marker in 2024/25 YT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57045" name="Picture 1" descr="Missing Persons Five-Year Comparison Table&#10;The first row shows the five-year mean for missing persons investigations is 8,452.4 compared to 7,943 YTD (down 6.0% on five-year mean). The five-year sparkline shows a low of 6,899 investigations in 2020/21; 8,967 investigations in 2021/22; a high of 9,299 investigations in 2022/23; 9,154 investigations in 2023/24; and 7,943 investigations in 2024/25 YTD.&#10;The second row shows the five-year mean for missing persons investigations where they were missing previously is 2,198.8 compared to 1,914 YTD (down 13.0% on five-year mean). The five-year sparkline shows a low of 1,824 missing previously in 2020/21; 2,361 missing previously in 2021/22; a high of 2,528 missing previously in 2022/23; 2,367 missing previously in 2023/24; and 1,914 missing previously in 2024/25 YTD.&#10;The third row shows the five-year mean for missing persons investigations from NHS is 782.4 compared to 698 YTD (down 10.8% on five-year mean). The five-year sparkline shows a low of 588 missing from NHS in 2020/21; 872 missing from NHS in 2021/22; a high of 973 missing from NHS in 2022/23; 781 missing from NHS in 2023/24; and 698 missing from NHS in 2024/25 YTD.&#10;The fourth row shows the five-year mean for missing persons investigations from RCH is 1,705.2 compared to 1,660 YTD (down 2.7% on five-year mean). The five-year sparkline shows a low of 1,531 missing from RCH in 2020/21; a high of 1,873 missing from RCH in 2021/22; 1,669 missing from RCH in 2022/23; 1,793 missing from RCH in 2023/24; and 1,660 missing from RCH in 2024/25 YTD.&#10;The fifth row shows the five-year mean for missing persons investigations from Foster Care is 201.0 compared to 166 YTD (down 17.4% on five-year mean). The five-year sparkline shows a low of 134 missing from Foster Care in 2020/21; 200 missing from Foster Care in 2021/22; 250 missing from Foster Care in 2022/23; a high of 255 missing from Foster Care in 2023/24 and 166 missing from Foster Care in 2024/25 YTD.&#10;The sixth row shows the five-year mean for missing persons investigations with a mental health marker is 2,692.0 compared to 2,445 YTD (down 9.2% on five-year mean). The five-year sparkline shows a low of 2,334 missing with a mental health marker in 2020/21; a high of 2,947 missing with a mental health marker in 2021/22; 2,904 missing with a mental health marker in 2022/23; 2,830 missing with a mental health marker in 2023/24; and 2,445 missing with a mental health marker in 2024/25 YTD.&#10;&#10;"/>
                    <pic:cNvPicPr/>
                  </pic:nvPicPr>
                  <pic:blipFill>
                    <a:blip r:embed="rId47"/>
                    <a:stretch>
                      <a:fillRect/>
                    </a:stretch>
                  </pic:blipFill>
                  <pic:spPr>
                    <a:xfrm>
                      <a:off x="0" y="0"/>
                      <a:ext cx="6188710" cy="2042795"/>
                    </a:xfrm>
                    <a:prstGeom prst="rect">
                      <a:avLst/>
                    </a:prstGeom>
                  </pic:spPr>
                </pic:pic>
              </a:graphicData>
            </a:graphic>
          </wp:inline>
        </w:drawing>
      </w:r>
    </w:p>
    <w:p w14:paraId="2927ADAE" w14:textId="77777777" w:rsidR="0061596D" w:rsidRDefault="0061596D" w:rsidP="0061596D">
      <w:r>
        <w:rPr>
          <w:noProof/>
        </w:rPr>
        <w:drawing>
          <wp:inline distT="0" distB="0" distL="0" distR="0" wp14:anchorId="569B09EA" wp14:editId="14D848A7">
            <wp:extent cx="6188710" cy="1758315"/>
            <wp:effectExtent l="0" t="0" r="2540" b="0"/>
            <wp:docPr id="1889835661" name="Picture 1" descr="Missing Persons Proportion YTD Comparison Table&#10;The first row shows the proportion of missing persons investigations – missing previously was 25.9% PYTD compared to 24.1% YTD (down 1.9% points on last year). &#10;The second row shows the proportion of missing persons investigations from NHS was 8.5% PYTD compared to 8.8% YTD (up 0.3% points on last year). &#10;The third row shows the proportion of missing persons investigations from RCH was 19.6% PYTD compared to 20.9% YTD (up 1.3% points on last year). &#10;The fourth row shows the proportion of missing persons investigations from Foster Care was 2.8% PYTD compared to 2.1% YTD (down 0.7% points on last year).&#10;The fifth row shows the proportion of missing persons investigations with a mental health marker was 30.9% PYTD compared to 30.8% YTD (Down 0.1% points on last yea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35661" name="Picture 1" descr="Missing Persons Proportion YTD Comparison Table&#10;The first row shows the proportion of missing persons investigations – missing previously was 25.9% PYTD compared to 24.1% YTD (down 1.9% points on last year). &#10;The second row shows the proportion of missing persons investigations from NHS was 8.5% PYTD compared to 8.8% YTD (up 0.3% points on last year). &#10;The third row shows the proportion of missing persons investigations from RCH was 19.6% PYTD compared to 20.9% YTD (up 1.3% points on last year). &#10;The fourth row shows the proportion of missing persons investigations from Foster Care was 2.8% PYTD compared to 2.1% YTD (down 0.7% points on last year).&#10;The fifth row shows the proportion of missing persons investigations with a mental health marker was 30.9% PYTD compared to 30.8% YTD (Down 0.1% points on last year).&#10;&#10;"/>
                    <pic:cNvPicPr/>
                  </pic:nvPicPr>
                  <pic:blipFill>
                    <a:blip r:embed="rId48"/>
                    <a:stretch>
                      <a:fillRect/>
                    </a:stretch>
                  </pic:blipFill>
                  <pic:spPr>
                    <a:xfrm>
                      <a:off x="0" y="0"/>
                      <a:ext cx="6188710" cy="1758315"/>
                    </a:xfrm>
                    <a:prstGeom prst="rect">
                      <a:avLst/>
                    </a:prstGeom>
                  </pic:spPr>
                </pic:pic>
              </a:graphicData>
            </a:graphic>
          </wp:inline>
        </w:drawing>
      </w:r>
    </w:p>
    <w:p w14:paraId="36948633" w14:textId="6B23DB70" w:rsidR="00FB4D9D" w:rsidRDefault="00FB4D9D" w:rsidP="00FB4D9D">
      <w:bookmarkStart w:id="68" w:name="_Hlk183097514"/>
      <w:bookmarkStart w:id="69" w:name="_Hlk172208321"/>
      <w:r w:rsidRPr="00FB4D9D">
        <w:t>The number of missing person investigations has significantly decreased by 928 (</w:t>
      </w:r>
      <w:r>
        <w:t xml:space="preserve">down </w:t>
      </w:r>
      <w:r w:rsidRPr="00FB4D9D">
        <w:t xml:space="preserve">19.3%) compared to the same period last year. The number of missing persons missing previously and the number of investigations with a mental health marker have all decreased compared to the same period last year and from the </w:t>
      </w:r>
      <w:r>
        <w:t>five</w:t>
      </w:r>
      <w:r w:rsidRPr="00FB4D9D">
        <w:t>-year mean.</w:t>
      </w:r>
    </w:p>
    <w:p w14:paraId="57BCD1AE" w14:textId="1C63AA9A" w:rsidR="00FB4D9D" w:rsidRPr="00FB4D9D" w:rsidRDefault="00FB4D9D" w:rsidP="00FB4D9D">
      <w:bookmarkStart w:id="70" w:name="_Hlk183097543"/>
      <w:bookmarkEnd w:id="68"/>
      <w:r w:rsidRPr="00FB4D9D">
        <w:t xml:space="preserve">There has been a gradual increase in missing persons from the last three quarters; an increase of 205 more missing persons than the previous quarter and an increase of 419 from Quarter 1 2024/25. </w:t>
      </w:r>
      <w:bookmarkStart w:id="71" w:name="_Hlk183097562"/>
      <w:bookmarkEnd w:id="70"/>
      <w:r w:rsidRPr="00FB4D9D">
        <w:t>This increase can be attributed to the quality assurance methods established ensuring a more accurate reflection of demand</w:t>
      </w:r>
      <w:bookmarkEnd w:id="71"/>
      <w:r w:rsidRPr="00FB4D9D">
        <w:t>. Police Scotland’s business rules provide guidance as to how and when a missing person incident is recorded on both the command-and-control system (STORM) and the National Missing Person Application (NMPA).</w:t>
      </w:r>
    </w:p>
    <w:p w14:paraId="01C4DB7A" w14:textId="20A69E31" w:rsidR="00FB4D9D" w:rsidRPr="00FB4D9D" w:rsidRDefault="00FB4D9D" w:rsidP="00FB4D9D">
      <w:bookmarkStart w:id="72" w:name="_Hlk183097579"/>
      <w:r w:rsidRPr="00FB4D9D">
        <w:lastRenderedPageBreak/>
        <w:t xml:space="preserve">The notable decreases can be found when considering what ‘type’ of person goes missing. Adult (400 less, </w:t>
      </w:r>
      <w:r>
        <w:t xml:space="preserve">down </w:t>
      </w:r>
      <w:r w:rsidRPr="00FB4D9D">
        <w:t xml:space="preserve">13.6%), Care Experienced Young People (263 less, </w:t>
      </w:r>
      <w:r>
        <w:t xml:space="preserve">down </w:t>
      </w:r>
      <w:r w:rsidRPr="00FB4D9D">
        <w:t xml:space="preserve">11.2%), and Child (343 less, </w:t>
      </w:r>
      <w:r>
        <w:t xml:space="preserve">down </w:t>
      </w:r>
      <w:r w:rsidRPr="00FB4D9D">
        <w:t>11.0%) are recording the most significant decreases compared to the same period last year</w:t>
      </w:r>
      <w:bookmarkEnd w:id="72"/>
      <w:r w:rsidRPr="00FB4D9D">
        <w:t>.</w:t>
      </w:r>
    </w:p>
    <w:p w14:paraId="57189B57" w14:textId="1ED14DE3" w:rsidR="008B38DC" w:rsidRDefault="00FB4D9D" w:rsidP="0061596D">
      <w:bookmarkStart w:id="73" w:name="_Hlk183097623"/>
      <w:r w:rsidRPr="00FB4D9D">
        <w:t xml:space="preserve">When considering what ‘type’ of person goes missing, the majority of children and care experienced young </w:t>
      </w:r>
      <w:proofErr w:type="spellStart"/>
      <w:r w:rsidRPr="00FB4D9D">
        <w:t>persons</w:t>
      </w:r>
      <w:proofErr w:type="spellEnd"/>
      <w:r w:rsidRPr="00FB4D9D">
        <w:t xml:space="preserve"> go missing from Lanarkshire. </w:t>
      </w:r>
      <w:bookmarkEnd w:id="73"/>
      <w:r w:rsidRPr="00FB4D9D">
        <w:t>This has changed from the previous year where the majority of children and care experienced young persons in 2023/24 were missing from Edinburgh City followed by Fife.</w:t>
      </w:r>
      <w:r w:rsidR="008B38DC">
        <w:t xml:space="preserve"> </w:t>
      </w:r>
      <w:r w:rsidRPr="00FB4D9D">
        <w:t xml:space="preserve">The City of Edinburgh division have developed their working relationship with care providers in </w:t>
      </w:r>
      <w:proofErr w:type="spellStart"/>
      <w:r w:rsidR="00C463B1">
        <w:t>C</w:t>
      </w:r>
      <w:r w:rsidRPr="00FB4D9D">
        <w:t>hildrens</w:t>
      </w:r>
      <w:proofErr w:type="spellEnd"/>
      <w:r w:rsidRPr="00FB4D9D">
        <w:t xml:space="preserve"> </w:t>
      </w:r>
      <w:r w:rsidR="00C463B1">
        <w:t>H</w:t>
      </w:r>
      <w:r w:rsidRPr="00FB4D9D">
        <w:t>ouses over the last year attributing to the reduction in reports of care experienced children going missing.</w:t>
      </w:r>
      <w:r w:rsidR="009041C3">
        <w:t xml:space="preserve"> </w:t>
      </w:r>
    </w:p>
    <w:p w14:paraId="23A37554" w14:textId="77777777" w:rsidR="00E057C4" w:rsidRDefault="00FB4D9D" w:rsidP="0061596D">
      <w:bookmarkStart w:id="74" w:name="_Hlk183097739"/>
      <w:r w:rsidRPr="00FB4D9D">
        <w:t xml:space="preserve">Children and care experienced young </w:t>
      </w:r>
      <w:proofErr w:type="spellStart"/>
      <w:r w:rsidRPr="00FB4D9D">
        <w:t>persons</w:t>
      </w:r>
      <w:proofErr w:type="spellEnd"/>
      <w:r w:rsidRPr="00FB4D9D">
        <w:t xml:space="preserve"> missing from Renfrewshire and Inverclyde, Lanarkshire, and North East all recorded significant increases from the previous year to date.</w:t>
      </w:r>
    </w:p>
    <w:bookmarkEnd w:id="74"/>
    <w:p w14:paraId="5E0B7879" w14:textId="66CEB931" w:rsidR="00E057C4" w:rsidRDefault="00FB4D9D" w:rsidP="0061596D">
      <w:r w:rsidRPr="00FB4D9D">
        <w:t xml:space="preserve">Situated within Renfrewshire and Inverclyde Division is the largest </w:t>
      </w:r>
      <w:proofErr w:type="spellStart"/>
      <w:r w:rsidRPr="00FB4D9D">
        <w:t>childrens</w:t>
      </w:r>
      <w:proofErr w:type="spellEnd"/>
      <w:r w:rsidRPr="00FB4D9D">
        <w:t xml:space="preserve"> care provider in Scotland, the division continue to work with our partners to reduce the volume of missing person reports, using a person-centred approach and the available protocols to reduce the threat of risk and harm to vulnerable care experienced children.</w:t>
      </w:r>
    </w:p>
    <w:p w14:paraId="42F2D142" w14:textId="06253FC1" w:rsidR="0061596D" w:rsidRPr="00FB4D9D" w:rsidRDefault="00FB4D9D" w:rsidP="0061596D">
      <w:r w:rsidRPr="00FB4D9D">
        <w:t xml:space="preserve">The smaller increases in Lanarkshire are attributed to the increased reports coming from three </w:t>
      </w:r>
      <w:proofErr w:type="spellStart"/>
      <w:r w:rsidR="00C463B1">
        <w:t>C</w:t>
      </w:r>
      <w:r w:rsidRPr="00FB4D9D">
        <w:t>hildrens</w:t>
      </w:r>
      <w:proofErr w:type="spellEnd"/>
      <w:r w:rsidRPr="00FB4D9D">
        <w:t xml:space="preserve"> </w:t>
      </w:r>
      <w:r w:rsidR="00C463B1">
        <w:t>H</w:t>
      </w:r>
      <w:r w:rsidRPr="00FB4D9D">
        <w:t>ouses and in North East Divisions the increase can be partly attributed to five individuals who have been reported as missing on multiple occasions.</w:t>
      </w:r>
    </w:p>
    <w:bookmarkEnd w:id="69"/>
    <w:p w14:paraId="11971A26" w14:textId="77777777" w:rsidR="0061596D" w:rsidRPr="00401B2C" w:rsidRDefault="0061596D" w:rsidP="0061596D">
      <w:pPr>
        <w:pStyle w:val="Heading4"/>
      </w:pPr>
      <w:r>
        <w:t>Road Safety (Strategic Outcome 1)</w:t>
      </w:r>
    </w:p>
    <w:p w14:paraId="6CD2D2A2" w14:textId="77777777" w:rsidR="0061596D" w:rsidRPr="00401B2C" w:rsidRDefault="0061596D" w:rsidP="0061596D">
      <w:pPr>
        <w:rPr>
          <w:noProof/>
        </w:rPr>
      </w:pPr>
      <w:r w:rsidRPr="00401B2C">
        <w:rPr>
          <w:noProof/>
        </w:rPr>
        <w:drawing>
          <wp:inline distT="0" distB="0" distL="0" distR="0" wp14:anchorId="4867DEB2" wp14:editId="53D73D10">
            <wp:extent cx="6188710" cy="1746885"/>
            <wp:effectExtent l="0" t="0" r="2540" b="5715"/>
            <wp:docPr id="1820186672" name="Picture 1" descr="Road Casualties YTD Comparison Table&#10;The first row shows 70 people killed on our roads PYTD compared to 90 YTD (up 28.6% on last year). The six month sparkline shows a low of 7 people killed in April; a high of 20 people killed in May; 16 people killed in June; 19 people killed in July; 12 people killed in August and 16 killed in September 2024.&#10;The second row shows 1,019 people seriously injured on our roads PYTD compared to 929 YTD (down 8.8% on last year). The six month sparkline shows 143 people seriously injured in April; 172 people seriously injured in May; a high of 190 people seriously injured in June; 149 people seriously injured in July; 150 people seriously injured in August and a low of 125 people seriously injured in September 2024.&#10;The third row shows 1,877 people slightly injured on our roads PYTD compared to 1,610 YTD (down 14.2% on last year). The six month sparkline shows 266 people slightly injured in April; a high of 337 people slightly injured in May; 291 people slightly injured in June; 280 people slightly injured in July; 244 people slightly injured in August and a low of 192 people slightly injured in September 2024.&#10;The fourth row shows 3 children killed on our roads PYTD compared to 2 YTD (down 33.3% on last year). The six month sparkline shows 1 child killed in May and September 2024 with no children killed in April, June, July or August 2024.&#10;The fifth row shows 90 children seriously injured on our roads PYTD compared to 74 YTD (down 17.8% on last year). The six month sparkline shows 11 children seriously injured in April; 16 children seriously injured in May; 12 children seriously injured in June; 9 children seriously injured in July; a high of 19 children seriously injured in August and a low of 7 children seriously injured in September 202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86672" name="Picture 1" descr="Road Casualties YTD Comparison Table&#10;The first row shows 70 people killed on our roads PYTD compared to 90 YTD (up 28.6% on last year). The six month sparkline shows a low of 7 people killed in April; a high of 20 people killed in May; 16 people killed in June; 19 people killed in July; 12 people killed in August and 16 killed in September 2024.&#10;The second row shows 1,019 people seriously injured on our roads PYTD compared to 929 YTD (down 8.8% on last year). The six month sparkline shows 143 people seriously injured in April; 172 people seriously injured in May; a high of 190 people seriously injured in June; 149 people seriously injured in July; 150 people seriously injured in August and a low of 125 people seriously injured in September 2024.&#10;The third row shows 1,877 people slightly injured on our roads PYTD compared to 1,610 YTD (down 14.2% on last year). The six month sparkline shows 266 people slightly injured in April; a high of 337 people slightly injured in May; 291 people slightly injured in June; 280 people slightly injured in July; 244 people slightly injured in August and a low of 192 people slightly injured in September 2024.&#10;The fourth row shows 3 children killed on our roads PYTD compared to 2 YTD (down 33.3% on last year). The six month sparkline shows 1 child killed in May and September 2024 with no children killed in April, June, July or August 2024.&#10;The fifth row shows 90 children seriously injured on our roads PYTD compared to 74 YTD (down 17.8% on last year). The six month sparkline shows 11 children seriously injured in April; 16 children seriously injured in May; 12 children seriously injured in June; 9 children seriously injured in July; a high of 19 children seriously injured in August and a low of 7 children seriously injured in September 2024.&#10;&#10;"/>
                    <pic:cNvPicPr/>
                  </pic:nvPicPr>
                  <pic:blipFill>
                    <a:blip r:embed="rId49"/>
                    <a:stretch>
                      <a:fillRect/>
                    </a:stretch>
                  </pic:blipFill>
                  <pic:spPr>
                    <a:xfrm>
                      <a:off x="0" y="0"/>
                      <a:ext cx="6188710" cy="1746885"/>
                    </a:xfrm>
                    <a:prstGeom prst="rect">
                      <a:avLst/>
                    </a:prstGeom>
                  </pic:spPr>
                </pic:pic>
              </a:graphicData>
            </a:graphic>
          </wp:inline>
        </w:drawing>
      </w:r>
    </w:p>
    <w:p w14:paraId="6EE77ED8" w14:textId="77777777" w:rsidR="0061596D" w:rsidRPr="00401B2C" w:rsidRDefault="0061596D" w:rsidP="0061596D">
      <w:pPr>
        <w:rPr>
          <w:noProof/>
        </w:rPr>
      </w:pPr>
      <w:r>
        <w:rPr>
          <w:noProof/>
        </w:rPr>
        <w:drawing>
          <wp:inline distT="0" distB="0" distL="0" distR="0" wp14:anchorId="034E65F5" wp14:editId="71AA24FE">
            <wp:extent cx="6188710" cy="1757045"/>
            <wp:effectExtent l="0" t="0" r="2540" b="0"/>
            <wp:docPr id="1443534559" name="Picture 1" descr="Road Casualties Five-Year Comparison Table&#10;The first row shows the five-year mean for people killed on our roads is 75.8 compared to 90 YTD (up 18.7% on five-year mean). The five-year sparkline shows a low of 51 people killed in 2020/21; 80 people killed in 2021/22; a high of 93 people killed in 2022/23; 70 people killed in 2023/24; 90 people killed in 2024/25 YTD.&#10;The second row shows the five-year mean for people seriously injured on our roads is 931.0 compared to 929 YTD (down 0.2% on five-year mean). The five-year sparkline shows a low of 763 people seriously injured in 2020/21; 946 people seriously injured in 2021/22; 952 people seriously injured in 2022/23; a high of 1,019 people seriously injured in 2023/24 and 929 people seriously injured in 2024/25 YTD.&#10;The third row shows the five-year mean for people slightly injured on our roads is 1,997.0 compared to 1,610 YTD (down 19.4% on five-year mean). The five-year sparkline shows a low of 1,491 people slightly injured in 2020/21; 1,846 people slightly injured in 2021/22; 1,869 people slightly injured in 2022/23; a high of 1,877 people slightly injured in 2023/24; and 1,610 people slightly injured in 2024/25 YTD.&#10;The fourth row shows the five-year mean for children killed on our roads is 2.2 compared to 2 YTD (down 9.1% on five-year mean). The five-year sparkline shows 2 children killed in 2020/21; a high of 4 children killed in 2021/22; a low of 1 child killed in 2022/23; 3 children killed in 2023/24; and 2 children killed in 2023/24 YTD.&#10;The fifth row shows the five-year mean for children seriously injured on our roads is 85.2 compared to 74 YTD (down 13.1% on five-year mean). The five-year sparkline shows a low of 56 children seriously injured in 2020/21; 87 children seriously injured in 2021/22; a high of 100 children seriously injured in 2022/23; 90 children seriously injured in 2023/24; and 74 children seriously injured in 2024/25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34559" name="Picture 1" descr="Road Casualties Five-Year Comparison Table&#10;The first row shows the five-year mean for people killed on our roads is 75.8 compared to 90 YTD (up 18.7% on five-year mean). The five-year sparkline shows a low of 51 people killed in 2020/21; 80 people killed in 2021/22; a high of 93 people killed in 2022/23; 70 people killed in 2023/24; 90 people killed in 2024/25 YTD.&#10;The second row shows the five-year mean for people seriously injured on our roads is 931.0 compared to 929 YTD (down 0.2% on five-year mean). The five-year sparkline shows a low of 763 people seriously injured in 2020/21; 946 people seriously injured in 2021/22; 952 people seriously injured in 2022/23; a high of 1,019 people seriously injured in 2023/24 and 929 people seriously injured in 2024/25 YTD.&#10;The third row shows the five-year mean for people slightly injured on our roads is 1,997.0 compared to 1,610 YTD (down 19.4% on five-year mean). The five-year sparkline shows a low of 1,491 people slightly injured in 2020/21; 1,846 people slightly injured in 2021/22; 1,869 people slightly injured in 2022/23; a high of 1,877 people slightly injured in 2023/24; and 1,610 people slightly injured in 2024/25 YTD.&#10;The fourth row shows the five-year mean for children killed on our roads is 2.2 compared to 2 YTD (down 9.1% on five-year mean). The five-year sparkline shows 2 children killed in 2020/21; a high of 4 children killed in 2021/22; a low of 1 child killed in 2022/23; 3 children killed in 2023/24; and 2 children killed in 2023/24 YTD.&#10;The fifth row shows the five-year mean for children seriously injured on our roads is 85.2 compared to 74 YTD (down 13.1% on five-year mean). The five-year sparkline shows a low of 56 children seriously injured in 2020/21; 87 children seriously injured in 2021/22; a high of 100 children seriously injured in 2022/23; 90 children seriously injured in 2023/24; and 74 children seriously injured in 2024/25 YTD.&#10;"/>
                    <pic:cNvPicPr/>
                  </pic:nvPicPr>
                  <pic:blipFill>
                    <a:blip r:embed="rId50"/>
                    <a:stretch>
                      <a:fillRect/>
                    </a:stretch>
                  </pic:blipFill>
                  <pic:spPr>
                    <a:xfrm>
                      <a:off x="0" y="0"/>
                      <a:ext cx="6188710" cy="1757045"/>
                    </a:xfrm>
                    <a:prstGeom prst="rect">
                      <a:avLst/>
                    </a:prstGeom>
                  </pic:spPr>
                </pic:pic>
              </a:graphicData>
            </a:graphic>
          </wp:inline>
        </w:drawing>
      </w:r>
    </w:p>
    <w:p w14:paraId="41FA172F" w14:textId="641EF3A4" w:rsidR="0061596D" w:rsidRPr="00BF3FDD" w:rsidRDefault="0061596D" w:rsidP="0061596D">
      <w:r w:rsidRPr="00BF3FDD">
        <w:t xml:space="preserve">In the current period there has been an increase of 20 </w:t>
      </w:r>
      <w:r w:rsidR="00093988">
        <w:t xml:space="preserve">road fatalities </w:t>
      </w:r>
      <w:r w:rsidRPr="00BF3FDD">
        <w:t>(</w:t>
      </w:r>
      <w:r w:rsidR="00093988">
        <w:t xml:space="preserve">up </w:t>
      </w:r>
      <w:r w:rsidRPr="00BF3FDD">
        <w:t xml:space="preserve">28.6%) compared to the previous year. The number of children killed has decreased by one, and there have </w:t>
      </w:r>
      <w:r w:rsidRPr="00BF3FDD">
        <w:lastRenderedPageBreak/>
        <w:t>been decreases in the number of people seriously and slightly injured (90</w:t>
      </w:r>
      <w:r w:rsidR="00093988">
        <w:t xml:space="preserve"> fewer, down </w:t>
      </w:r>
      <w:r w:rsidRPr="00BF3FDD">
        <w:t>8.8% and 267</w:t>
      </w:r>
      <w:r w:rsidR="00093988">
        <w:t xml:space="preserve"> fewer, down </w:t>
      </w:r>
      <w:r w:rsidRPr="00BF3FDD">
        <w:t>14.2% respectively). It should be noted that at the time of writing some of those killed in the current figures are being investigated for medical or other causational factors and may be removed from total figures.</w:t>
      </w:r>
    </w:p>
    <w:p w14:paraId="32584383" w14:textId="7CB820D4" w:rsidR="0061596D" w:rsidRPr="00BF3FDD" w:rsidRDefault="0061596D" w:rsidP="0061596D">
      <w:r w:rsidRPr="00BF3FDD">
        <w:t>The Scottish Government published the fatality and injury statistics for the year 2023. These were:</w:t>
      </w:r>
    </w:p>
    <w:p w14:paraId="7F22BF78" w14:textId="25AA6ABE" w:rsidR="0061596D" w:rsidRPr="00BF3FDD" w:rsidRDefault="0061596D" w:rsidP="0061596D">
      <w:pPr>
        <w:pStyle w:val="Bullets"/>
      </w:pPr>
      <w:r w:rsidRPr="00BF3FDD">
        <w:t>155 fatalities in 2023 compared to 171 in 2022, a decrease of 16 (</w:t>
      </w:r>
      <w:r w:rsidR="00093988">
        <w:t>down 9</w:t>
      </w:r>
      <w:r w:rsidRPr="00BF3FDD">
        <w:t>%).</w:t>
      </w:r>
    </w:p>
    <w:p w14:paraId="73185859" w14:textId="6FB54038" w:rsidR="0061596D" w:rsidRPr="00BF3FDD" w:rsidRDefault="0061596D" w:rsidP="0061596D">
      <w:pPr>
        <w:pStyle w:val="Bullets"/>
      </w:pPr>
      <w:r w:rsidRPr="00BF3FDD">
        <w:t>1,930 seriously injured in 2023 compared to 1,778 in 2022, an increase of 152 (</w:t>
      </w:r>
      <w:r w:rsidR="00093988">
        <w:t xml:space="preserve">up </w:t>
      </w:r>
      <w:r w:rsidRPr="00BF3FDD">
        <w:t>9%).</w:t>
      </w:r>
    </w:p>
    <w:p w14:paraId="080254FB" w14:textId="0CB0E9B5" w:rsidR="0061596D" w:rsidRPr="00BF3FDD" w:rsidRDefault="0061596D" w:rsidP="0061596D">
      <w:pPr>
        <w:pStyle w:val="Bullets"/>
      </w:pPr>
      <w:r w:rsidRPr="00BF3FDD">
        <w:t>5,788 overall casualties in 2023 compared to 5,630 in 2022, an increase of 158 (</w:t>
      </w:r>
      <w:r w:rsidR="00093988">
        <w:t xml:space="preserve">up </w:t>
      </w:r>
      <w:r w:rsidRPr="00BF3FDD">
        <w:t>3%).</w:t>
      </w:r>
    </w:p>
    <w:p w14:paraId="5C82E465" w14:textId="77777777" w:rsidR="0061596D" w:rsidRPr="00BF3FDD" w:rsidRDefault="0061596D" w:rsidP="0061596D">
      <w:r w:rsidRPr="00BF3FDD">
        <w:t>In May this year the Cabinet Secretary for Transport, alongside the publishing of the casualty figures, reaffirmed the Scottish Government’s commitment to attain road safety targets and to achieve the Vision Zero goal of no-one being seriously injured or killed on Scotland’s roads by 2050.</w:t>
      </w:r>
    </w:p>
    <w:tbl>
      <w:tblPr>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61596D" w:rsidRPr="0075685D" w14:paraId="7C68279A" w14:textId="77777777" w:rsidTr="00C90DD0">
        <w:trPr>
          <w:trHeight w:val="680"/>
          <w:tblHeader/>
        </w:trPr>
        <w:tc>
          <w:tcPr>
            <w:tcW w:w="9862" w:type="dxa"/>
            <w:shd w:val="clear" w:color="auto" w:fill="FFE599" w:themeFill="accent4" w:themeFillTint="66"/>
            <w:vAlign w:val="center"/>
            <w:hideMark/>
          </w:tcPr>
          <w:p w14:paraId="2480CDE9" w14:textId="77777777" w:rsidR="0061596D" w:rsidRPr="008A21F7" w:rsidRDefault="0061596D" w:rsidP="00C90DD0">
            <w:pPr>
              <w:pStyle w:val="TableHeaderLeft"/>
            </w:pPr>
            <w:bookmarkStart w:id="75" w:name="Roads"/>
            <w:bookmarkEnd w:id="75"/>
            <w:r w:rsidRPr="008A21F7">
              <w:rPr>
                <w:rStyle w:val="Strong"/>
                <w:b/>
              </w:rPr>
              <w:t xml:space="preserve">Proactive/Preventative Policing – </w:t>
            </w:r>
            <w:r w:rsidRPr="008A21F7">
              <w:t>Road Policing Campaign Updates</w:t>
            </w:r>
          </w:p>
        </w:tc>
      </w:tr>
      <w:tr w:rsidR="0061596D" w:rsidRPr="0075685D" w14:paraId="2E9DDB96" w14:textId="77777777" w:rsidTr="00C90DD0">
        <w:trPr>
          <w:trHeight w:val="680"/>
        </w:trPr>
        <w:tc>
          <w:tcPr>
            <w:tcW w:w="9862" w:type="dxa"/>
            <w:shd w:val="clear" w:color="auto" w:fill="FFF2CC" w:themeFill="accent4" w:themeFillTint="33"/>
            <w:vAlign w:val="center"/>
            <w:hideMark/>
          </w:tcPr>
          <w:p w14:paraId="42C4357B" w14:textId="77777777" w:rsidR="0061596D" w:rsidRPr="008A21F7" w:rsidRDefault="0061596D" w:rsidP="00C90DD0">
            <w:pPr>
              <w:pStyle w:val="TableBodyLeft"/>
            </w:pPr>
            <w:r w:rsidRPr="008A21F7">
              <w:t>During this quarter several campaigns have been resulted, all of which are aimed at proactively preventing fatalities and injuries on Scotland’s roads with a strong focus on protecting Vulnerable Road Users and/or targeting motorists committing Fatal 5 offences.</w:t>
            </w:r>
          </w:p>
          <w:p w14:paraId="7C44974E" w14:textId="7335185E" w:rsidR="0061596D" w:rsidRDefault="0061596D" w:rsidP="00C90DD0">
            <w:pPr>
              <w:pStyle w:val="TableBodyLeft"/>
              <w:rPr>
                <w:b/>
                <w:bCs/>
              </w:rPr>
            </w:pPr>
            <w:r>
              <w:rPr>
                <w:b/>
                <w:bCs/>
              </w:rPr>
              <w:t xml:space="preserve">Motorcycle Safety Campaign – </w:t>
            </w:r>
            <w:r w:rsidRPr="00A4532E">
              <w:t>Timed to run throughout the peak spring/summer riding period (29 March t</w:t>
            </w:r>
            <w:r>
              <w:t>o</w:t>
            </w:r>
            <w:r w:rsidRPr="00A4532E">
              <w:t xml:space="preserve"> 27 September 2024</w:t>
            </w:r>
            <w:r>
              <w:t xml:space="preserve">) Road Policing and the National Motorcycle Unit carried out dedicated patrol activity on popular biker routes, with a strong focus on the contribution all road users can make to reducing rider casualties by adopting the right attitude and driving behaviours. A total of </w:t>
            </w:r>
            <w:r w:rsidR="00967EB5">
              <w:t>2,259</w:t>
            </w:r>
            <w:r>
              <w:t xml:space="preserve"> riders were stopped, with </w:t>
            </w:r>
            <w:r w:rsidR="00967EB5">
              <w:t>309</w:t>
            </w:r>
            <w:r>
              <w:t xml:space="preserve"> offences detected amongst them. An additional </w:t>
            </w:r>
            <w:r w:rsidR="00967EB5">
              <w:t>72</w:t>
            </w:r>
            <w:r>
              <w:t xml:space="preserve"> offences committed by other road users were also detected during these initiatives.</w:t>
            </w:r>
          </w:p>
          <w:p w14:paraId="6E6D938E" w14:textId="77777777" w:rsidR="0061596D" w:rsidRPr="008A21F7" w:rsidRDefault="0061596D" w:rsidP="00C90DD0">
            <w:pPr>
              <w:pStyle w:val="TableBodyLeft"/>
            </w:pPr>
            <w:r w:rsidRPr="008A21F7">
              <w:rPr>
                <w:b/>
                <w:bCs/>
              </w:rPr>
              <w:t xml:space="preserve">Summer Drink Drug Drive Campaign – </w:t>
            </w:r>
            <w:r w:rsidRPr="008A21F7">
              <w:t>This campaign ran from 01 to 14 July 2024 and resulted in a total of 357 drink and drug driving offences being recorded. This campaign was analysis and intelligence led.</w:t>
            </w:r>
          </w:p>
          <w:p w14:paraId="7CC2911D" w14:textId="77777777" w:rsidR="0061596D" w:rsidRDefault="0061596D" w:rsidP="00C90DD0">
            <w:pPr>
              <w:pStyle w:val="TableBodyLeft"/>
            </w:pPr>
            <w:r w:rsidRPr="008A21F7">
              <w:rPr>
                <w:b/>
                <w:bCs/>
              </w:rPr>
              <w:t>Mobile Phone</w:t>
            </w:r>
            <w:r w:rsidRPr="008A21F7">
              <w:rPr>
                <w:b/>
              </w:rPr>
              <w:t xml:space="preserve"> Campaign</w:t>
            </w:r>
            <w:r>
              <w:t xml:space="preserve"> – Running from 22 to 28 July 2024 Road Policing carried out engagement and enforcement amongst motorists to encourage wider compliance, with supporting social media work ahead of and during the initiative. A total of 27 offences were reported during the course of the campaign.</w:t>
            </w:r>
          </w:p>
          <w:p w14:paraId="4F460058" w14:textId="77777777" w:rsidR="0061596D" w:rsidRDefault="0061596D" w:rsidP="00C90DD0">
            <w:pPr>
              <w:pStyle w:val="TableBodyLeft"/>
            </w:pPr>
            <w:r w:rsidRPr="008A21F7">
              <w:rPr>
                <w:b/>
                <w:bCs/>
              </w:rPr>
              <w:t>Vulnerable Road Users</w:t>
            </w:r>
            <w:r>
              <w:rPr>
                <w:b/>
                <w:bCs/>
              </w:rPr>
              <w:t>,</w:t>
            </w:r>
            <w:r w:rsidRPr="008A21F7">
              <w:rPr>
                <w:b/>
                <w:bCs/>
              </w:rPr>
              <w:t xml:space="preserve"> Child Safety Return to School Campaign</w:t>
            </w:r>
            <w:r>
              <w:t xml:space="preserve"> – The campaign ran from 12 to 25 August 2024 and focused on speed enforcement in the vicinity of schools and on high active travel routes. A total of 124 offences were detected by officers, with our Safety Camera Unit colleagues detecting 1,701 offences.</w:t>
            </w:r>
          </w:p>
          <w:p w14:paraId="4B87FEB8" w14:textId="77777777" w:rsidR="0061596D" w:rsidRDefault="0061596D" w:rsidP="00C90DD0">
            <w:pPr>
              <w:pStyle w:val="TableBodyLeft"/>
            </w:pPr>
            <w:r w:rsidRPr="00FB067C">
              <w:rPr>
                <w:b/>
                <w:bCs/>
              </w:rPr>
              <w:t>Drug Driving Week</w:t>
            </w:r>
            <w:r>
              <w:t xml:space="preserve"> – Between 19 and 25 August 2024, this campaign saw 193 drink and drug driving offences recorded, with social media utilised to improve road user engagement throughout.</w:t>
            </w:r>
          </w:p>
          <w:p w14:paraId="3B43AF03" w14:textId="77777777" w:rsidR="0061596D" w:rsidRPr="008A21F7" w:rsidRDefault="0061596D" w:rsidP="00C90DD0">
            <w:pPr>
              <w:pStyle w:val="TableBodyLeft"/>
            </w:pPr>
            <w:r w:rsidRPr="00FB067C">
              <w:rPr>
                <w:b/>
                <w:bCs/>
              </w:rPr>
              <w:lastRenderedPageBreak/>
              <w:t>National Speed Campaign</w:t>
            </w:r>
            <w:r>
              <w:t xml:space="preserve"> – Running between 09 to 15 September, there were a total of 399 speeding offences detected by officers during the course of this campaign, with Safety Camera Units detecting an additional 718 offenders.</w:t>
            </w:r>
          </w:p>
        </w:tc>
      </w:tr>
    </w:tbl>
    <w:p w14:paraId="78FDC6A1" w14:textId="77777777" w:rsidR="0061596D" w:rsidRPr="00FB067C" w:rsidRDefault="0061596D" w:rsidP="0061596D">
      <w:r w:rsidRPr="00FB067C">
        <w:lastRenderedPageBreak/>
        <w:t>There are several ongoing campaigns at this time:</w:t>
      </w:r>
    </w:p>
    <w:p w14:paraId="3ABA1715" w14:textId="50D8D9E7" w:rsidR="0061596D" w:rsidRPr="00FB067C" w:rsidRDefault="0061596D" w:rsidP="0061596D">
      <w:r w:rsidRPr="00FB067C">
        <w:rPr>
          <w:rStyle w:val="Strong"/>
        </w:rPr>
        <w:t>Driver Engagement North</w:t>
      </w:r>
      <w:r w:rsidRPr="00FB067C">
        <w:t>, which initially launched in the Highlands and Islands and has since been extended to the rest of the North of Scotland, sees participants using a desktop driving simulator to assist older road users and their families make informed choices about their fitness to drive safely. The project has evaluated well and further funding has now been secured from Transport Scotland to expand Driver Engagement into the East and West of Scotland.</w:t>
      </w:r>
    </w:p>
    <w:p w14:paraId="10145F91" w14:textId="77777777" w:rsidR="0061596D" w:rsidRPr="00FB067C" w:rsidRDefault="0061596D" w:rsidP="0061596D">
      <w:r w:rsidRPr="00FB067C">
        <w:rPr>
          <w:rStyle w:val="Strong"/>
        </w:rPr>
        <w:t>Fitness to Drive Matters</w:t>
      </w:r>
      <w:r w:rsidRPr="00FB067C">
        <w:t xml:space="preserve"> sees us working with our partners and older road users to reduce numbers killed or seriously injured in collisions. Funding has been secured from Transport Scotland’s Road Safety Framework Fund to cover 100 assessments in the North of Scotland.</w:t>
      </w:r>
    </w:p>
    <w:p w14:paraId="78A2F678" w14:textId="77777777" w:rsidR="0061596D" w:rsidRPr="00FB067C" w:rsidRDefault="0061596D" w:rsidP="0061596D">
      <w:r w:rsidRPr="00FB067C">
        <w:rPr>
          <w:rStyle w:val="Strong"/>
        </w:rPr>
        <w:t>The New Driver Early Intervention Scheme</w:t>
      </w:r>
      <w:r w:rsidRPr="00FB067C">
        <w:t xml:space="preserve"> is being rolled out nationally and partners, such as Scottish Fire and Rescue Service, have adopted the scheme to deliver it as part of their work. The scheme is aimed at 17-25 year-olds to positively influence this vulnerable group of road users, whilst providing a reminder of their responsibilities toward themselves and other road users. Several local authorities have adopted the scheme for delivery to modern apprentice/skills and employability students. Empowering young people with information allows them to make informed decisions when starting their driving careers, with a view to improving road safety for all.</w:t>
      </w:r>
    </w:p>
    <w:p w14:paraId="1ED64DA9" w14:textId="77777777" w:rsidR="0061596D" w:rsidRPr="00FB067C" w:rsidRDefault="0061596D" w:rsidP="00E057C4">
      <w:pPr>
        <w:pStyle w:val="Heading4"/>
        <w:rPr>
          <w:rFonts w:cstheme="minorBidi"/>
        </w:rPr>
      </w:pPr>
      <w:r w:rsidRPr="00FB067C">
        <w:t>Ongoing Operations</w:t>
      </w:r>
    </w:p>
    <w:p w14:paraId="1E6E0DCF" w14:textId="77777777" w:rsidR="0061596D" w:rsidRPr="00FB067C" w:rsidRDefault="0061596D" w:rsidP="0061596D">
      <w:r w:rsidRPr="00FB067C">
        <w:t>There are also several ongoing operations:</w:t>
      </w:r>
    </w:p>
    <w:p w14:paraId="7F1487A0" w14:textId="219A95EC" w:rsidR="0061596D" w:rsidRPr="00FB067C" w:rsidRDefault="0061596D" w:rsidP="0061596D">
      <w:pPr>
        <w:pStyle w:val="Bullets"/>
      </w:pPr>
      <w:r w:rsidRPr="00FB067C">
        <w:rPr>
          <w:rStyle w:val="Strong"/>
        </w:rPr>
        <w:t>Operation TUTELAGE</w:t>
      </w:r>
      <w:r w:rsidRPr="00FB067C">
        <w:t xml:space="preserve">: This is a UK-wide initiative aimed at reducing the number of uninsured drivers. A Criminal Justice led initiative, uninsured vehicles are identified using Automatic Number Plate Recognition (ANPR) to generate ‘Insurance Advisory Letters’ to registered keepers to inform them that an offence has occurred. From launch in 2021 to </w:t>
      </w:r>
      <w:r w:rsidR="00967EB5">
        <w:t>30</w:t>
      </w:r>
      <w:r w:rsidRPr="00FB067C">
        <w:t xml:space="preserve"> </w:t>
      </w:r>
      <w:r w:rsidR="00967EB5">
        <w:t>September</w:t>
      </w:r>
      <w:r w:rsidRPr="00FB067C">
        <w:t xml:space="preserve"> 2024 a total of </w:t>
      </w:r>
      <w:r w:rsidR="00967EB5">
        <w:t>41</w:t>
      </w:r>
      <w:r w:rsidRPr="00FB067C">
        <w:t>,</w:t>
      </w:r>
      <w:r w:rsidR="00967EB5">
        <w:t>000</w:t>
      </w:r>
      <w:r w:rsidRPr="00FB067C">
        <w:t xml:space="preserve"> letters have been issued in Scotland. The compliance rate is 82.</w:t>
      </w:r>
      <w:r w:rsidR="00967EB5">
        <w:t>5</w:t>
      </w:r>
      <w:r w:rsidRPr="00FB067C">
        <w:t>%.</w:t>
      </w:r>
    </w:p>
    <w:p w14:paraId="51A405A0" w14:textId="77777777" w:rsidR="0061596D" w:rsidRPr="00FB067C" w:rsidRDefault="0061596D" w:rsidP="0061596D">
      <w:pPr>
        <w:pStyle w:val="Bullets"/>
        <w:ind w:left="357" w:hanging="357"/>
      </w:pPr>
      <w:r w:rsidRPr="00FB067C">
        <w:rPr>
          <w:rStyle w:val="Strong"/>
        </w:rPr>
        <w:t>Operation TRAMLINE</w:t>
      </w:r>
      <w:r w:rsidRPr="00FB067C">
        <w:t>: Police Officers are deployed on busy commuter routes in vehicles that drivers would not typically associate with police, such as lorry tractor units and minibuses. This provides high vantage point observation of driver behaviour with the aim to engage, educate and enforce legislation in respect of the Fatal 5, in particular distraction offences such as using a handheld mobile phone.</w:t>
      </w:r>
    </w:p>
    <w:p w14:paraId="1C78B8BF" w14:textId="77777777" w:rsidR="0061596D" w:rsidRPr="00FB067C" w:rsidRDefault="0061596D" w:rsidP="0061596D">
      <w:pPr>
        <w:pStyle w:val="Bullets"/>
        <w:ind w:left="357" w:hanging="357"/>
      </w:pPr>
      <w:r w:rsidRPr="00FB067C">
        <w:rPr>
          <w:b/>
          <w:bCs/>
        </w:rPr>
        <w:t>Operation</w:t>
      </w:r>
      <w:r w:rsidRPr="00FB067C">
        <w:rPr>
          <w:rStyle w:val="Strong"/>
        </w:rPr>
        <w:t xml:space="preserve"> CLOSE PASS</w:t>
      </w:r>
      <w:r w:rsidRPr="00FB067C">
        <w:t xml:space="preserve">: </w:t>
      </w:r>
      <w:r>
        <w:t xml:space="preserve">This operation sees a Community Police cyclist and supporting Road Policing officers deploy to monitor driver behaviour in the vicinity of cyclists, particularly when carrying out passing manoeuvres. Drivers passing too closely, </w:t>
      </w:r>
      <w:r>
        <w:lastRenderedPageBreak/>
        <w:t>or otherwise placing the cyclist at risk, are predominantly provided with guidance during a ‘chat on the mat’, but may also be issued with a fixed penalty or reported to the Procurator Fiscal, depending on the presenting circumstances.</w:t>
      </w:r>
    </w:p>
    <w:p w14:paraId="5E544742" w14:textId="77777777" w:rsidR="0061596D" w:rsidRDefault="0061596D" w:rsidP="0061596D">
      <w:pPr>
        <w:pStyle w:val="Heading4"/>
      </w:pPr>
      <w:r>
        <w:t>Stop and Search (Strategic Outcome 1)</w:t>
      </w:r>
    </w:p>
    <w:p w14:paraId="623EA0F1" w14:textId="5A61EC6F" w:rsidR="0061596D" w:rsidRPr="00DD1BEC" w:rsidRDefault="00DE4DE9" w:rsidP="0061596D">
      <w:pPr>
        <w:rPr>
          <w:noProof/>
        </w:rPr>
      </w:pPr>
      <w:r>
        <w:rPr>
          <w:noProof/>
        </w:rPr>
        <w:drawing>
          <wp:inline distT="0" distB="0" distL="0" distR="0" wp14:anchorId="771C1D00" wp14:editId="36F878B7">
            <wp:extent cx="6188710" cy="755650"/>
            <wp:effectExtent l="0" t="0" r="2540" b="6350"/>
            <wp:docPr id="858546826" name="Picture 1" descr="Stop Search YTD Comparison Table&#10;This row shows the stop and search compliance rate was 99.1% PYTD compared to 99.1% YTD (no change from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46826" name="Picture 1" descr="Stop Search YTD Comparison Table&#10;This row shows the stop and search compliance rate was 99.1% PYTD compared to 99.1% YTD (no change from last year).&#10;"/>
                    <pic:cNvPicPr/>
                  </pic:nvPicPr>
                  <pic:blipFill>
                    <a:blip r:embed="rId51"/>
                    <a:stretch>
                      <a:fillRect/>
                    </a:stretch>
                  </pic:blipFill>
                  <pic:spPr>
                    <a:xfrm>
                      <a:off x="0" y="0"/>
                      <a:ext cx="6188710" cy="755650"/>
                    </a:xfrm>
                    <a:prstGeom prst="rect">
                      <a:avLst/>
                    </a:prstGeom>
                  </pic:spPr>
                </pic:pic>
              </a:graphicData>
            </a:graphic>
          </wp:inline>
        </w:drawing>
      </w:r>
    </w:p>
    <w:p w14:paraId="17B121F5" w14:textId="77777777" w:rsidR="0061596D" w:rsidRPr="003D02A6" w:rsidRDefault="0061596D" w:rsidP="0061596D">
      <w:pPr>
        <w:rPr>
          <w:color w:val="000000" w:themeColor="text1"/>
        </w:rPr>
      </w:pPr>
      <w:r w:rsidRPr="003D02A6">
        <w:rPr>
          <w:noProof/>
          <w:color w:val="000000" w:themeColor="text1"/>
        </w:rPr>
        <w:t>18,998</w:t>
      </w:r>
      <w:r w:rsidRPr="003D02A6">
        <w:rPr>
          <w:color w:val="000000" w:themeColor="text1"/>
        </w:rPr>
        <w:t xml:space="preserve"> stop and search incidents were recorded by Police Scotland during the </w:t>
      </w:r>
      <w:r w:rsidRPr="003D02A6">
        <w:rPr>
          <w:noProof/>
          <w:color w:val="000000" w:themeColor="text1"/>
        </w:rPr>
        <w:t>April to September period.</w:t>
      </w:r>
      <w:r w:rsidRPr="003D02A6">
        <w:rPr>
          <w:color w:val="000000" w:themeColor="text1"/>
        </w:rPr>
        <w:t xml:space="preserve"> This includes </w:t>
      </w:r>
      <w:r w:rsidRPr="003D02A6">
        <w:rPr>
          <w:noProof/>
          <w:color w:val="000000" w:themeColor="text1"/>
        </w:rPr>
        <w:t>735</w:t>
      </w:r>
      <w:r w:rsidRPr="003D02A6">
        <w:rPr>
          <w:color w:val="000000" w:themeColor="text1"/>
        </w:rPr>
        <w:t xml:space="preserve"> searches under warrant. The number of searches recorded this year was </w:t>
      </w:r>
      <w:r w:rsidRPr="003D02A6">
        <w:rPr>
          <w:noProof/>
          <w:color w:val="000000" w:themeColor="text1"/>
        </w:rPr>
        <w:t>15.7</w:t>
      </w:r>
      <w:r w:rsidRPr="003D02A6">
        <w:rPr>
          <w:color w:val="000000" w:themeColor="text1"/>
        </w:rPr>
        <w:t xml:space="preserve">% more than last year but </w:t>
      </w:r>
      <w:r w:rsidRPr="003D02A6">
        <w:rPr>
          <w:noProof/>
          <w:color w:val="000000" w:themeColor="text1"/>
        </w:rPr>
        <w:t>9</w:t>
      </w:r>
      <w:r w:rsidRPr="003D02A6">
        <w:rPr>
          <w:color w:val="000000" w:themeColor="text1"/>
        </w:rPr>
        <w:t>.5% fewer than the five-year mean.</w:t>
      </w:r>
    </w:p>
    <w:p w14:paraId="017076C5" w14:textId="77777777" w:rsidR="0061596D" w:rsidRPr="0001162F" w:rsidRDefault="0061596D" w:rsidP="0061596D">
      <w:pPr>
        <w:rPr>
          <w:color w:val="000000" w:themeColor="text1"/>
        </w:rPr>
      </w:pPr>
      <w:r w:rsidRPr="003D02A6">
        <w:rPr>
          <w:noProof/>
          <w:color w:val="000000" w:themeColor="text1"/>
        </w:rPr>
        <w:t>25.2</w:t>
      </w:r>
      <w:r w:rsidRPr="003D02A6">
        <w:rPr>
          <w:color w:val="000000" w:themeColor="text1"/>
        </w:rPr>
        <w:t xml:space="preserve">% of searches recorded during the period were positive – this is a decrease in the positive rate from this period last year of </w:t>
      </w:r>
      <w:r w:rsidRPr="003D02A6">
        <w:rPr>
          <w:noProof/>
          <w:color w:val="000000" w:themeColor="text1"/>
        </w:rPr>
        <w:t>5.4</w:t>
      </w:r>
      <w:r w:rsidRPr="003D02A6">
        <w:rPr>
          <w:color w:val="000000" w:themeColor="text1"/>
        </w:rPr>
        <w:t xml:space="preserve">% points and a decrease of </w:t>
      </w:r>
      <w:r w:rsidRPr="003D02A6">
        <w:rPr>
          <w:noProof/>
          <w:color w:val="000000" w:themeColor="text1"/>
        </w:rPr>
        <w:t>9.5</w:t>
      </w:r>
      <w:r w:rsidRPr="003D02A6">
        <w:rPr>
          <w:color w:val="000000" w:themeColor="text1"/>
        </w:rPr>
        <w:t xml:space="preserve">% points from the five-year mean positive rate. </w:t>
      </w:r>
      <w:r w:rsidRPr="003D02A6">
        <w:rPr>
          <w:noProof/>
          <w:color w:val="000000" w:themeColor="text1"/>
        </w:rPr>
        <w:t>3,771</w:t>
      </w:r>
      <w:r w:rsidRPr="003D02A6">
        <w:rPr>
          <w:color w:val="000000" w:themeColor="text1"/>
        </w:rPr>
        <w:t xml:space="preserve"> searches led to the recovery of drugs, </w:t>
      </w:r>
      <w:r w:rsidRPr="003D02A6">
        <w:rPr>
          <w:noProof/>
          <w:color w:val="000000" w:themeColor="text1"/>
        </w:rPr>
        <w:t>472</w:t>
      </w:r>
      <w:r w:rsidRPr="003D02A6">
        <w:rPr>
          <w:color w:val="000000" w:themeColor="text1"/>
        </w:rPr>
        <w:t xml:space="preserve"> recovered weapons and </w:t>
      </w:r>
      <w:r w:rsidRPr="003D02A6">
        <w:rPr>
          <w:noProof/>
          <w:color w:val="000000" w:themeColor="text1"/>
        </w:rPr>
        <w:t>420</w:t>
      </w:r>
      <w:r w:rsidRPr="003D02A6">
        <w:rPr>
          <w:color w:val="000000" w:themeColor="text1"/>
        </w:rPr>
        <w:t xml:space="preserve"> recovered stolen property.</w:t>
      </w:r>
      <w:r w:rsidRPr="003D02A6">
        <w:rPr>
          <w:noProof/>
          <w:color w:val="000000" w:themeColor="text1"/>
        </w:rPr>
        <w:t xml:space="preserve"> Of the searches that recovered weapons, 76 involved weapons being recovered from 12-15 year olds, and a further 47 from 16-17 year olds.</w:t>
      </w:r>
    </w:p>
    <w:p w14:paraId="528910F9" w14:textId="77777777" w:rsidR="0061596D" w:rsidRPr="0001162F" w:rsidRDefault="0061596D" w:rsidP="0061596D">
      <w:pPr>
        <w:rPr>
          <w:color w:val="000000" w:themeColor="text1"/>
        </w:rPr>
      </w:pPr>
      <w:bookmarkStart w:id="76" w:name="_Hlk183098603"/>
      <w:r w:rsidRPr="0001162F">
        <w:rPr>
          <w:noProof/>
          <w:color w:val="000000" w:themeColor="text1"/>
        </w:rPr>
        <w:t>25</w:t>
      </w:r>
      <w:r w:rsidRPr="0001162F">
        <w:rPr>
          <w:color w:val="000000" w:themeColor="text1"/>
        </w:rPr>
        <w:t xml:space="preserve"> of the searches that recovered weapons were conducted for a care &amp; welfare reason, and a further </w:t>
      </w:r>
      <w:r w:rsidRPr="0001162F">
        <w:rPr>
          <w:noProof/>
          <w:color w:val="000000" w:themeColor="text1"/>
        </w:rPr>
        <w:t>five</w:t>
      </w:r>
      <w:r w:rsidRPr="0001162F">
        <w:rPr>
          <w:color w:val="000000" w:themeColor="text1"/>
        </w:rPr>
        <w:t xml:space="preserve"> were conducted for the protection of life search reason</w:t>
      </w:r>
      <w:bookmarkEnd w:id="76"/>
      <w:r w:rsidRPr="0001162F">
        <w:rPr>
          <w:color w:val="000000" w:themeColor="text1"/>
        </w:rPr>
        <w:t>.</w:t>
      </w:r>
    </w:p>
    <w:p w14:paraId="6F5CFD24" w14:textId="77777777" w:rsidR="0061596D" w:rsidRPr="0001162F" w:rsidRDefault="0061596D" w:rsidP="0061596D">
      <w:pPr>
        <w:rPr>
          <w:color w:val="000000" w:themeColor="text1"/>
        </w:rPr>
      </w:pPr>
      <w:r w:rsidRPr="0001162F">
        <w:rPr>
          <w:color w:val="000000" w:themeColor="text1"/>
        </w:rPr>
        <w:t>During the first half of the year, 16,839 stop and search records were audited for compliance. An audit involves the records being reviewed by line managers and thereafter quality control checked by the National Stop and Search Unit to ensure their adherence to the Stop and Search Code of Practice introduced in May 2017.</w:t>
      </w:r>
    </w:p>
    <w:p w14:paraId="5D684DD4" w14:textId="77777777" w:rsidR="0061596D" w:rsidRPr="0001162F" w:rsidRDefault="0061596D" w:rsidP="0061596D">
      <w:pPr>
        <w:rPr>
          <w:color w:val="000000" w:themeColor="text1"/>
        </w:rPr>
      </w:pPr>
      <w:r w:rsidRPr="0001162F">
        <w:rPr>
          <w:color w:val="000000" w:themeColor="text1"/>
        </w:rPr>
        <w:t>Of the stop and searches reviewed this year, 14,913 (88.6%) were deemed compliant and recorded correctly on the stop and search database. A further 1,767 (10.5%) were compliant with the code of practice but required amendment to their details to ensure they were appropriately recorded.</w:t>
      </w:r>
    </w:p>
    <w:p w14:paraId="057EB2AF" w14:textId="77777777" w:rsidR="0061596D" w:rsidRPr="0001162F" w:rsidRDefault="0061596D" w:rsidP="0061596D">
      <w:pPr>
        <w:rPr>
          <w:color w:val="000000" w:themeColor="text1"/>
        </w:rPr>
      </w:pPr>
      <w:r w:rsidRPr="0001162F">
        <w:rPr>
          <w:color w:val="000000" w:themeColor="text1"/>
        </w:rPr>
        <w:t>159 (0.9%) records were deemed as not recordable under the code of practice or recorded in error and deleted from the database. The typical reasons for deletion include where a person is searched after being arrested, as a result of a duplicate record or where no physical search of a person has actually taken place.</w:t>
      </w:r>
    </w:p>
    <w:p w14:paraId="68998FEE" w14:textId="77777777" w:rsidR="0061596D" w:rsidRPr="0001162F" w:rsidRDefault="0061596D" w:rsidP="0061596D">
      <w:pPr>
        <w:rPr>
          <w:color w:val="000000" w:themeColor="text1"/>
        </w:rPr>
      </w:pPr>
      <w:r w:rsidRPr="0001162F">
        <w:rPr>
          <w:color w:val="000000" w:themeColor="text1"/>
        </w:rPr>
        <w:t>It should be noted that the total number of records audited for compliance will be lower than the total number of searches raised during the period due to the timescales required to fully review all records.</w:t>
      </w:r>
    </w:p>
    <w:p w14:paraId="66338BAE" w14:textId="77777777" w:rsidR="0061596D" w:rsidRPr="0001162F" w:rsidRDefault="0061596D" w:rsidP="0061596D">
      <w:pPr>
        <w:rPr>
          <w:color w:val="000000" w:themeColor="text1"/>
        </w:rPr>
      </w:pPr>
      <w:r w:rsidRPr="0001162F">
        <w:rPr>
          <w:color w:val="000000" w:themeColor="text1"/>
        </w:rPr>
        <w:t xml:space="preserve">More information about stop and search statistics as well as stop and search data files can be found on the Police Scotland website: </w:t>
      </w:r>
      <w:hyperlink r:id="rId52" w:history="1">
        <w:r w:rsidRPr="0001162F">
          <w:rPr>
            <w:rStyle w:val="Hyperlink"/>
            <w:color w:val="000000" w:themeColor="text1"/>
          </w:rPr>
          <w:t>Stop Search Data</w:t>
        </w:r>
      </w:hyperlink>
      <w:r w:rsidRPr="0001162F">
        <w:rPr>
          <w:color w:val="000000" w:themeColor="text1"/>
        </w:rPr>
        <w:t>.</w:t>
      </w:r>
    </w:p>
    <w:p w14:paraId="045AC325" w14:textId="77777777" w:rsidR="0061596D" w:rsidRDefault="0061596D" w:rsidP="0061596D">
      <w:pPr>
        <w:pStyle w:val="Heading4"/>
      </w:pPr>
      <w:r w:rsidRPr="00BF1C94">
        <w:lastRenderedPageBreak/>
        <w:t>Criminal Justice</w:t>
      </w:r>
      <w:r>
        <w:t xml:space="preserve"> (Strategic Outcome 2)</w:t>
      </w:r>
    </w:p>
    <w:p w14:paraId="28FD262E" w14:textId="77777777" w:rsidR="0061596D" w:rsidRDefault="0061596D" w:rsidP="0061596D">
      <w:pPr>
        <w:rPr>
          <w:noProof/>
        </w:rPr>
      </w:pPr>
      <w:r>
        <w:rPr>
          <w:noProof/>
        </w:rPr>
        <w:drawing>
          <wp:inline distT="0" distB="0" distL="0" distR="0" wp14:anchorId="252F11D6" wp14:editId="19CC11EA">
            <wp:extent cx="6188710" cy="731520"/>
            <wp:effectExtent l="0" t="0" r="2540" b="0"/>
            <wp:docPr id="167599542" name="Picture 1" descr="Criminal Justice Volume of Cases YTD Comparison Table&#10;This row shows 66,598 cases submitted into criminal justice system in the YTD. PYTD comparisons have not been made as per the following explan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9542" name="Picture 1" descr="Criminal Justice Volume of Cases YTD Comparison Table&#10;This row shows 66,598 cases submitted into criminal justice system in the YTD. PYTD comparisons have not been made as per the following explanation.&#10;"/>
                    <pic:cNvPicPr/>
                  </pic:nvPicPr>
                  <pic:blipFill>
                    <a:blip r:embed="rId53"/>
                    <a:stretch>
                      <a:fillRect/>
                    </a:stretch>
                  </pic:blipFill>
                  <pic:spPr>
                    <a:xfrm>
                      <a:off x="0" y="0"/>
                      <a:ext cx="6188710" cy="731520"/>
                    </a:xfrm>
                    <a:prstGeom prst="rect">
                      <a:avLst/>
                    </a:prstGeom>
                  </pic:spPr>
                </pic:pic>
              </a:graphicData>
            </a:graphic>
          </wp:inline>
        </w:drawing>
      </w:r>
    </w:p>
    <w:p w14:paraId="12AE6DFB" w14:textId="56DA0F08" w:rsidR="0061596D" w:rsidRPr="004D0B76" w:rsidRDefault="0061596D" w:rsidP="0061596D">
      <w:pPr>
        <w:rPr>
          <w:b/>
          <w:bCs/>
          <w:noProof/>
        </w:rPr>
      </w:pPr>
      <w:r w:rsidRPr="004D0B76">
        <w:rPr>
          <w:noProof/>
        </w:rPr>
        <w:t xml:space="preserve">The number of cases is now being provided from the single National Case Management system. A comparison with previous years is not advisable due to the different case management systems which were being tallied to provide the data in earlier years. The structure and components of the new system represent a significant upgrade but means that data is not advisedly comparable for these purposes. This data will be available for comparison from the next </w:t>
      </w:r>
      <w:r w:rsidR="00642DDB">
        <w:rPr>
          <w:noProof/>
        </w:rPr>
        <w:t xml:space="preserve">reporting </w:t>
      </w:r>
      <w:r w:rsidRPr="004D0B76">
        <w:rPr>
          <w:noProof/>
        </w:rPr>
        <w:t>year.</w:t>
      </w:r>
    </w:p>
    <w:p w14:paraId="48BE03A9" w14:textId="77777777" w:rsidR="0061596D" w:rsidRDefault="0061596D" w:rsidP="00E057C4">
      <w:pPr>
        <w:pStyle w:val="Heading4"/>
      </w:pPr>
      <w:r>
        <w:t>Police Custody</w:t>
      </w:r>
    </w:p>
    <w:p w14:paraId="3C9F3D31" w14:textId="77777777" w:rsidR="0061596D" w:rsidRDefault="0061596D" w:rsidP="00E057C4">
      <w:pPr>
        <w:pStyle w:val="Heading4"/>
      </w:pPr>
      <w:r>
        <w:t>Arrested Persons</w:t>
      </w:r>
    </w:p>
    <w:p w14:paraId="43FB4FA0" w14:textId="77777777" w:rsidR="0061596D" w:rsidRDefault="0061596D" w:rsidP="0061596D">
      <w:pPr>
        <w:rPr>
          <w:noProof/>
        </w:rPr>
      </w:pPr>
      <w:r>
        <w:rPr>
          <w:noProof/>
        </w:rPr>
        <w:drawing>
          <wp:inline distT="0" distB="0" distL="0" distR="0" wp14:anchorId="44D80950" wp14:editId="2EEA0A98">
            <wp:extent cx="6188710" cy="721360"/>
            <wp:effectExtent l="0" t="0" r="2540" b="2540"/>
            <wp:docPr id="1890296812" name="Picture 1" descr="Arrested Persons in Custody YTD Comparison Table&#10;This row shows arrested persons were brought into custody 51,333 times PYTD compared to 52,039 YTD (up 1.4%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96812" name="Picture 1" descr="Arrested Persons in Custody YTD Comparison Table&#10;This row shows arrested persons were brought into custody 51,333 times PYTD compared to 52,039 YTD (up 1.4% on last year).&#10;"/>
                    <pic:cNvPicPr/>
                  </pic:nvPicPr>
                  <pic:blipFill>
                    <a:blip r:embed="rId54"/>
                    <a:stretch>
                      <a:fillRect/>
                    </a:stretch>
                  </pic:blipFill>
                  <pic:spPr>
                    <a:xfrm>
                      <a:off x="0" y="0"/>
                      <a:ext cx="6188710" cy="721360"/>
                    </a:xfrm>
                    <a:prstGeom prst="rect">
                      <a:avLst/>
                    </a:prstGeom>
                  </pic:spPr>
                </pic:pic>
              </a:graphicData>
            </a:graphic>
          </wp:inline>
        </w:drawing>
      </w:r>
    </w:p>
    <w:p w14:paraId="1B2A8A43" w14:textId="77777777" w:rsidR="0061596D" w:rsidRPr="00456154" w:rsidRDefault="0061596D" w:rsidP="0061596D">
      <w:pPr>
        <w:rPr>
          <w:noProof/>
        </w:rPr>
      </w:pPr>
      <w:r w:rsidRPr="00456154">
        <w:rPr>
          <w:noProof/>
        </w:rPr>
        <w:t>Custody throughput continues to rise steadily. This is the tenth consecutive quarter where custody throughput has risen since the pandemic. The rise is modest. The continued increase in arrests on warrant may account for some of this increase as there were almost 800 additional warrant arrests during the first two quarters of the year.</w:t>
      </w:r>
    </w:p>
    <w:p w14:paraId="4A06FDB6" w14:textId="77777777" w:rsidR="0061596D" w:rsidRDefault="0061596D" w:rsidP="0061596D">
      <w:pPr>
        <w:rPr>
          <w:noProof/>
        </w:rPr>
      </w:pPr>
      <w:bookmarkStart w:id="77" w:name="_Hlk166663515"/>
      <w:r>
        <w:rPr>
          <w:noProof/>
        </w:rPr>
        <w:drawing>
          <wp:inline distT="0" distB="0" distL="0" distR="0" wp14:anchorId="63A53C76" wp14:editId="550D7380">
            <wp:extent cx="6188710" cy="1055370"/>
            <wp:effectExtent l="0" t="0" r="2540" b="0"/>
            <wp:docPr id="1040102346" name="Picture 1" descr="Arrested Persons Held for Court YTD Comparison Table&#10;The first row shows arrested persons were held for court 22,143 times PYTD compared to 22,364 YTD (up 1.0% on last year). &#10;The second row shows Arrested persons were held for court new case 14,744 times PYTD compared to 14,064 YTD (down 4.6%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02346" name="Picture 1" descr="Arrested Persons Held for Court YTD Comparison Table&#10;The first row shows arrested persons were held for court 22,143 times PYTD compared to 22,364 YTD (up 1.0% on last year). &#10;The second row shows Arrested persons were held for court new case 14,744 times PYTD compared to 14,064 YTD (down 4.6% on last year).&#10;"/>
                    <pic:cNvPicPr/>
                  </pic:nvPicPr>
                  <pic:blipFill>
                    <a:blip r:embed="rId55"/>
                    <a:stretch>
                      <a:fillRect/>
                    </a:stretch>
                  </pic:blipFill>
                  <pic:spPr>
                    <a:xfrm>
                      <a:off x="0" y="0"/>
                      <a:ext cx="6188710" cy="1055370"/>
                    </a:xfrm>
                    <a:prstGeom prst="rect">
                      <a:avLst/>
                    </a:prstGeom>
                  </pic:spPr>
                </pic:pic>
              </a:graphicData>
            </a:graphic>
          </wp:inline>
        </w:drawing>
      </w:r>
    </w:p>
    <w:p w14:paraId="09401300" w14:textId="77777777" w:rsidR="0061596D" w:rsidRDefault="0061596D" w:rsidP="0061596D">
      <w:pPr>
        <w:rPr>
          <w:noProof/>
        </w:rPr>
      </w:pPr>
      <w:r>
        <w:rPr>
          <w:noProof/>
        </w:rPr>
        <w:drawing>
          <wp:inline distT="0" distB="0" distL="0" distR="0" wp14:anchorId="0014E047" wp14:editId="3BECB10D">
            <wp:extent cx="6188710" cy="1066800"/>
            <wp:effectExtent l="0" t="0" r="2540" b="0"/>
            <wp:docPr id="1589810424" name="Picture 1" descr="Arrested Persons Held for Court YTD % Comparison Table&#10;The first row shows the proportion of arrested persons held for court was 43.1% PYTD compared to 43.0% YTD (down 0.1% points on last year).&#10;The second row shows the proportion of arrested persons held for court new case was 28.7% PYTD compared to 27.0% YTD (down 1.7% points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10424" name="Picture 1" descr="Arrested Persons Held for Court YTD % Comparison Table&#10;The first row shows the proportion of arrested persons held for court was 43.1% PYTD compared to 43.0% YTD (down 0.1% points on last year).&#10;The second row shows the proportion of arrested persons held for court new case was 28.7% PYTD compared to 27.0% YTD (down 1.7% points on last year).&#10;"/>
                    <pic:cNvPicPr/>
                  </pic:nvPicPr>
                  <pic:blipFill>
                    <a:blip r:embed="rId56"/>
                    <a:stretch>
                      <a:fillRect/>
                    </a:stretch>
                  </pic:blipFill>
                  <pic:spPr>
                    <a:xfrm>
                      <a:off x="0" y="0"/>
                      <a:ext cx="6188710" cy="1066800"/>
                    </a:xfrm>
                    <a:prstGeom prst="rect">
                      <a:avLst/>
                    </a:prstGeom>
                  </pic:spPr>
                </pic:pic>
              </a:graphicData>
            </a:graphic>
          </wp:inline>
        </w:drawing>
      </w:r>
    </w:p>
    <w:p w14:paraId="7A259F58" w14:textId="6295BA21" w:rsidR="0061596D" w:rsidRPr="00456154" w:rsidRDefault="0061596D" w:rsidP="0061596D">
      <w:pPr>
        <w:rPr>
          <w:noProof/>
        </w:rPr>
      </w:pPr>
      <w:r w:rsidRPr="00456154">
        <w:rPr>
          <w:noProof/>
        </w:rPr>
        <w:t>The number of persons held for court has held broadly static. Workshops are ongoing at present for CJSD Custody Supervisors aimed at reducing the gap between the numbers being held for court and the number for whom COPFS subsequ</w:t>
      </w:r>
      <w:r w:rsidR="00B65AB2">
        <w:rPr>
          <w:noProof/>
        </w:rPr>
        <w:t>e</w:t>
      </w:r>
      <w:r w:rsidRPr="00456154">
        <w:rPr>
          <w:noProof/>
        </w:rPr>
        <w:t>ntly oppose bail. These workshops are running through October into January 2025.</w:t>
      </w:r>
    </w:p>
    <w:p w14:paraId="105EE397" w14:textId="77777777" w:rsidR="0061596D" w:rsidRDefault="0061596D" w:rsidP="0061596D">
      <w:r>
        <w:rPr>
          <w:noProof/>
        </w:rPr>
        <w:lastRenderedPageBreak/>
        <w:drawing>
          <wp:inline distT="0" distB="0" distL="0" distR="0" wp14:anchorId="02510E7A" wp14:editId="7AA51BC2">
            <wp:extent cx="6188710" cy="1062990"/>
            <wp:effectExtent l="0" t="0" r="2540" b="3810"/>
            <wp:docPr id="2076776952" name="Picture 1" descr="Arrested Persons Released/Re-arrested YTD Comparison Table&#10;The first row shows 12,148 arrested persons were released on an undertaking PYTD compared to 12,087 YTD (down 0.5% on last year). &#10;The second row shows 315 persons were re-arrested PYTD compared to 336 YTD (up 6.7%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76952" name="Picture 1" descr="Arrested Persons Released/Re-arrested YTD Comparison Table&#10;The first row shows 12,148 arrested persons were released on an undertaking PYTD compared to 12,087 YTD (down 0.5% on last year). &#10;The second row shows 315 persons were re-arrested PYTD compared to 336 YTD (up 6.7% on last year).&#10;"/>
                    <pic:cNvPicPr/>
                  </pic:nvPicPr>
                  <pic:blipFill>
                    <a:blip r:embed="rId57"/>
                    <a:stretch>
                      <a:fillRect/>
                    </a:stretch>
                  </pic:blipFill>
                  <pic:spPr>
                    <a:xfrm>
                      <a:off x="0" y="0"/>
                      <a:ext cx="6188710" cy="1062990"/>
                    </a:xfrm>
                    <a:prstGeom prst="rect">
                      <a:avLst/>
                    </a:prstGeom>
                  </pic:spPr>
                </pic:pic>
              </a:graphicData>
            </a:graphic>
          </wp:inline>
        </w:drawing>
      </w:r>
    </w:p>
    <w:p w14:paraId="234DCBA2" w14:textId="01CB3AE8" w:rsidR="0061596D" w:rsidRDefault="001D098E" w:rsidP="0061596D">
      <w:r>
        <w:rPr>
          <w:noProof/>
        </w:rPr>
        <w:drawing>
          <wp:inline distT="0" distB="0" distL="0" distR="0" wp14:anchorId="5C9AE37B" wp14:editId="5E84314E">
            <wp:extent cx="6188710" cy="1057910"/>
            <wp:effectExtent l="0" t="0" r="2540" b="8890"/>
            <wp:docPr id="2102015640" name="Picture 1" descr="Arrested Persons Released/Re-arrested YTD % Comparison Table&#10;The first row shows the proportion of arrested persons released on an undertaking was 23.67% PYTD compared to 23.23% YTD (down 0.44% points on last year).&#10;The second row shows the proportion of persons released on investigative liberation was 0.88% PYTD compared to 0.93% YTD (up 0.05%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15640" name="Picture 1" descr="Arrested Persons Released/Re-arrested YTD % Comparison Table&#10;The first row shows the proportion of arrested persons released on an undertaking was 23.67% PYTD compared to 23.23% YTD (down 0.44% points on last year).&#10;The second row shows the proportion of persons released on investigative liberation was 0.88% PYTD compared to 0.93% YTD (up 0.05% on last year).&#10;"/>
                    <pic:cNvPicPr/>
                  </pic:nvPicPr>
                  <pic:blipFill>
                    <a:blip r:embed="rId58"/>
                    <a:stretch>
                      <a:fillRect/>
                    </a:stretch>
                  </pic:blipFill>
                  <pic:spPr>
                    <a:xfrm>
                      <a:off x="0" y="0"/>
                      <a:ext cx="6188710" cy="1057910"/>
                    </a:xfrm>
                    <a:prstGeom prst="rect">
                      <a:avLst/>
                    </a:prstGeom>
                  </pic:spPr>
                </pic:pic>
              </a:graphicData>
            </a:graphic>
          </wp:inline>
        </w:drawing>
      </w:r>
    </w:p>
    <w:bookmarkEnd w:id="77"/>
    <w:p w14:paraId="7A89CD08" w14:textId="77777777" w:rsidR="0061596D" w:rsidRPr="00C6452B" w:rsidRDefault="0061596D" w:rsidP="0061596D">
      <w:pPr>
        <w:rPr>
          <w:b/>
          <w:bCs/>
        </w:rPr>
      </w:pPr>
      <w:r w:rsidRPr="00C6452B">
        <w:t>Use of Investigative Liberation continues to rise and although small as a percentage of total throughput it is a very positive rise which demonstrates the increased use of this investigative tool and corresponds with the now concluded education and communication piece with colleagues in Local Policing Divisions. The use of undertaking remains fairly static.</w:t>
      </w:r>
    </w:p>
    <w:p w14:paraId="138B9B2E" w14:textId="77777777" w:rsidR="0061596D" w:rsidRDefault="0061596D" w:rsidP="00F216FB">
      <w:pPr>
        <w:pStyle w:val="Heading4"/>
      </w:pPr>
      <w:r w:rsidRPr="00F060F9">
        <w:t>Children brought into Police Custody / Held for Court</w:t>
      </w:r>
    </w:p>
    <w:p w14:paraId="6DCCDD25" w14:textId="77777777" w:rsidR="0061596D" w:rsidRDefault="0061596D" w:rsidP="0061596D">
      <w:bookmarkStart w:id="78" w:name="_Police_Direct_Measures"/>
      <w:bookmarkEnd w:id="78"/>
      <w:r>
        <w:rPr>
          <w:noProof/>
        </w:rPr>
        <w:drawing>
          <wp:inline distT="0" distB="0" distL="0" distR="0" wp14:anchorId="268A17DA" wp14:editId="1AC1CAC2">
            <wp:extent cx="6188710" cy="2434590"/>
            <wp:effectExtent l="0" t="0" r="2540" b="3810"/>
            <wp:docPr id="301910110" name="Picture 1" descr="Children Arrested YTD Comparison Table&#10;This first row shows 782 younger children were arrested but not held overnight PYTD compared to 712 YTD (down 9.0% on last year).&#10;The second row shows 145 younger children were arrested and held overnight PYTD compared to 121 YTD (down 16.6% on last year).&#10;The third row shows 22 younger children were held over 24 hours PYTD compared to 17 YTD (down 22.7% on last year).&#10;The fourth row shows 780 older children were arrested but not held overnight PYTD compared to 774 YTD (down 0.8% on last year).&#10;The fifth row shows 285 older children were arrested and held overnight PYTD compared to 328 YTD (up 15.1% on last year).&#10;The sixth row shows 110 older children were held over 24 hours PYTD compared to 94 YTD (down 14.5%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10110" name="Picture 1" descr="Children Arrested YTD Comparison Table&#10;This first row shows 782 younger children were arrested but not held overnight PYTD compared to 712 YTD (down 9.0% on last year).&#10;The second row shows 145 younger children were arrested and held overnight PYTD compared to 121 YTD (down 16.6% on last year).&#10;The third row shows 22 younger children were held over 24 hours PYTD compared to 17 YTD (down 22.7% on last year).&#10;The fourth row shows 780 older children were arrested but not held overnight PYTD compared to 774 YTD (down 0.8% on last year).&#10;The fifth row shows 285 older children were arrested and held overnight PYTD compared to 328 YTD (up 15.1% on last year).&#10;The sixth row shows 110 older children were held over 24 hours PYTD compared to 94 YTD (down 14.5% on last year).&#10;"/>
                    <pic:cNvPicPr/>
                  </pic:nvPicPr>
                  <pic:blipFill>
                    <a:blip r:embed="rId59"/>
                    <a:stretch>
                      <a:fillRect/>
                    </a:stretch>
                  </pic:blipFill>
                  <pic:spPr>
                    <a:xfrm>
                      <a:off x="0" y="0"/>
                      <a:ext cx="6188710" cy="2434590"/>
                    </a:xfrm>
                    <a:prstGeom prst="rect">
                      <a:avLst/>
                    </a:prstGeom>
                  </pic:spPr>
                </pic:pic>
              </a:graphicData>
            </a:graphic>
          </wp:inline>
        </w:drawing>
      </w:r>
    </w:p>
    <w:p w14:paraId="674CBF70" w14:textId="77777777" w:rsidR="0061596D" w:rsidRPr="002F7AD2" w:rsidRDefault="0061596D" w:rsidP="0061596D">
      <w:pPr>
        <w:rPr>
          <w:b/>
          <w:bCs/>
        </w:rPr>
      </w:pPr>
      <w:r w:rsidRPr="002F7AD2">
        <w:t>The number of younger and older children being brought into custody has decreased with positive trends in all categories with the only notable exception of older children being held overnight. Significant scrutiny is routinely placed on any decision to hold a child in custody overnight and this increase will be monitored over the next quarters.</w:t>
      </w:r>
    </w:p>
    <w:p w14:paraId="664073B9" w14:textId="77777777" w:rsidR="00657CD8" w:rsidRDefault="0061596D" w:rsidP="0061596D">
      <w:r w:rsidRPr="002F7AD2">
        <w:t>Work is ongoing with the Children and Young People's Centre for Justice (CYCJ) to develop a programme of work to examine a child's journey through police custody and review any changes that could be made to processes and facilities to improve this.</w:t>
      </w:r>
    </w:p>
    <w:p w14:paraId="5FAE2C78" w14:textId="77777777" w:rsidR="00657CD8" w:rsidRDefault="0061596D" w:rsidP="0061596D">
      <w:r w:rsidRPr="002F7AD2">
        <w:t>An element of the Children's Care and Justice (Scotland) Act 2024 which continues to be implemented in stages, and in line with UNCRC will see all under 18s being treated as children through the Criminal Justice journey.</w:t>
      </w:r>
    </w:p>
    <w:p w14:paraId="06591437" w14:textId="2E71D2BB" w:rsidR="0061596D" w:rsidRPr="002F7AD2" w:rsidRDefault="0061596D" w:rsidP="0061596D">
      <w:pPr>
        <w:rPr>
          <w:b/>
          <w:bCs/>
        </w:rPr>
      </w:pPr>
      <w:r w:rsidRPr="002F7AD2">
        <w:lastRenderedPageBreak/>
        <w:t>This phase of CCJ Act implementation will likely become live as we enter 2025 and will impact how this data can be reported in the next financial year.</w:t>
      </w:r>
    </w:p>
    <w:p w14:paraId="2269445E" w14:textId="77777777" w:rsidR="0061596D" w:rsidRDefault="0061596D" w:rsidP="00F216FB">
      <w:pPr>
        <w:pStyle w:val="Heading4"/>
      </w:pPr>
      <w:r>
        <w:t>Police Direct Measures</w:t>
      </w:r>
    </w:p>
    <w:p w14:paraId="3B70A171" w14:textId="77777777" w:rsidR="0061596D" w:rsidRDefault="0061596D" w:rsidP="0061596D">
      <w:pPr>
        <w:rPr>
          <w:noProof/>
        </w:rPr>
      </w:pPr>
      <w:r>
        <w:rPr>
          <w:noProof/>
        </w:rPr>
        <w:drawing>
          <wp:inline distT="0" distB="0" distL="0" distR="0" wp14:anchorId="178C2FAC" wp14:editId="780D9FFD">
            <wp:extent cx="6188710" cy="1050290"/>
            <wp:effectExtent l="0" t="0" r="2540" b="0"/>
            <wp:docPr id="1615649664" name="Picture 1" descr="Police Direct Measures YTD Comparison Table&#10;The first row shows 2,665 ASB fixed penalty notices were issued PYTD compared to 2,074 YTD (down 22.2% on last year).&#10;The second row shows 11,475 recorded police warnings were issued PYTD compared to 10,089 YTD (down 12.1%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49664" name="Picture 1" descr="Police Direct Measures YTD Comparison Table&#10;The first row shows 2,665 ASB fixed penalty notices were issued PYTD compared to 2,074 YTD (down 22.2% on last year).&#10;The second row shows 11,475 recorded police warnings were issued PYTD compared to 10,089 YTD (down 12.1% on last year).&#10;"/>
                    <pic:cNvPicPr/>
                  </pic:nvPicPr>
                  <pic:blipFill>
                    <a:blip r:embed="rId60"/>
                    <a:stretch>
                      <a:fillRect/>
                    </a:stretch>
                  </pic:blipFill>
                  <pic:spPr>
                    <a:xfrm>
                      <a:off x="0" y="0"/>
                      <a:ext cx="6188710" cy="1050290"/>
                    </a:xfrm>
                    <a:prstGeom prst="rect">
                      <a:avLst/>
                    </a:prstGeom>
                  </pic:spPr>
                </pic:pic>
              </a:graphicData>
            </a:graphic>
          </wp:inline>
        </w:drawing>
      </w:r>
    </w:p>
    <w:p w14:paraId="722403C4" w14:textId="77777777" w:rsidR="00657CD8" w:rsidRDefault="0061596D" w:rsidP="0061596D">
      <w:r w:rsidRPr="0036267D">
        <w:t>In September 2024, a new training package was launched to support officers in the use of direct measures, in line with Lord Advocates Guidelines which were recently updated. This includes upgraded functionality on mobile devices to make the process more efficient.</w:t>
      </w:r>
    </w:p>
    <w:p w14:paraId="5091E203" w14:textId="77777777" w:rsidR="00657CD8" w:rsidRDefault="0061596D" w:rsidP="0061596D">
      <w:r w:rsidRPr="0036267D">
        <w:t>The new process and upgraded LAGs also enable a broader range of offences to be considered under Direct Measures as well as changing the criteria and timescales for issuing.</w:t>
      </w:r>
    </w:p>
    <w:p w14:paraId="6AEE36FA" w14:textId="067F8658" w:rsidR="0061596D" w:rsidRPr="0036267D" w:rsidRDefault="0061596D" w:rsidP="0061596D">
      <w:pPr>
        <w:rPr>
          <w:b/>
          <w:bCs/>
        </w:rPr>
      </w:pPr>
      <w:r w:rsidRPr="0036267D">
        <w:t>Whi</w:t>
      </w:r>
      <w:r w:rsidR="00642DDB">
        <w:t>l</w:t>
      </w:r>
      <w:r w:rsidRPr="0036267D">
        <w:t>st the implementation of this new process was too late to see any effect in Q</w:t>
      </w:r>
      <w:r>
        <w:t>uarter 2</w:t>
      </w:r>
      <w:r w:rsidRPr="0036267D">
        <w:t>,</w:t>
      </w:r>
      <w:r>
        <w:t xml:space="preserve"> </w:t>
      </w:r>
      <w:r w:rsidRPr="0036267D">
        <w:t xml:space="preserve">it is </w:t>
      </w:r>
      <w:r w:rsidR="00B65AB2">
        <w:t>anticipated</w:t>
      </w:r>
      <w:r w:rsidR="00B65AB2" w:rsidRPr="0036267D">
        <w:t xml:space="preserve"> </w:t>
      </w:r>
      <w:r w:rsidRPr="0036267D">
        <w:t>that increases in the use of Direct Measures will be seen going forwards.</w:t>
      </w:r>
    </w:p>
    <w:p w14:paraId="4FC0073C" w14:textId="77777777" w:rsidR="0061596D" w:rsidRDefault="0061596D" w:rsidP="00F216FB">
      <w:pPr>
        <w:pStyle w:val="Heading4"/>
      </w:pPr>
      <w:r>
        <w:t>Vulnerability</w:t>
      </w:r>
    </w:p>
    <w:p w14:paraId="14E270BA" w14:textId="77777777" w:rsidR="0061596D" w:rsidRDefault="0061596D" w:rsidP="0061596D">
      <w:r>
        <w:rPr>
          <w:noProof/>
        </w:rPr>
        <w:drawing>
          <wp:inline distT="0" distB="0" distL="0" distR="0" wp14:anchorId="3DBFAA31" wp14:editId="7CF0E83F">
            <wp:extent cx="6188710" cy="1410335"/>
            <wp:effectExtent l="0" t="0" r="2540" b="0"/>
            <wp:docPr id="1357054711" name="Picture 1" descr="Vulnerability YTD Comparison Table&#10;The first row shows 6,641 persons were arrested with alcohol addiction issues PYTD compared to 7,295 YTD (up 9.8% on last year).&#10;The second row shows 8,597 persons were arrested with drug addiction issues PYTD compared to 8,410 YTD (down 2.2% on last year).&#10;The third row shows 22,367 persons were arrested with mental health issues PYTD compared to 22,252 YTD (down 0.5%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54711" name="Picture 1" descr="Vulnerability YTD Comparison Table&#10;The first row shows 6,641 persons were arrested with alcohol addiction issues PYTD compared to 7,295 YTD (up 9.8% on last year).&#10;The second row shows 8,597 persons were arrested with drug addiction issues PYTD compared to 8,410 YTD (down 2.2% on last year).&#10;The third row shows 22,367 persons were arrested with mental health issues PYTD compared to 22,252 YTD (down 0.5% on last year).&#10;"/>
                    <pic:cNvPicPr/>
                  </pic:nvPicPr>
                  <pic:blipFill>
                    <a:blip r:embed="rId61"/>
                    <a:stretch>
                      <a:fillRect/>
                    </a:stretch>
                  </pic:blipFill>
                  <pic:spPr>
                    <a:xfrm>
                      <a:off x="0" y="0"/>
                      <a:ext cx="6188710" cy="1410335"/>
                    </a:xfrm>
                    <a:prstGeom prst="rect">
                      <a:avLst/>
                    </a:prstGeom>
                  </pic:spPr>
                </pic:pic>
              </a:graphicData>
            </a:graphic>
          </wp:inline>
        </w:drawing>
      </w:r>
    </w:p>
    <w:p w14:paraId="4E0B4093" w14:textId="77777777" w:rsidR="0061596D" w:rsidRDefault="0061596D" w:rsidP="0061596D">
      <w:r>
        <w:rPr>
          <w:noProof/>
        </w:rPr>
        <w:drawing>
          <wp:inline distT="0" distB="0" distL="0" distR="0" wp14:anchorId="410ABFE8" wp14:editId="54710D68">
            <wp:extent cx="6188710" cy="1407160"/>
            <wp:effectExtent l="0" t="0" r="2540" b="2540"/>
            <wp:docPr id="1442210968" name="Picture 1" descr="Vulnerability YTD % Comparison Table&#10;The first row shows the proportion of persons arrested with alcohol addiction issues was 12.9% PYTD compared to 14.0% YTD (up 1.1% points on last year).&#10;The second row shows the proportion of persons arrested with drug addiction issues was 16.8% PYTD compared to 16.2% YTD (down 0.6% points on last year).&#10;The third row shows the proportion of persons arrested with mental health issues was 43.6% PYTD compared to 42.8% YTD (down 0.8% points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10968" name="Picture 1" descr="Vulnerability YTD % Comparison Table&#10;The first row shows the proportion of persons arrested with alcohol addiction issues was 12.9% PYTD compared to 14.0% YTD (up 1.1% points on last year).&#10;The second row shows the proportion of persons arrested with drug addiction issues was 16.8% PYTD compared to 16.2% YTD (down 0.6% points on last year).&#10;The third row shows the proportion of persons arrested with mental health issues was 43.6% PYTD compared to 42.8% YTD (down 0.8% points on last year).&#10;"/>
                    <pic:cNvPicPr/>
                  </pic:nvPicPr>
                  <pic:blipFill>
                    <a:blip r:embed="rId62"/>
                    <a:stretch>
                      <a:fillRect/>
                    </a:stretch>
                  </pic:blipFill>
                  <pic:spPr>
                    <a:xfrm>
                      <a:off x="0" y="0"/>
                      <a:ext cx="6188710" cy="1407160"/>
                    </a:xfrm>
                    <a:prstGeom prst="rect">
                      <a:avLst/>
                    </a:prstGeom>
                  </pic:spPr>
                </pic:pic>
              </a:graphicData>
            </a:graphic>
          </wp:inline>
        </w:drawing>
      </w:r>
    </w:p>
    <w:p w14:paraId="20B9194D" w14:textId="77777777" w:rsidR="0061596D" w:rsidRPr="0054355E" w:rsidRDefault="0061596D" w:rsidP="0061596D">
      <w:r w:rsidRPr="0054355E">
        <w:t>Vulnerability figures are broadly very stable with the only notable exception being another modest but significant increase in the number of individuals declaring current or historic alcohol issues. This has been steadily on the increase for several quarters and is generally fluctuating between the 9% and 12% increase mark.</w:t>
      </w:r>
    </w:p>
    <w:p w14:paraId="780C66E7" w14:textId="77777777" w:rsidR="0061596D" w:rsidRDefault="0061596D" w:rsidP="0061596D">
      <w:pPr>
        <w:rPr>
          <w:noProof/>
        </w:rPr>
      </w:pPr>
      <w:r>
        <w:rPr>
          <w:noProof/>
        </w:rPr>
        <w:drawing>
          <wp:inline distT="0" distB="0" distL="0" distR="0" wp14:anchorId="101C3EBA" wp14:editId="269F2749">
            <wp:extent cx="6188710" cy="711200"/>
            <wp:effectExtent l="0" t="0" r="2540" b="0"/>
            <wp:docPr id="1854097181" name="Picture 1" descr="NHS Partners YTD Comparison Table&#10;This row shows 3,773 people in custody were seen by NHS partners PYTD compared to 3,586 YTD (down 5.0%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97181" name="Picture 1" descr="NHS Partners YTD Comparison Table&#10;This row shows 3,773 people in custody were seen by NHS partners PYTD compared to 3,586 YTD (down 5.0% on last year).&#10;"/>
                    <pic:cNvPicPr/>
                  </pic:nvPicPr>
                  <pic:blipFill>
                    <a:blip r:embed="rId63"/>
                    <a:stretch>
                      <a:fillRect/>
                    </a:stretch>
                  </pic:blipFill>
                  <pic:spPr>
                    <a:xfrm>
                      <a:off x="0" y="0"/>
                      <a:ext cx="6188710" cy="711200"/>
                    </a:xfrm>
                    <a:prstGeom prst="rect">
                      <a:avLst/>
                    </a:prstGeom>
                  </pic:spPr>
                </pic:pic>
              </a:graphicData>
            </a:graphic>
          </wp:inline>
        </w:drawing>
      </w:r>
    </w:p>
    <w:p w14:paraId="0ED49426" w14:textId="77777777" w:rsidR="0061596D" w:rsidRPr="00131CD9" w:rsidRDefault="0061596D" w:rsidP="0061596D">
      <w:pPr>
        <w:rPr>
          <w:noProof/>
        </w:rPr>
      </w:pPr>
      <w:r w:rsidRPr="00131CD9">
        <w:rPr>
          <w:noProof/>
        </w:rPr>
        <w:lastRenderedPageBreak/>
        <w:t>This is the second consecutive decrease in subsequent quarter submissions and it is unclear whether this is being driven by a reduction in referrals to healthcare professionals or a reduction in the number of times an individual in custody requires to be seen. The trend will continue to be monitored.</w:t>
      </w:r>
    </w:p>
    <w:p w14:paraId="0C441C65" w14:textId="77777777" w:rsidR="0061596D" w:rsidRDefault="0061596D" w:rsidP="0061596D">
      <w:pPr>
        <w:rPr>
          <w:noProof/>
        </w:rPr>
      </w:pPr>
      <w:r>
        <w:rPr>
          <w:noProof/>
        </w:rPr>
        <w:drawing>
          <wp:inline distT="0" distB="0" distL="0" distR="0" wp14:anchorId="42B2DA76" wp14:editId="6273AA85">
            <wp:extent cx="6188710" cy="746760"/>
            <wp:effectExtent l="0" t="0" r="2540" b="0"/>
            <wp:docPr id="140982844" name="Picture 1" descr="Referred to Partners YTD Comparison Table&#10;This row shows 598 arrested persons were referred to partners PYTD compared to 448 YTD (down 25.1%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2844" name="Picture 1" descr="Referred to Partners YTD Comparison Table&#10;This row shows 598 arrested persons were referred to partners PYTD compared to 448 YTD (down 25.1% on last year).&#10;"/>
                    <pic:cNvPicPr/>
                  </pic:nvPicPr>
                  <pic:blipFill>
                    <a:blip r:embed="rId64"/>
                    <a:stretch>
                      <a:fillRect/>
                    </a:stretch>
                  </pic:blipFill>
                  <pic:spPr>
                    <a:xfrm>
                      <a:off x="0" y="0"/>
                      <a:ext cx="6188710" cy="746760"/>
                    </a:xfrm>
                    <a:prstGeom prst="rect">
                      <a:avLst/>
                    </a:prstGeom>
                  </pic:spPr>
                </pic:pic>
              </a:graphicData>
            </a:graphic>
          </wp:inline>
        </w:drawing>
      </w:r>
    </w:p>
    <w:p w14:paraId="2C021713" w14:textId="141D7A51" w:rsidR="0061596D" w:rsidRPr="00131CD9" w:rsidRDefault="0061596D" w:rsidP="0061596D">
      <w:pPr>
        <w:rPr>
          <w:b/>
          <w:bCs/>
          <w:noProof/>
        </w:rPr>
      </w:pPr>
      <w:r w:rsidRPr="00131CD9">
        <w:rPr>
          <w:noProof/>
        </w:rPr>
        <w:t>The number of partner referrals YTD has dropped on the previous year however remain</w:t>
      </w:r>
      <w:r w:rsidR="00C61962">
        <w:rPr>
          <w:noProof/>
        </w:rPr>
        <w:t>s</w:t>
      </w:r>
      <w:r w:rsidRPr="00131CD9">
        <w:rPr>
          <w:noProof/>
        </w:rPr>
        <w:t xml:space="preserve"> consistent and steady since Quarter 1. The signing off of the new consent-based referral pathway at the start of July coincided with a re-launch of the arrest referral process. This has involved not only increased internal staff training and awareness raising, but also includes the re-building of existing pathways and the creation of new ones.</w:t>
      </w:r>
    </w:p>
    <w:p w14:paraId="673BF935" w14:textId="79413AC7" w:rsidR="0061596D" w:rsidRPr="00131CD9" w:rsidRDefault="0061596D" w:rsidP="0061596D">
      <w:pPr>
        <w:rPr>
          <w:b/>
          <w:bCs/>
          <w:noProof/>
        </w:rPr>
      </w:pPr>
      <w:r w:rsidRPr="00131CD9">
        <w:rPr>
          <w:noProof/>
        </w:rPr>
        <w:t xml:space="preserve">It is </w:t>
      </w:r>
      <w:r w:rsidR="00B65AB2">
        <w:rPr>
          <w:noProof/>
        </w:rPr>
        <w:t>anticipated</w:t>
      </w:r>
      <w:r w:rsidR="00B65AB2" w:rsidRPr="00131CD9">
        <w:rPr>
          <w:noProof/>
        </w:rPr>
        <w:t xml:space="preserve"> </w:t>
      </w:r>
      <w:r w:rsidRPr="00131CD9">
        <w:rPr>
          <w:noProof/>
        </w:rPr>
        <w:t>that in time, these new pathways, combined with continued education of our staff, will form the foundations of a future rise. In addition, CJSD is also working with support services to increase the number of link workers visiting the cells providing in-reach support which are not always counted within the data due to the requirement for accurate third sector reporting of such referrals.</w:t>
      </w:r>
    </w:p>
    <w:p w14:paraId="02D46722" w14:textId="77777777" w:rsidR="0061596D" w:rsidRDefault="0061596D" w:rsidP="00F216FB">
      <w:pPr>
        <w:pStyle w:val="Heading4"/>
      </w:pPr>
      <w:r>
        <w:t>Productions</w:t>
      </w:r>
    </w:p>
    <w:p w14:paraId="29854703" w14:textId="77777777" w:rsidR="0061596D" w:rsidRDefault="0061596D" w:rsidP="0061596D">
      <w:r>
        <w:rPr>
          <w:noProof/>
        </w:rPr>
        <w:drawing>
          <wp:inline distT="0" distB="0" distL="0" distR="0" wp14:anchorId="0A619F5D" wp14:editId="5E2B6D9A">
            <wp:extent cx="6188710" cy="1410335"/>
            <wp:effectExtent l="0" t="0" r="2540" b="0"/>
            <wp:docPr id="2027471277" name="Picture 1" descr="Productions YTD Comparison&#10;The first row shows 300,180 productions were received PYTD compared to 296,892 YTD (down 1.1% on last year).&#10;The second row shows 149,380 productions were disposed PYTD compared to 140,744 YTD (down 5y.8% on last year).&#10;The third row shows 150,800 productions were accumulated PYTD compared to 156,148 YTD (Up 3.5%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71277" name="Picture 1" descr="Productions YTD Comparison&#10;The first row shows 300,180 productions were received PYTD compared to 296,892 YTD (down 1.1% on last year).&#10;The second row shows 149,380 productions were disposed PYTD compared to 140,744 YTD (down 5y.8% on last year).&#10;The third row shows 150,800 productions were accumulated PYTD compared to 156,148 YTD (Up 3.5% on last year).&#10;"/>
                    <pic:cNvPicPr/>
                  </pic:nvPicPr>
                  <pic:blipFill>
                    <a:blip r:embed="rId65"/>
                    <a:stretch>
                      <a:fillRect/>
                    </a:stretch>
                  </pic:blipFill>
                  <pic:spPr>
                    <a:xfrm>
                      <a:off x="0" y="0"/>
                      <a:ext cx="6188710" cy="1410335"/>
                    </a:xfrm>
                    <a:prstGeom prst="rect">
                      <a:avLst/>
                    </a:prstGeom>
                  </pic:spPr>
                </pic:pic>
              </a:graphicData>
            </a:graphic>
          </wp:inline>
        </w:drawing>
      </w:r>
    </w:p>
    <w:p w14:paraId="790218C1" w14:textId="77777777" w:rsidR="0061596D" w:rsidRDefault="0061596D" w:rsidP="0061596D">
      <w:r>
        <w:rPr>
          <w:noProof/>
        </w:rPr>
        <w:drawing>
          <wp:inline distT="0" distB="0" distL="0" distR="0" wp14:anchorId="43189D56" wp14:editId="2258D7C4">
            <wp:extent cx="6188710" cy="724535"/>
            <wp:effectExtent l="0" t="0" r="2540" b="0"/>
            <wp:docPr id="510669759" name="Picture 1" descr="Productions YTD % Comparison&#10;This row shows 50.2% of productions were accumulated in terms of total received PYTD compared to 52.6% YTD (up 2.4% points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69759" name="Picture 1" descr="Productions YTD % Comparison&#10;This row shows 50.2% of productions were accumulated in terms of total received PYTD compared to 52.6% YTD (up 2.4% points on last year).&#10;"/>
                    <pic:cNvPicPr/>
                  </pic:nvPicPr>
                  <pic:blipFill>
                    <a:blip r:embed="rId66"/>
                    <a:stretch>
                      <a:fillRect/>
                    </a:stretch>
                  </pic:blipFill>
                  <pic:spPr>
                    <a:xfrm>
                      <a:off x="0" y="0"/>
                      <a:ext cx="6188710" cy="724535"/>
                    </a:xfrm>
                    <a:prstGeom prst="rect">
                      <a:avLst/>
                    </a:prstGeom>
                  </pic:spPr>
                </pic:pic>
              </a:graphicData>
            </a:graphic>
          </wp:inline>
        </w:drawing>
      </w:r>
    </w:p>
    <w:p w14:paraId="607C8CB6" w14:textId="77777777" w:rsidR="0061596D" w:rsidRDefault="0061596D" w:rsidP="0061596D">
      <w:pPr>
        <w:spacing w:before="0" w:after="160" w:line="259" w:lineRule="auto"/>
      </w:pPr>
      <w:r w:rsidRPr="008131F7">
        <w:t>A slight decrease in productions received may be directly attributed to the initial rollout of Digital Evidence Sharing Capability (DESC) which is negating the need for the physical retention/lodging of CCTV as productions. Revenue Income Generation (RIG) funds have now been received with permission to recruit two further productions purge teams. This is over and above existing disposal teams. In addition, there is now recruitment ongoing to fill Production Management Officer (PMO) posts.</w:t>
      </w:r>
    </w:p>
    <w:p w14:paraId="16033D40" w14:textId="77777777" w:rsidR="0061596D" w:rsidRDefault="0061596D" w:rsidP="0061596D">
      <w:pPr>
        <w:pStyle w:val="Heading4"/>
      </w:pPr>
      <w:r w:rsidRPr="0087741A">
        <w:t>Public Confidence and Experience of Policing</w:t>
      </w:r>
      <w:r>
        <w:t xml:space="preserve"> (Strategic Outcome 3)</w:t>
      </w:r>
    </w:p>
    <w:p w14:paraId="15517467" w14:textId="39F5F7A6" w:rsidR="0061596D" w:rsidRPr="00C57F90" w:rsidRDefault="0061596D" w:rsidP="0061596D">
      <w:r w:rsidRPr="00C57F90">
        <w:t>Police Scotland continues to measure and enhance understanding of public confidence, trust</w:t>
      </w:r>
      <w:r w:rsidR="00C61962">
        <w:t>,</w:t>
      </w:r>
      <w:r w:rsidRPr="00C57F90">
        <w:t xml:space="preserve"> and user experience within local and specialist policing – delivering engagement and insights for performance, scrutiny, local police planning</w:t>
      </w:r>
      <w:r w:rsidR="00C61962">
        <w:t>,</w:t>
      </w:r>
      <w:r w:rsidRPr="00C57F90">
        <w:t xml:space="preserve"> and service improvement across portfolios.</w:t>
      </w:r>
    </w:p>
    <w:p w14:paraId="70EB5713" w14:textId="2C2A603E" w:rsidR="0061596D" w:rsidRPr="00C57F90" w:rsidRDefault="0061596D" w:rsidP="0061596D">
      <w:r w:rsidRPr="00C57F90">
        <w:lastRenderedPageBreak/>
        <w:t>This work includes keeping public, colleagues</w:t>
      </w:r>
      <w:r w:rsidR="00C61962">
        <w:t>,</w:t>
      </w:r>
      <w:r w:rsidRPr="00C57F90">
        <w:t xml:space="preserve"> and communities engaged and involved with financial and proposed service changes so that the service can continue to police by consent and ensure our policing model meets the needs of communities. Our focus is on high risk, threat and harm in adapting how we do things to connect with communities for enhancing safety and protection.</w:t>
      </w:r>
    </w:p>
    <w:p w14:paraId="0F7874EF" w14:textId="70BAE231" w:rsidR="0061596D" w:rsidRPr="00C57F90" w:rsidRDefault="0061596D" w:rsidP="0061596D">
      <w:r w:rsidRPr="00C57F90">
        <w:t>We are able to adapt our policing approaches, online reporting</w:t>
      </w:r>
      <w:r w:rsidR="00C61962">
        <w:t>,</w:t>
      </w:r>
      <w:r w:rsidRPr="00C57F90">
        <w:t xml:space="preserve"> and communications to address public concerns and respond to individuals and communities fairly and sensitively, with our values and human rights at the centre.</w:t>
      </w:r>
    </w:p>
    <w:p w14:paraId="1B2AA036" w14:textId="77777777" w:rsidR="0061596D" w:rsidRPr="00C57F90" w:rsidRDefault="0061596D" w:rsidP="0061596D">
      <w:r w:rsidRPr="00C57F90">
        <w:t>The areas we know impact public confidence, trust and user experience can be addressed by focusing on:</w:t>
      </w:r>
    </w:p>
    <w:p w14:paraId="4D50F19C" w14:textId="4C84706E" w:rsidR="0061596D" w:rsidRPr="00C57F90" w:rsidRDefault="0061596D" w:rsidP="0061596D">
      <w:pPr>
        <w:pStyle w:val="Bullets"/>
      </w:pPr>
      <w:r w:rsidRPr="00C57F90">
        <w:t>Police culture, values</w:t>
      </w:r>
      <w:r w:rsidR="00C61962">
        <w:t>,</w:t>
      </w:r>
      <w:r w:rsidRPr="00C57F90">
        <w:t xml:space="preserve"> and behaviours particularly how we show up for and support victims and communities.</w:t>
      </w:r>
    </w:p>
    <w:p w14:paraId="3551DE24" w14:textId="0FDA04E7" w:rsidR="0061596D" w:rsidRPr="00C57F90" w:rsidRDefault="0061596D" w:rsidP="0061596D">
      <w:pPr>
        <w:pStyle w:val="Bullets"/>
      </w:pPr>
      <w:r w:rsidRPr="00C57F90">
        <w:t>Ease of contact, accessibility</w:t>
      </w:r>
      <w:r w:rsidR="00C61962">
        <w:t>,</w:t>
      </w:r>
      <w:r w:rsidRPr="00C57F90">
        <w:t xml:space="preserve"> and availability of local and specialist police services.</w:t>
      </w:r>
    </w:p>
    <w:p w14:paraId="20C3D735" w14:textId="77777777" w:rsidR="0061596D" w:rsidRPr="00C57F90" w:rsidRDefault="0061596D" w:rsidP="0061596D">
      <w:pPr>
        <w:pStyle w:val="Bullets"/>
      </w:pPr>
      <w:r w:rsidRPr="00C57F90">
        <w:t>Community safety and resilience through crime prevention and protection.</w:t>
      </w:r>
    </w:p>
    <w:p w14:paraId="1423D4B6" w14:textId="77777777" w:rsidR="0061596D" w:rsidRPr="00C57F90" w:rsidRDefault="0061596D" w:rsidP="0061596D">
      <w:pPr>
        <w:pStyle w:val="Bullets"/>
      </w:pPr>
      <w:r w:rsidRPr="00C57F90">
        <w:t>Keeping communities informed about what policing is doing to manage crime and concerns within local communities.</w:t>
      </w:r>
    </w:p>
    <w:p w14:paraId="3DA41665" w14:textId="77777777" w:rsidR="0061596D" w:rsidRDefault="0061596D" w:rsidP="00F216FB">
      <w:pPr>
        <w:pStyle w:val="Heading4"/>
      </w:pPr>
      <w:r>
        <w:t>Research and Engagement Activities</w:t>
      </w:r>
    </w:p>
    <w:p w14:paraId="5AFBF715" w14:textId="39FADCB2" w:rsidR="0061596D" w:rsidRDefault="0061596D" w:rsidP="0061596D">
      <w:bookmarkStart w:id="79" w:name="_Hlk166664042"/>
      <w:r>
        <w:t>Our continuous national surveys, community engagement</w:t>
      </w:r>
      <w:r w:rsidR="00C61962">
        <w:t>,</w:t>
      </w:r>
      <w:r>
        <w:t xml:space="preserve"> and research enable the service to understand what we do well, what is influencing confidence, and where we need to focus efforts for enhancing the user experience.</w:t>
      </w:r>
    </w:p>
    <w:p w14:paraId="0F42CB08" w14:textId="77777777" w:rsidR="0061596D" w:rsidRDefault="00CE327E" w:rsidP="0061596D">
      <w:hyperlink r:id="rId67" w:history="1">
        <w:r w:rsidR="0061596D" w:rsidRPr="00ED70D3">
          <w:rPr>
            <w:rStyle w:val="Hyperlink"/>
          </w:rPr>
          <w:t>Your Police 2024-25 survey</w:t>
        </w:r>
      </w:hyperlink>
      <w:r w:rsidR="0061596D" w:rsidRPr="00ED70D3">
        <w:t xml:space="preserve"> – our</w:t>
      </w:r>
      <w:r w:rsidR="0061596D">
        <w:t xml:space="preserve"> local police survey is open to anyone who lives in Scotland at any time to share their views and feedback on policing in their area, including feelings of safety. The survey is one of the largest of its kind in the UK, </w:t>
      </w:r>
      <w:r w:rsidR="0061596D" w:rsidRPr="00B505BD">
        <w:t xml:space="preserve">with our </w:t>
      </w:r>
      <w:r w:rsidR="0061596D">
        <w:t>current</w:t>
      </w:r>
      <w:r w:rsidR="0061596D" w:rsidRPr="00B505BD">
        <w:t xml:space="preserve"> survey </w:t>
      </w:r>
      <w:r w:rsidR="0061596D">
        <w:t xml:space="preserve">having </w:t>
      </w:r>
      <w:r w:rsidR="0061596D" w:rsidRPr="00ED70D3">
        <w:t>10,690 total responses</w:t>
      </w:r>
      <w:r w:rsidR="0061596D">
        <w:t xml:space="preserve"> so far</w:t>
      </w:r>
      <w:r w:rsidR="0061596D" w:rsidRPr="00B505BD">
        <w:t xml:space="preserve">. </w:t>
      </w:r>
      <w:r w:rsidR="0061596D">
        <w:t>It is broadly representative of Scotland’s population.</w:t>
      </w:r>
    </w:p>
    <w:p w14:paraId="1073A2B0" w14:textId="10048871" w:rsidR="0061596D" w:rsidRDefault="00CE327E" w:rsidP="0061596D">
      <w:hyperlink r:id="rId68" w:history="1">
        <w:r w:rsidR="0061596D" w:rsidRPr="00B22BC8">
          <w:rPr>
            <w:rStyle w:val="Hyperlink"/>
          </w:rPr>
          <w:t>User Experience Surveys</w:t>
        </w:r>
      </w:hyperlink>
      <w:r w:rsidR="0061596D">
        <w:t xml:space="preserve"> – our independent surveys to measure and enhance people’s experience of contacting Police Scotland. The local policing experience survey is sent via text message to 1</w:t>
      </w:r>
      <w:r w:rsidR="00BD6940">
        <w:t>2</w:t>
      </w:r>
      <w:r w:rsidR="0061596D">
        <w:t xml:space="preserve">,000 </w:t>
      </w:r>
      <w:r w:rsidR="0061596D" w:rsidRPr="00ED70D3">
        <w:t xml:space="preserve">people who have contacted the police each month, 3,912 responses were received in Quarter 2. The methodology for capturing user experience feedback now includes victim-survivors of sexual and domestic crime and hate crime. Our </w:t>
      </w:r>
      <w:hyperlink r:id="rId69" w:history="1">
        <w:r w:rsidR="0061596D" w:rsidRPr="00ED70D3">
          <w:rPr>
            <w:rStyle w:val="Hyperlink"/>
          </w:rPr>
          <w:t>victim-survivor feedback</w:t>
        </w:r>
      </w:hyperlink>
      <w:r w:rsidR="0061596D" w:rsidRPr="00ED70D3">
        <w:t xml:space="preserve"> has received 25 responses in Quarter 2; our hate crime user experience survey received 276 responses. A survey is in development to be launched in Quarter 3 to gather people’s feedback about their experiences of police custody.</w:t>
      </w:r>
    </w:p>
    <w:p w14:paraId="3F34F6EE" w14:textId="77777777" w:rsidR="0061596D" w:rsidRDefault="0061596D" w:rsidP="0061596D">
      <w:r>
        <w:t>Last year we introduced a public Trust Index survey to a broadly representative sample of around 1,000 adults in Scotland each quarter. Respondents are asked about the service to understand their sentiment towards policing and what may be impacting trust in Police Scotland as an institution or brand.</w:t>
      </w:r>
    </w:p>
    <w:p w14:paraId="6DF1DCC1" w14:textId="77777777" w:rsidR="0061596D" w:rsidRDefault="00CE327E" w:rsidP="0061596D">
      <w:hyperlink r:id="rId70" w:history="1">
        <w:r w:rsidR="0061596D" w:rsidRPr="00B22BC8">
          <w:rPr>
            <w:rStyle w:val="Hyperlink"/>
          </w:rPr>
          <w:t>Estates engagement</w:t>
        </w:r>
      </w:hyperlink>
      <w:r w:rsidR="0061596D">
        <w:t xml:space="preserve"> – an open and inclusive national conversation and local building consultations as part of our National Estates, launched on our public Engagement Hub in </w:t>
      </w:r>
      <w:r w:rsidR="0061596D">
        <w:lastRenderedPageBreak/>
        <w:t>December 2023. This will continue to support all proposals within local areas</w:t>
      </w:r>
      <w:r w:rsidR="0061596D" w:rsidRPr="00ED70D3">
        <w:t>. 33 bespoke</w:t>
      </w:r>
      <w:r w:rsidR="0061596D">
        <w:t xml:space="preserve"> local consultations about police buildings have been completed so far since launch.</w:t>
      </w:r>
    </w:p>
    <w:p w14:paraId="72AEBF36" w14:textId="77777777" w:rsidR="0061596D" w:rsidRDefault="0061596D" w:rsidP="0061596D">
      <w:r>
        <w:t xml:space="preserve">Our public </w:t>
      </w:r>
      <w:hyperlink r:id="rId71" w:history="1">
        <w:r>
          <w:rPr>
            <w:rStyle w:val="Hyperlink"/>
          </w:rPr>
          <w:t>E</w:t>
        </w:r>
        <w:r w:rsidRPr="0077530D">
          <w:rPr>
            <w:rStyle w:val="Hyperlink"/>
          </w:rPr>
          <w:t xml:space="preserve">ngagement </w:t>
        </w:r>
        <w:r>
          <w:rPr>
            <w:rStyle w:val="Hyperlink"/>
          </w:rPr>
          <w:t>H</w:t>
        </w:r>
        <w:r w:rsidRPr="0077530D">
          <w:rPr>
            <w:rStyle w:val="Hyperlink"/>
          </w:rPr>
          <w:t>ub</w:t>
        </w:r>
      </w:hyperlink>
      <w:r>
        <w:t xml:space="preserve"> provides visibility and transparency of national and local engagement activities including ‘you said, we listened, we did / doing’ feedback. The engagement hub also shows </w:t>
      </w:r>
      <w:hyperlink r:id="rId72" w:history="1">
        <w:r w:rsidRPr="0077530D">
          <w:rPr>
            <w:rStyle w:val="Hyperlink"/>
          </w:rPr>
          <w:t>case studies of community engagement</w:t>
        </w:r>
      </w:hyperlink>
      <w:r>
        <w:t xml:space="preserve"> within local policing, including police-academic research collaborations, aligned to the drivers of public confidence.</w:t>
      </w:r>
    </w:p>
    <w:bookmarkEnd w:id="79"/>
    <w:p w14:paraId="34EA786C" w14:textId="77777777" w:rsidR="0061596D" w:rsidRDefault="0061596D" w:rsidP="00F216FB">
      <w:pPr>
        <w:pStyle w:val="Heading4"/>
      </w:pPr>
      <w:r>
        <w:t>Key Findings</w:t>
      </w:r>
    </w:p>
    <w:p w14:paraId="221AA02D" w14:textId="76E116D8" w:rsidR="0061596D" w:rsidRPr="00C57F90" w:rsidRDefault="0061596D" w:rsidP="0061596D">
      <w:r w:rsidRPr="00C57F90">
        <w:t>There are differences between confidence, trust</w:t>
      </w:r>
      <w:r w:rsidR="00600DF7">
        <w:t>,</w:t>
      </w:r>
      <w:r w:rsidRPr="00C57F90">
        <w:t xml:space="preserve"> and user experience, which considered together, provide a rich story about how policing is perceived and experienced. Public confidence is about our legitimacy and enables us to continue to police by consent. Public trust is about our brand and reputation, associated with organisational competence i.e. professionalism, responsiveness, reliability</w:t>
      </w:r>
      <w:r w:rsidR="00600DF7">
        <w:t>,</w:t>
      </w:r>
      <w:r w:rsidRPr="00C57F90">
        <w:t xml:space="preserve"> and knowledge. </w:t>
      </w:r>
      <w:proofErr w:type="gramStart"/>
      <w:r w:rsidRPr="00C57F90">
        <w:t>User</w:t>
      </w:r>
      <w:proofErr w:type="gramEnd"/>
      <w:r w:rsidRPr="00C57F90">
        <w:t xml:space="preserve"> experience measures satisfaction with contacting the police across critical elements in the end-to-end journey.</w:t>
      </w:r>
    </w:p>
    <w:p w14:paraId="727FA920" w14:textId="083EF28D" w:rsidR="0061596D" w:rsidRPr="00C57F90" w:rsidRDefault="0061596D" w:rsidP="0061596D">
      <w:r w:rsidRPr="00C57F90">
        <w:t>Public confidence, trust</w:t>
      </w:r>
      <w:r w:rsidR="00600DF7">
        <w:t>,</w:t>
      </w:r>
      <w:r w:rsidRPr="00C57F90">
        <w:t xml:space="preserve"> and user experience are summarised in the following figure. There </w:t>
      </w:r>
      <w:r w:rsidR="00716CFA">
        <w:t>is a m</w:t>
      </w:r>
      <w:r w:rsidRPr="00C57F90">
        <w:t xml:space="preserve">oderate </w:t>
      </w:r>
      <w:r w:rsidR="00716CFA">
        <w:t>in</w:t>
      </w:r>
      <w:r w:rsidRPr="00C57F90">
        <w:t xml:space="preserve">crease </w:t>
      </w:r>
      <w:r w:rsidR="00716CFA">
        <w:t>i</w:t>
      </w:r>
      <w:r w:rsidRPr="00C57F90">
        <w:t>n user experience</w:t>
      </w:r>
      <w:r w:rsidR="00716CFA">
        <w:t xml:space="preserve"> (up 1% point) and a significant increase in</w:t>
      </w:r>
      <w:r w:rsidRPr="00C57F90">
        <w:t xml:space="preserve"> public confidence</w:t>
      </w:r>
      <w:r w:rsidR="00716CFA">
        <w:t xml:space="preserve"> (up 7% points)</w:t>
      </w:r>
      <w:r w:rsidRPr="00C57F90">
        <w:t xml:space="preserve"> on the previous quarter, while public trust </w:t>
      </w:r>
      <w:r w:rsidR="00716CFA">
        <w:t>remains unchanged</w:t>
      </w:r>
      <w:r w:rsidRPr="00C57F90">
        <w:t>. While overall user experience and trust remains broadly consistent over time, public confidence in local policing can fluctuate.</w:t>
      </w:r>
    </w:p>
    <w:p w14:paraId="2688151B" w14:textId="77777777" w:rsidR="0061596D" w:rsidRDefault="0061596D" w:rsidP="0061596D">
      <w:r>
        <w:rPr>
          <w:noProof/>
        </w:rPr>
        <w:drawing>
          <wp:inline distT="0" distB="0" distL="0" distR="0" wp14:anchorId="6D9889B7" wp14:editId="0FE81643">
            <wp:extent cx="5832000" cy="2749550"/>
            <wp:effectExtent l="0" t="0" r="16510" b="12700"/>
            <wp:docPr id="846931566" name="Chart 1" descr="Trust, User Experience &amp; Public Confidence Comparison Graph&#10;This graph shows the Trust Index scores from 10,037 respondents; User Experience satisfaction from 38,613 respondents and Your Police Public Confidence from 41,602 respondents covering the periods: quarter 1 2022/23 through to quarter 2 2024/25.&#10;The blue line shows the trust index score was 80% from 1,001 respondents in Q1 2022/23; 80% from 1,005 respondents in Q2 2022/23; 78% from 1,012 respondents in Q3 2022/23; 75% from 1,004 respondents in Q4 2022/23; 76% from 1,006 respondents in Q1 2023/24; 75% from 1,001 respondents in Q2 2023/24; 78% from 1,002 respondents in Q3 2023/24; 77% from 1,002 respondents in Q4 2023/24; 79% from 1,003 respondents in Q1 2024/25; and 79% from 1,001 respondents in Q2 2024/25.&#10;The orange line shows user experience satisfaction was 67% from 3,752 respondents in Q1 2022/23; 66% from 3,783 respondents in Q2 2022/23; 69% from 3,933 respondents in Q3 2022/23; 70% from 3,908 respondents in Q4 2022/23; 68% from 3,885 respondents in Q1 2023/24; 66% from 3,826 respondents in Q2 2023/24; 69% from 3,935 respondents in Q3 2023/24; 71% from 3,845 respondents in Q4 2023/24; 69% from 3,834 respondents in Q1 2024/25; and 70% from 3,912 respondents in Q2 2024/25.&#10;The grey line shows Your Police public confidence was 51% from 945 respondents in Q1 2022/23; 52% from 10,243 respondents in Q2 2022/23; 49% from 3,781 respondents in Q3 2022/23; 48% from 1,929 respondents in Q4 2022/23; 43% from 275 respondents in Q1 2023/24; 50% from 8,071 respondents in Q2 2023/24; 49% from 2,598 respondents in Q3 2023/24; 50% from 3,755 respondents in Q4 2023/24; 47% from 857 respondents in Q1 2024/25; and 54% from 9,161 respondents in Q2 2024/25.">
              <a:extLst xmlns:a="http://schemas.openxmlformats.org/drawingml/2006/main">
                <a:ext uri="{FF2B5EF4-FFF2-40B4-BE49-F238E27FC236}">
                  <a16:creationId xmlns:a16="http://schemas.microsoft.com/office/drawing/2014/main" id="{E745A335-8542-465F-8EEB-F0AC80519C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D9E769D" w14:textId="77777777" w:rsidR="0061596D" w:rsidRDefault="0061596D" w:rsidP="00F216FB">
      <w:pPr>
        <w:pStyle w:val="Heading4"/>
      </w:pPr>
      <w:r>
        <w:t>Experience of contact and determinants of user satisfaction</w:t>
      </w:r>
    </w:p>
    <w:p w14:paraId="53393BA7" w14:textId="77777777" w:rsidR="0061596D" w:rsidRPr="00C57F90" w:rsidRDefault="0061596D" w:rsidP="0061596D">
      <w:r w:rsidRPr="00C57F90">
        <w:t>Findings show high and stable levels of satisfaction with contact. Figures for Quarter 2 are summarised as follows and where there have been changes on the previous quarter:</w:t>
      </w:r>
    </w:p>
    <w:p w14:paraId="55B24E9B" w14:textId="77777777" w:rsidR="0061596D" w:rsidRPr="00C57F90" w:rsidRDefault="0061596D" w:rsidP="0061596D">
      <w:pPr>
        <w:pStyle w:val="Bullets"/>
      </w:pPr>
      <w:r w:rsidRPr="00C57F90">
        <w:t>Ease of contact – 73% (down 1% point)</w:t>
      </w:r>
    </w:p>
    <w:p w14:paraId="347E8174" w14:textId="77777777" w:rsidR="0061596D" w:rsidRPr="00C57F90" w:rsidRDefault="0061596D" w:rsidP="0061596D">
      <w:pPr>
        <w:pStyle w:val="Bullets"/>
      </w:pPr>
      <w:r w:rsidRPr="00C57F90">
        <w:t>Treatment by staff member during initial contact – 85% (down 1% point)</w:t>
      </w:r>
    </w:p>
    <w:p w14:paraId="7438FD41" w14:textId="77777777" w:rsidR="0061596D" w:rsidRPr="00C57F90" w:rsidRDefault="0061596D" w:rsidP="0061596D">
      <w:pPr>
        <w:pStyle w:val="Bullets"/>
      </w:pPr>
      <w:r w:rsidRPr="00C57F90">
        <w:t>Staff understanding what they needed – 88% (up 1% point)</w:t>
      </w:r>
    </w:p>
    <w:p w14:paraId="495896B5" w14:textId="77777777" w:rsidR="0061596D" w:rsidRPr="00C57F90" w:rsidRDefault="0061596D" w:rsidP="0061596D">
      <w:pPr>
        <w:pStyle w:val="Bullets"/>
      </w:pPr>
      <w:r w:rsidRPr="00C57F90">
        <w:t>Police providing the appropriate response – 66% (up 1% point)</w:t>
      </w:r>
    </w:p>
    <w:p w14:paraId="669A6D67" w14:textId="77777777" w:rsidR="0061596D" w:rsidRPr="00C57F90" w:rsidRDefault="0061596D" w:rsidP="0061596D">
      <w:pPr>
        <w:pStyle w:val="Bullets"/>
      </w:pPr>
      <w:r w:rsidRPr="00C57F90">
        <w:lastRenderedPageBreak/>
        <w:t>Treatment by officers who attended the incident - 83% (up 1% point)</w:t>
      </w:r>
    </w:p>
    <w:p w14:paraId="4D63E57A" w14:textId="77777777" w:rsidR="0061596D" w:rsidRPr="00C57F90" w:rsidRDefault="0061596D" w:rsidP="0061596D">
      <w:pPr>
        <w:pStyle w:val="Bullets"/>
      </w:pPr>
      <w:r w:rsidRPr="00C57F90">
        <w:t>Being adequately informed about progress – 51% (up 1% point).</w:t>
      </w:r>
    </w:p>
    <w:p w14:paraId="0C676A17" w14:textId="2071F391" w:rsidR="0061596D" w:rsidRPr="00C57F90" w:rsidRDefault="0061596D" w:rsidP="0061596D">
      <w:r w:rsidRPr="00C57F90">
        <w:t>Positive experiences are correlated most strongly with receiving an appropriate response, satisfaction with attending officers</w:t>
      </w:r>
      <w:r w:rsidR="00600DF7">
        <w:t>,</w:t>
      </w:r>
      <w:r w:rsidRPr="00C57F90">
        <w:t xml:space="preserve"> and feeling adequately informed about case progress.  Users tell us their experience was positive because contact was ‘easy’ with quick answer times using 101/999; service advisors and attending officers took the time to listen and understand their needs, bringing empathy to interactions.</w:t>
      </w:r>
    </w:p>
    <w:p w14:paraId="765DB5FD" w14:textId="77777777" w:rsidR="0061596D" w:rsidRPr="00C57F90" w:rsidRDefault="0061596D" w:rsidP="0061596D">
      <w:r w:rsidRPr="00C57F90">
        <w:t xml:space="preserve">Since 2020, the percentage of users feeling the police provided the appropriate response to their reported incidents decreased from 70% to 63% in 2023. However, in 2024 this has started to increase to 66% (July </w:t>
      </w:r>
      <w:r>
        <w:t>to</w:t>
      </w:r>
      <w:r w:rsidRPr="00C57F90">
        <w:t xml:space="preserve"> September </w:t>
      </w:r>
      <w:r>
        <w:t>20</w:t>
      </w:r>
      <w:r w:rsidRPr="00C57F90">
        <w:t>24).</w:t>
      </w:r>
    </w:p>
    <w:p w14:paraId="041BAF9D" w14:textId="77777777" w:rsidR="0061596D" w:rsidRPr="00C57F90" w:rsidRDefault="0061596D" w:rsidP="0061596D">
      <w:r w:rsidRPr="00C57F90">
        <w:t>In contrast, satisfaction with attending officers and feeling staff properly understood needs has remained high and stable since 2020, at 83% and 88% respectively.</w:t>
      </w:r>
    </w:p>
    <w:p w14:paraId="5DF89119" w14:textId="77777777" w:rsidR="00F216FB" w:rsidRDefault="0061596D" w:rsidP="0061596D">
      <w:r w:rsidRPr="00C57F90">
        <w:t xml:space="preserve">The percentage of respondents who feel they were adequately informed about the progress made with what they reported has fallen, from a high of 58% in 2020, dropping 3% every year to 49% so far in 2024 (the percentage “Not sure” has remained stable at 7-8%). </w:t>
      </w:r>
    </w:p>
    <w:p w14:paraId="352CC186" w14:textId="6A306751" w:rsidR="0061596D" w:rsidRPr="00C57F90" w:rsidRDefault="0061596D" w:rsidP="0061596D">
      <w:r w:rsidRPr="00C57F90">
        <w:t>Respondents highlight having an expectation for more follow-up information after a crime or incident had been reported to know that it was being dealt with and to avoid having to call again, to avoid putting more strain on the system. The importance of adhering to timeframes in relation to when feedback has been promised was also mentioned by some respondents.</w:t>
      </w:r>
    </w:p>
    <w:p w14:paraId="110900F5" w14:textId="77777777" w:rsidR="0061596D" w:rsidRPr="00C57F90" w:rsidRDefault="0061596D" w:rsidP="0061596D">
      <w:pPr>
        <w:rPr>
          <w:lang w:eastAsia="en-GB"/>
        </w:rPr>
      </w:pPr>
      <w:r w:rsidRPr="00C57F90">
        <w:t>Our Modernised Contact and Engagement (MCE) Programme is developing our capability to enhance ‘self-service’ opportunities as set out within our Public Contact and Engagement Strategy.</w:t>
      </w:r>
    </w:p>
    <w:p w14:paraId="2176713A" w14:textId="77777777" w:rsidR="0061596D" w:rsidRPr="00213922" w:rsidRDefault="0061596D" w:rsidP="00F216FB">
      <w:pPr>
        <w:pStyle w:val="Heading4"/>
      </w:pPr>
      <w:r>
        <w:t>Factors influencing confidence in local policing</w:t>
      </w:r>
    </w:p>
    <w:p w14:paraId="57E276B7" w14:textId="77777777" w:rsidR="0061596D" w:rsidRPr="00213922" w:rsidRDefault="0061596D" w:rsidP="00F216FB">
      <w:r w:rsidRPr="00213922">
        <w:t>We know that confidence is closely affected by how policing is experienced and perceived locally. In Quarter 2, 84% (up 9% points from the previous quarter) of survey respondents reported feeling very safe or fairly safe in their area; 66% (up 9% points) agreed that local police are friendly and approachable; and 35% (up 8% points) agree local police listen to local concerns.</w:t>
      </w:r>
    </w:p>
    <w:p w14:paraId="25F1309C" w14:textId="6C449B80" w:rsidR="0061596D" w:rsidRPr="00213922" w:rsidRDefault="0061596D" w:rsidP="00F216FB">
      <w:r w:rsidRPr="00213922">
        <w:t xml:space="preserve">Pearson correlation analysis in Quarter 2 shows public confidence is associated with further areas measured using our Your Police survey. There is a strong positive relationship between public confidence and people’s perception of police doing a good job in </w:t>
      </w:r>
      <w:r w:rsidR="001C4DB5">
        <w:t xml:space="preserve">their </w:t>
      </w:r>
      <w:r w:rsidRPr="00213922">
        <w:t>local area (r = 0.852). The public’s awareness of police activity in their local area has decreased in Quarter 2, with 9% more respondents agreeing their local police are doing a good job in their local area than in the previous quarter.</w:t>
      </w:r>
    </w:p>
    <w:p w14:paraId="30E29A41" w14:textId="77777777" w:rsidR="0061596D" w:rsidRPr="00213922" w:rsidRDefault="0061596D" w:rsidP="00F216FB">
      <w:r w:rsidRPr="00213922">
        <w:t>Open-text feedback indicates an increased awareness about police activities locally. However, roughly a third of respondents remain not certain about whether the police are addressing local concerns and how they are keeping people safe.</w:t>
      </w:r>
    </w:p>
    <w:p w14:paraId="00447154" w14:textId="77777777" w:rsidR="0061596D" w:rsidRPr="00213922" w:rsidRDefault="0061596D" w:rsidP="00F216FB">
      <w:r w:rsidRPr="00213922">
        <w:t xml:space="preserve">People who self-reported as having recently (in the past 12 months) been a victim or witness of crime (n=3,270) and those living in areas most affected by poverty (n=1,418) </w:t>
      </w:r>
      <w:r w:rsidRPr="00213922">
        <w:lastRenderedPageBreak/>
        <w:t xml:space="preserve">reported the least confidence in local police. When asked what the police could do to support the community more, the key themes for these groups were related to </w:t>
      </w:r>
      <w:r w:rsidRPr="00213922">
        <w:rPr>
          <w:rStyle w:val="Strong"/>
        </w:rPr>
        <w:t>visibility</w:t>
      </w:r>
      <w:r w:rsidRPr="00213922">
        <w:t xml:space="preserve"> and </w:t>
      </w:r>
      <w:r w:rsidRPr="00213922">
        <w:rPr>
          <w:rStyle w:val="Strong"/>
        </w:rPr>
        <w:t>policing and partner responses for tackling crime/harm</w:t>
      </w:r>
      <w:r w:rsidRPr="00213922">
        <w:t xml:space="preserve"> in communities.</w:t>
      </w:r>
    </w:p>
    <w:p w14:paraId="5CBC6274" w14:textId="77777777" w:rsidR="0061596D" w:rsidRDefault="0061596D" w:rsidP="00F216FB">
      <w:pPr>
        <w:pStyle w:val="Heading4"/>
      </w:pPr>
      <w:r>
        <w:t>Public trust score and predictors</w:t>
      </w:r>
    </w:p>
    <w:p w14:paraId="4219EC29" w14:textId="77777777" w:rsidR="0061596D" w:rsidRPr="00213922" w:rsidRDefault="0061596D" w:rsidP="0061596D">
      <w:r w:rsidRPr="00213922">
        <w:t xml:space="preserve">Results have remained relatively stable, between 75%-80% since the Trust Index survey was introduced in June 2022. The Trust Index score in September 2024 was 79%, in line with the previous quarter. The Trust Index score combines data from eight organisational characteristics (professionalism, compassion, responsiveness, reliability, knowledge, experience, trustworthiness, and modernity). </w:t>
      </w:r>
    </w:p>
    <w:p w14:paraId="7785B7F5" w14:textId="4E99C7CF" w:rsidR="0061596D" w:rsidRPr="00213922" w:rsidRDefault="0061596D" w:rsidP="0061596D">
      <w:r w:rsidRPr="00213922">
        <w:t>Most people continue to feel Police Scotland upholds its core values, with the proportion of respondents who felt police uphold the values of Respect (68%), Human Rights (69%), Fairness (68%)</w:t>
      </w:r>
      <w:r w:rsidR="00600DF7">
        <w:t>,</w:t>
      </w:r>
      <w:r w:rsidRPr="00213922">
        <w:t xml:space="preserve"> and Integrity (69%) with a significant increase in protecting human rights compared to this time last year. This will continue to be monitored to identify and understand contributing factors.</w:t>
      </w:r>
    </w:p>
    <w:p w14:paraId="2B0C6AC6" w14:textId="77777777" w:rsidR="00F216FB" w:rsidRDefault="0061596D" w:rsidP="0061596D">
      <w:r w:rsidRPr="00213922">
        <w:t>The Trust Index Survey in Quarter 2 asked 1,001 participants to provide an example of something in the media that had impacted their opinion of policing and Police Scotland in the news recently. The most common response at 38% (n=311) was categorised as “No / None / Unsure / NA etc.” This aligns with what we know from our Your Police survey.</w:t>
      </w:r>
    </w:p>
    <w:p w14:paraId="5FEF34C1" w14:textId="5BB0DC9D" w:rsidR="0061596D" w:rsidRPr="00213922" w:rsidRDefault="0061596D" w:rsidP="0061596D">
      <w:r w:rsidRPr="00213922">
        <w:t>It shows the importance of enhancing local communication and visibility of policing in the physical and online space – demonstrating effective policing, as people often have little awareness of what their local police or Police Scotland are doing in terms of their business-as-usual activities.</w:t>
      </w:r>
    </w:p>
    <w:p w14:paraId="76C7A89A" w14:textId="77777777" w:rsidR="0061596D" w:rsidRPr="00213922" w:rsidRDefault="0061596D" w:rsidP="0061596D">
      <w:r w:rsidRPr="00213922">
        <w:t xml:space="preserve">The second most frequent response (4% n=34) was in reference to positive sentiment about Police Scotland’s approach in response to the anti-immigration riots elsewhere in the UK, and a further 4% (n=32) generally reflecting that Police Scotland was doing a good job. </w:t>
      </w:r>
    </w:p>
    <w:p w14:paraId="649C09A3" w14:textId="77777777" w:rsidR="0061596D" w:rsidRPr="00213922" w:rsidRDefault="0061596D" w:rsidP="0061596D">
      <w:r w:rsidRPr="00213922">
        <w:t xml:space="preserve">Other comments with negative sentiment referenced respondents feeling unsafe in their community, with perceptions of high crime (4% n=32); feeling police don’t investigate or solve crimes (3% n=28); or lack resources or reference budget cuts (3% n=27). </w:t>
      </w:r>
    </w:p>
    <w:p w14:paraId="521D531F" w14:textId="77777777" w:rsidR="00F216FB" w:rsidRDefault="0061596D" w:rsidP="00F22131">
      <w:r w:rsidRPr="00213922">
        <w:t>Other themes with positive sentiment towards trust in policing included references to “Fast / effective response” and “Good communication” (inc. social media); or believe the media to be biased, showing Police Scotland negatively when the issue does not relate to police decision-making or powers (2% n=16).</w:t>
      </w:r>
    </w:p>
    <w:p w14:paraId="2F7D55F5" w14:textId="1668EB73" w:rsidR="00BE4120" w:rsidRDefault="00BE4120" w:rsidP="00F22131">
      <w:r>
        <w:br w:type="page"/>
      </w:r>
    </w:p>
    <w:p w14:paraId="5F9C2CBF" w14:textId="77777777" w:rsidR="00F22131" w:rsidRDefault="00F22131" w:rsidP="00BE4120">
      <w:pPr>
        <w:pStyle w:val="Heading3"/>
      </w:pPr>
      <w:bookmarkStart w:id="80" w:name="_Toc182915893"/>
      <w:r>
        <w:lastRenderedPageBreak/>
        <w:t xml:space="preserve">Vision 2030: </w:t>
      </w:r>
      <w:r w:rsidR="00BE4120">
        <w:t>Support</w:t>
      </w:r>
      <w:r w:rsidR="00752630">
        <w:t>ed</w:t>
      </w:r>
      <w:r w:rsidR="00BE4120">
        <w:t xml:space="preserve"> Victims</w:t>
      </w:r>
      <w:bookmarkEnd w:id="80"/>
    </w:p>
    <w:p w14:paraId="7C44CD71" w14:textId="75D5CAB2" w:rsidR="00A075EE" w:rsidRDefault="00A075EE" w:rsidP="00A075EE">
      <w:bookmarkStart w:id="81" w:name="_Hlk140089786"/>
      <w:r>
        <w:t>The following sections have all been aligned under Vision 2030: Supported Victims for the purposes of this Quarter 2 report. Some business areas however could potentially be aligned under multiple commitments. This will be developed further in future reporting.</w:t>
      </w:r>
    </w:p>
    <w:p w14:paraId="722C8A00" w14:textId="37585127" w:rsidR="0061596D" w:rsidRDefault="0061596D" w:rsidP="0061596D">
      <w:pPr>
        <w:pStyle w:val="Heading4"/>
      </w:pPr>
      <w:r>
        <w:t>Call Handling (Strategic Outcome 2)</w:t>
      </w:r>
    </w:p>
    <w:bookmarkEnd w:id="81"/>
    <w:p w14:paraId="31B70BF3" w14:textId="77777777" w:rsidR="0061596D" w:rsidRPr="00DD1BEC" w:rsidRDefault="0061596D" w:rsidP="0061596D">
      <w:r>
        <w:rPr>
          <w:noProof/>
        </w:rPr>
        <w:drawing>
          <wp:inline distT="0" distB="0" distL="0" distR="0" wp14:anchorId="0B9F8E63" wp14:editId="032630FA">
            <wp:extent cx="6188710" cy="1748155"/>
            <wp:effectExtent l="0" t="0" r="2540" b="4445"/>
            <wp:docPr id="704224071" name="Picture 1" descr="Call Handling YTD 999/101 calls Comparison Table&#10;The first row shows 456,561 calls to 999 PYTD compared to 397,084 YTD (down 13.0% on last year).&#10;The second row shows 722,856 calls to 101 PYTD compared to 696,548 YTD (down 3.6% on last year).&#10;The third row shows 1,179,417 calls to 999/101 combined PYTD compared to 1,093,632 YTD (down 7.3% on last year).&#10;The fourth row shows 343,724 of these calls PYTD resulted in no incident/crime compared to 299,072 YTD (down 13.0% on last yea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24071" name="Picture 1" descr="Call Handling YTD 999/101 calls Comparison Table&#10;The first row shows 456,561 calls to 999 PYTD compared to 397,084 YTD (down 13.0% on last year).&#10;The second row shows 722,856 calls to 101 PYTD compared to 696,548 YTD (down 3.6% on last year).&#10;The third row shows 1,179,417 calls to 999/101 combined PYTD compared to 1,093,632 YTD (down 7.3% on last year).&#10;The fourth row shows 343,724 of these calls PYTD resulted in no incident/crime compared to 299,072 YTD (down 13.0% on last year).&#10;&#10;"/>
                    <pic:cNvPicPr/>
                  </pic:nvPicPr>
                  <pic:blipFill>
                    <a:blip r:embed="rId74"/>
                    <a:stretch>
                      <a:fillRect/>
                    </a:stretch>
                  </pic:blipFill>
                  <pic:spPr>
                    <a:xfrm>
                      <a:off x="0" y="0"/>
                      <a:ext cx="6188710" cy="1748155"/>
                    </a:xfrm>
                    <a:prstGeom prst="rect">
                      <a:avLst/>
                    </a:prstGeom>
                  </pic:spPr>
                </pic:pic>
              </a:graphicData>
            </a:graphic>
          </wp:inline>
        </w:drawing>
      </w:r>
    </w:p>
    <w:p w14:paraId="56523D1F" w14:textId="77777777" w:rsidR="0061596D" w:rsidRPr="00DD1BEC" w:rsidRDefault="0061596D" w:rsidP="0061596D">
      <w:r>
        <w:rPr>
          <w:noProof/>
        </w:rPr>
        <w:drawing>
          <wp:inline distT="0" distB="0" distL="0" distR="0" wp14:anchorId="6B31A575" wp14:editId="6AA57403">
            <wp:extent cx="6188710" cy="723265"/>
            <wp:effectExtent l="0" t="0" r="2540" b="635"/>
            <wp:docPr id="1616779856" name="Picture 1" descr="Call Handling YTD % Comparison Table&#10;This row shows 29.1% of calls resulted in no incident/crime in PYTD compared to 27.3% YTD (down 1.8% points from last yea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79856" name="Picture 1" descr="Call Handling YTD % Comparison Table&#10;This row shows 29.1% of calls resulted in no incident/crime in PYTD compared to 27.3% YTD (down 1.8% points from last year).&#10;&#10;"/>
                    <pic:cNvPicPr/>
                  </pic:nvPicPr>
                  <pic:blipFill>
                    <a:blip r:embed="rId75"/>
                    <a:stretch>
                      <a:fillRect/>
                    </a:stretch>
                  </pic:blipFill>
                  <pic:spPr>
                    <a:xfrm>
                      <a:off x="0" y="0"/>
                      <a:ext cx="6188710" cy="723265"/>
                    </a:xfrm>
                    <a:prstGeom prst="rect">
                      <a:avLst/>
                    </a:prstGeom>
                  </pic:spPr>
                </pic:pic>
              </a:graphicData>
            </a:graphic>
          </wp:inline>
        </w:drawing>
      </w:r>
    </w:p>
    <w:p w14:paraId="2BFFB1EB" w14:textId="77777777" w:rsidR="0061596D" w:rsidRPr="00DD1BEC" w:rsidRDefault="0061596D" w:rsidP="0061596D">
      <w:r>
        <w:rPr>
          <w:noProof/>
        </w:rPr>
        <w:drawing>
          <wp:inline distT="0" distB="0" distL="0" distR="0" wp14:anchorId="68608741" wp14:editId="5A31C598">
            <wp:extent cx="6188710" cy="1064895"/>
            <wp:effectExtent l="0" t="0" r="2540" b="1905"/>
            <wp:docPr id="1731899673" name="Picture 1" descr="Call Handling YTD Answer Time Comparison Table&#10;The first row shows an average of 11 seconds to answer 999 calls PYTD compared to 9 seconds YTD (down 2 seconds on last year).&#10;The second row shows an average of 7 minutes 16 seconds to answer 101 calls PYTD compared to 5 minutes 1 second YTD (down 2 minutes 15 seconds on last yea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99673" name="Picture 1" descr="Call Handling YTD Answer Time Comparison Table&#10;The first row shows an average of 11 seconds to answer 999 calls PYTD compared to 9 seconds YTD (down 2 seconds on last year).&#10;The second row shows an average of 7 minutes 16 seconds to answer 101 calls PYTD compared to 5 minutes 1 second YTD (down 2 minutes 15 seconds on last year). &#10;&#10;"/>
                    <pic:cNvPicPr/>
                  </pic:nvPicPr>
                  <pic:blipFill>
                    <a:blip r:embed="rId76"/>
                    <a:stretch>
                      <a:fillRect/>
                    </a:stretch>
                  </pic:blipFill>
                  <pic:spPr>
                    <a:xfrm>
                      <a:off x="0" y="0"/>
                      <a:ext cx="6188710" cy="1064895"/>
                    </a:xfrm>
                    <a:prstGeom prst="rect">
                      <a:avLst/>
                    </a:prstGeom>
                  </pic:spPr>
                </pic:pic>
              </a:graphicData>
            </a:graphic>
          </wp:inline>
        </w:drawing>
      </w:r>
    </w:p>
    <w:p w14:paraId="0B594E2E" w14:textId="77777777" w:rsidR="0061596D" w:rsidRPr="00DD1BEC" w:rsidRDefault="0061596D" w:rsidP="0061596D">
      <w:r>
        <w:rPr>
          <w:noProof/>
        </w:rPr>
        <w:drawing>
          <wp:inline distT="0" distB="0" distL="0" distR="0" wp14:anchorId="42763129" wp14:editId="4B48BCAC">
            <wp:extent cx="6188710" cy="2754630"/>
            <wp:effectExtent l="0" t="0" r="2540" b="7620"/>
            <wp:docPr id="485530740" name="Picture 1" descr="Call Handling YTD Incident Demand Comparison Table&#10;The first row shows 835,693 total incidents raised PYTD compared to 794,560 YTD (down 4.9% on last year).&#10;The second row shows 91,776 immediate incidents PYTD compared to 93,387 YTD (up 1.8% on last year).&#10;The third row shows 309,135 prompt incidents PYTD compared to 300,832 YTD (down 2.7% on last year).&#10;The fourth row shows 320,477 other resolution incidents PYTD compared to 296,611 YTD (down 7.4% on last year).&#10;The fifth row shows the percentage of incidents that led to a crime was 26.7% PYTD compared to 27.9% YTD (up 1.2% points on last year).&#10;The sixth row shows the percentage of incidents requiring police response was 97.5% PYTD compared to 97.5% YTD (no change from last year).&#10;The seventh row shows 1,891 external force incidents PYTD compared to 1,804 YTD (down 4.6%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30740" name="Picture 1" descr="Call Handling YTD Incident Demand Comparison Table&#10;The first row shows 835,693 total incidents raised PYTD compared to 794,560 YTD (down 4.9% on last year).&#10;The second row shows 91,776 immediate incidents PYTD compared to 93,387 YTD (up 1.8% on last year).&#10;The third row shows 309,135 prompt incidents PYTD compared to 300,832 YTD (down 2.7% on last year).&#10;The fourth row shows 320,477 other resolution incidents PYTD compared to 296,611 YTD (down 7.4% on last year).&#10;The fifth row shows the percentage of incidents that led to a crime was 26.7% PYTD compared to 27.9% YTD (up 1.2% points on last year).&#10;The sixth row shows the percentage of incidents requiring police response was 97.5% PYTD compared to 97.5% YTD (no change from last year).&#10;The seventh row shows 1,891 external force incidents PYTD compared to 1,804 YTD (down 4.6% on last year).&#10;"/>
                    <pic:cNvPicPr/>
                  </pic:nvPicPr>
                  <pic:blipFill>
                    <a:blip r:embed="rId77"/>
                    <a:stretch>
                      <a:fillRect/>
                    </a:stretch>
                  </pic:blipFill>
                  <pic:spPr>
                    <a:xfrm>
                      <a:off x="0" y="0"/>
                      <a:ext cx="6188710" cy="2754630"/>
                    </a:xfrm>
                    <a:prstGeom prst="rect">
                      <a:avLst/>
                    </a:prstGeom>
                  </pic:spPr>
                </pic:pic>
              </a:graphicData>
            </a:graphic>
          </wp:inline>
        </w:drawing>
      </w:r>
    </w:p>
    <w:p w14:paraId="7C18EAF6" w14:textId="0721B9A5" w:rsidR="0061596D" w:rsidRDefault="0061596D" w:rsidP="0061596D">
      <w:r>
        <w:t>During this reporting period, Police Scotland received a total of 1,093,</w:t>
      </w:r>
      <w:r w:rsidR="006D77F6">
        <w:t>63</w:t>
      </w:r>
      <w:r>
        <w:t>2 calls, a decrease of 7.3% when compared to the same period last year. Of these calls, those routed via 999 decreased by 13.</w:t>
      </w:r>
      <w:r w:rsidR="0061629B">
        <w:t>0</w:t>
      </w:r>
      <w:r>
        <w:t xml:space="preserve">% when compared to the same period last year (down from 456,561 to </w:t>
      </w:r>
      <w:r>
        <w:lastRenderedPageBreak/>
        <w:t>397,084). The volume of 101 calls received also decreased, down 3.6% (722,856 to 696,548).</w:t>
      </w:r>
    </w:p>
    <w:p w14:paraId="62FADEAB" w14:textId="4A0ABCE1" w:rsidR="0061596D" w:rsidRDefault="0061596D" w:rsidP="0061596D">
      <w:pPr>
        <w:rPr>
          <w:rFonts w:cs="Arial"/>
        </w:rPr>
      </w:pPr>
      <w:r>
        <w:t>It is worth noting, during this same period in 2023, Police Scotland experienced a significant increase in 999 calls (up 20.5%), a</w:t>
      </w:r>
      <w:r>
        <w:rPr>
          <w:rFonts w:cs="Arial"/>
        </w:rPr>
        <w:t>s such comparisons to 2023 are set against what was a historically high level of demand in 2023 for Police Scotland and all UK Forces.</w:t>
      </w:r>
    </w:p>
    <w:p w14:paraId="4D3D3756" w14:textId="18FCDDCE" w:rsidR="0061596D" w:rsidRDefault="0061596D" w:rsidP="0061596D">
      <w:pPr>
        <w:rPr>
          <w:rFonts w:cs="Calibri"/>
        </w:rPr>
      </w:pPr>
      <w:r>
        <w:rPr>
          <w:rFonts w:cs="Arial"/>
        </w:rPr>
        <w:t xml:space="preserve">When compared to same reporting period in 2022, 999 calls have seen an increase of 4.8% for Police Scotland </w:t>
      </w:r>
      <w:r>
        <w:t>(up from 378,959 to 397,084), a similar increase to the UK average of 5.4%.</w:t>
      </w:r>
    </w:p>
    <w:p w14:paraId="4080C9B1" w14:textId="243407C0" w:rsidR="0061596D" w:rsidRDefault="0061596D" w:rsidP="0061596D">
      <w:pPr>
        <w:rPr>
          <w:rFonts w:cs="Arial"/>
        </w:rPr>
      </w:pPr>
      <w:r>
        <w:t xml:space="preserve">The handling of 999 calls remains the highest priority for Police Scotland’s Service Centre. We aim to achieve an average speed of answer for 999 calls within 10 seconds, a standard for all 44 Police </w:t>
      </w:r>
      <w:r>
        <w:rPr>
          <w:rFonts w:cs="Arial"/>
        </w:rPr>
        <w:t xml:space="preserve">Forces across Scotland, England and Wales. </w:t>
      </w:r>
      <w:r>
        <w:rPr>
          <w:rFonts w:cs="Arial"/>
          <w:color w:val="000000"/>
        </w:rPr>
        <w:t>During the reporting period Police Scotland achieved an average answer time of 9 seconds which is 2 seconds quicker than the same period last year.</w:t>
      </w:r>
    </w:p>
    <w:p w14:paraId="27C650E9" w14:textId="31D74FB2" w:rsidR="0061596D" w:rsidRDefault="0061596D" w:rsidP="0061596D">
      <w:r>
        <w:t>The summer reporting period is traditionally our higher volume months and can cause increases in call volumes impacting on our average speed of answer. This year several factors impacted demand, such as changes to legislation, high-profile sporting events and various festivals across the country.</w:t>
      </w:r>
    </w:p>
    <w:p w14:paraId="7E1ACAAA" w14:textId="2C193682" w:rsidR="0061596D" w:rsidRDefault="0061596D" w:rsidP="0061596D">
      <w:r>
        <w:t xml:space="preserve">In April 2024 the Hate Crime and Public Order (Scotland) Act 2021 came into effect. While having a significant impact on demand across Police Scotland in general, the new Act had a minimal impact on call handling demands due to the facility to report Hate Crime online. In July 2024 an amendment to the Dangerous Dogs Act, controlling ownership of XL Bully dogs also came </w:t>
      </w:r>
      <w:r w:rsidR="00A05843">
        <w:t>into</w:t>
      </w:r>
      <w:r>
        <w:t xml:space="preserve"> effect.</w:t>
      </w:r>
    </w:p>
    <w:p w14:paraId="64DDDBA9" w14:textId="177CCAF9" w:rsidR="0061596D" w:rsidRDefault="0061596D" w:rsidP="0061596D">
      <w:pPr>
        <w:rPr>
          <w:rFonts w:cs="Calibri"/>
        </w:rPr>
      </w:pPr>
      <w:r>
        <w:t>Positively, the average answer time for 101 calls decreased by 2 minutes 15 seconds to 5 minutes 1 seconds. It is important to note that it is the same Service Advisors who handle all 999/101 calls and ContactUs Emails. When there is a surge in 999 calls, we will re-prioritise Service Advisors from Non-Emergency (101) calls and emails as we aim to answer the 999 calls under 10 seconds. Therefore, there is a direct link between any increase in 999 volumes and the average speed of answer for 101 – non-emergency calls.</w:t>
      </w:r>
    </w:p>
    <w:p w14:paraId="2E40BEA2" w14:textId="77777777" w:rsidR="0061596D" w:rsidRDefault="0061596D" w:rsidP="0061596D">
      <w:r>
        <w:t>Our call volumes and trends continue to be monitored closely to ensure that we are prepared for any unexpected changes in demand and maintain average speed of answer times within targets.</w:t>
      </w:r>
    </w:p>
    <w:p w14:paraId="04DE1756" w14:textId="77777777" w:rsidR="0061596D" w:rsidRPr="00F92EF3" w:rsidRDefault="0061596D" w:rsidP="00F42849">
      <w:pPr>
        <w:pStyle w:val="Heading4"/>
        <w:rPr>
          <w:i/>
          <w:iCs/>
        </w:rPr>
      </w:pPr>
      <w:r w:rsidRPr="00F92EF3">
        <w:t>Service Demand – Additional Contact Methods</w:t>
      </w:r>
    </w:p>
    <w:p w14:paraId="5731E07C" w14:textId="0B1F1D7A" w:rsidR="0061596D" w:rsidRDefault="0061596D" w:rsidP="0061596D">
      <w:r>
        <w:t>C3 Division handles additional contacts such as incoming calls from other partner agencies and alarm calls. There ha</w:t>
      </w:r>
      <w:r w:rsidR="00A05843">
        <w:t>s</w:t>
      </w:r>
      <w:r>
        <w:t xml:space="preserve"> been 61,873 of these types of contact for this reporting period, representing a small decrease of around 0.5% in emergency service partner calls and a decrease of around 13.4% in total alarms calls when compared to 2023.</w:t>
      </w:r>
    </w:p>
    <w:p w14:paraId="2F7DCF43" w14:textId="77777777" w:rsidR="0061596D" w:rsidRDefault="0061596D" w:rsidP="0061596D">
      <w:r>
        <w:t>Emergency service partner calls are received via dedicated numbers from Scottish Fire and Rescue, Scottish Ambulance Service, Mountain Rescue, Coast Guard, Mental Health Pathway (NHS 24), OmniCrash and Oil Industry Agency. The reason for such calls varies and each is dealt with by a Service Advisor in the most appropriate manner.</w:t>
      </w:r>
    </w:p>
    <w:p w14:paraId="08850B7E" w14:textId="77777777" w:rsidR="0061596D" w:rsidRDefault="0061596D" w:rsidP="0061596D">
      <w:r>
        <w:lastRenderedPageBreak/>
        <w:t>A total of 24,665 calls were received in response to Media Appeals (Option 1 on 101). The percentage of these calls to 101 remains consistent at 3.5% for the reporting period which is the same for the same period last year.</w:t>
      </w:r>
    </w:p>
    <w:p w14:paraId="7316A58E" w14:textId="6385C5CB" w:rsidR="0061596D" w:rsidRDefault="0061596D" w:rsidP="0061596D">
      <w:r>
        <w:t>A total of 129,</w:t>
      </w:r>
      <w:r w:rsidR="00A05843">
        <w:t>3</w:t>
      </w:r>
      <w:r>
        <w:t>46 calls were received for Incident Updates (Option 3 on 101). The percentage of these calls to 101 has increased slightly to 18.6% for the reporting period compared with 17.9% for the same period last year.</w:t>
      </w:r>
    </w:p>
    <w:p w14:paraId="46DA2F0C" w14:textId="5378205F" w:rsidR="0061596D" w:rsidRDefault="0061596D" w:rsidP="0061596D">
      <w:r>
        <w:t>Efforts continue to signpost callers to more appropriate methods of contact, including via “Contact Us – email facility” and the online reporting facilities via the force website.</w:t>
      </w:r>
    </w:p>
    <w:p w14:paraId="3B4BBFF1" w14:textId="77777777" w:rsidR="0061596D" w:rsidRDefault="0061596D" w:rsidP="0061596D">
      <w:r>
        <w:t>“Contact Us” emails and online reports, for some crime types, can be completed online. Each one of these reports is assessed by a Service Advisor using the Threat Harm Risk Investigation Vulnerability and Engagement (THRIVE) model.</w:t>
      </w:r>
    </w:p>
    <w:p w14:paraId="640F5F8F" w14:textId="1E01E8CC" w:rsidR="0061596D" w:rsidRDefault="0061596D" w:rsidP="0061596D">
      <w:r>
        <w:t>The use of “Contact Us” emails has seen a slight increase in demand different to the reduction in call volumes. Police Scotland received 102,895 emails in this reporting period, a 0.9% increase compared to the same period last year (up from 101,965 to 102,895). Emails are assessed the same way as calls using the THRIVE assessment.</w:t>
      </w:r>
    </w:p>
    <w:p w14:paraId="3CD1D714" w14:textId="77777777" w:rsidR="0061596D" w:rsidRDefault="0061596D" w:rsidP="0061596D">
      <w:r>
        <w:t>Despite this there was an overall 6.2% reduction of contacts handled by the C3 Division when compared with the same period last year.</w:t>
      </w:r>
    </w:p>
    <w:p w14:paraId="5934E3D8" w14:textId="77777777" w:rsidR="0061596D" w:rsidRPr="00E973AD" w:rsidRDefault="0061596D" w:rsidP="00F42849">
      <w:pPr>
        <w:pStyle w:val="Heading4"/>
        <w:rPr>
          <w:i/>
        </w:rPr>
      </w:pPr>
      <w:r w:rsidRPr="00E973AD">
        <w:t>HMICS Assurance Review of Police Scotland Contact Assessment Model (CAM)</w:t>
      </w:r>
    </w:p>
    <w:p w14:paraId="5D15BD8B" w14:textId="6319F8F2" w:rsidR="0061596D" w:rsidRDefault="0061596D" w:rsidP="0061596D">
      <w:pPr>
        <w:spacing w:line="276" w:lineRule="auto"/>
      </w:pPr>
      <w:r>
        <w:t xml:space="preserve">C3 Division are leading Police Scotland’s response to the HMICS Assurance Review of the Contact Assessment Model (CAM). Excellent progress has been made over this quarter with two further recommendations having been discharged by HMICS and three Evidence Submission Forms being authorised by </w:t>
      </w:r>
      <w:r w:rsidR="007944DF">
        <w:t xml:space="preserve">the </w:t>
      </w:r>
      <w:r>
        <w:t>Chief Superintendent for transmission to HMICS for review and consideration for closure.</w:t>
      </w:r>
    </w:p>
    <w:p w14:paraId="261562CD" w14:textId="49550583" w:rsidR="0061596D" w:rsidRDefault="0061596D" w:rsidP="0061596D">
      <w:pPr>
        <w:spacing w:line="276" w:lineRule="auto"/>
      </w:pPr>
      <w:r>
        <w:t xml:space="preserve">The current position, therefore, is that of the </w:t>
      </w:r>
      <w:r w:rsidR="00A11209">
        <w:t>eight</w:t>
      </w:r>
      <w:r>
        <w:t xml:space="preserve"> recommendations contained in the report, </w:t>
      </w:r>
      <w:r w:rsidR="00A11209">
        <w:t>four</w:t>
      </w:r>
      <w:r>
        <w:t xml:space="preserve"> have been discharged, </w:t>
      </w:r>
      <w:r w:rsidR="00A11209">
        <w:t>three</w:t>
      </w:r>
      <w:r>
        <w:t xml:space="preserve"> have been submitted to HMICS for closure, and </w:t>
      </w:r>
      <w:r w:rsidR="00A11209">
        <w:t>one</w:t>
      </w:r>
      <w:r>
        <w:t xml:space="preserve"> final recommendation remains in progress but is at an advanced stage with submission for closure anticipated in the coming weeks.</w:t>
      </w:r>
    </w:p>
    <w:p w14:paraId="1D7C1C21" w14:textId="77777777" w:rsidR="0061596D" w:rsidRPr="00E973AD" w:rsidRDefault="0061596D" w:rsidP="00F42849">
      <w:pPr>
        <w:pStyle w:val="Heading4"/>
        <w:rPr>
          <w:i/>
          <w:iCs/>
        </w:rPr>
      </w:pPr>
      <w:r w:rsidRPr="00E973AD">
        <w:t>HMICS Thematic Inspection of Police Response to Missing Persons in Scotland</w:t>
      </w:r>
    </w:p>
    <w:p w14:paraId="407A9F7D" w14:textId="77777777" w:rsidR="00102BC9" w:rsidRDefault="0061596D" w:rsidP="0061596D">
      <w:pPr>
        <w:spacing w:line="276" w:lineRule="auto"/>
      </w:pPr>
      <w:r>
        <w:t>Following C3’s engagement in supporting the HMICS inspection earlier in 2024, the report has now been published and contains positive feedback in relation to C3.</w:t>
      </w:r>
    </w:p>
    <w:p w14:paraId="477526D3" w14:textId="64A24695" w:rsidR="00102BC9" w:rsidRDefault="0061596D" w:rsidP="0061596D">
      <w:pPr>
        <w:spacing w:line="276" w:lineRule="auto"/>
      </w:pPr>
      <w:r>
        <w:t>The report suggests that Police Scotland should examine the level of access to the National Missing Person Application required by Service Advisors and ensure that they are aware of national and local protocols and their benefits.</w:t>
      </w:r>
    </w:p>
    <w:p w14:paraId="3D4FE6AB" w14:textId="5C76750C" w:rsidR="0061596D" w:rsidRDefault="0061596D" w:rsidP="0061596D">
      <w:pPr>
        <w:spacing w:line="276" w:lineRule="auto"/>
      </w:pPr>
      <w:r>
        <w:t>C3 are part of a Short Life Working Group led by the National Missing Person Unit to support the Police Scotland response to the published report.</w:t>
      </w:r>
    </w:p>
    <w:p w14:paraId="3D510F4E" w14:textId="77777777" w:rsidR="0061596D" w:rsidRPr="0099434C" w:rsidRDefault="0061596D" w:rsidP="00F42849">
      <w:pPr>
        <w:pStyle w:val="Heading4"/>
        <w:rPr>
          <w:i/>
        </w:rPr>
      </w:pPr>
      <w:r w:rsidRPr="0099434C">
        <w:lastRenderedPageBreak/>
        <w:t>Policing Together Campaign</w:t>
      </w:r>
    </w:p>
    <w:p w14:paraId="69C4ED5D" w14:textId="77777777" w:rsidR="0061596D" w:rsidRDefault="0061596D" w:rsidP="0061596D">
      <w:pPr>
        <w:spacing w:line="276" w:lineRule="auto"/>
      </w:pPr>
      <w:r>
        <w:t>C3 ONE is C3 Division’s commitment to Police Scotland’s EDI Strategy - ‘Policing Together’. Its vision is to ensure that C3 Division is welcoming, inclusive, and representative of the communities we serve and that our people demonstrate our values.</w:t>
      </w:r>
    </w:p>
    <w:p w14:paraId="42D2F44F" w14:textId="77777777" w:rsidR="0061596D" w:rsidRDefault="0061596D" w:rsidP="0061596D">
      <w:pPr>
        <w:spacing w:line="276" w:lineRule="auto"/>
      </w:pPr>
      <w:r>
        <w:t>In December 2023, C3 Division launched a four-year plan for Equality, Diversity and Inclusion, aligned with Policing Together, and Police Scotland’s Equality and Diversity Strategy. The C3 ONE strategy was approved at the Policing Together Tactical Group following extensive consultation with the Diversity and Staff Associations.</w:t>
      </w:r>
    </w:p>
    <w:p w14:paraId="31F34747" w14:textId="77777777" w:rsidR="0061596D" w:rsidRDefault="0061596D" w:rsidP="0061596D">
      <w:pPr>
        <w:spacing w:line="276" w:lineRule="auto"/>
      </w:pPr>
      <w:r>
        <w:t>To identify and support work in this area, focus groups are being established to bring together practitioners to share lived experiences and provide direction in to how we progress change under the framework, including the establishment of an Inclusion Advisory Panel.</w:t>
      </w:r>
    </w:p>
    <w:p w14:paraId="5D023AB2" w14:textId="77777777" w:rsidR="0061596D" w:rsidRDefault="0061596D" w:rsidP="0061596D">
      <w:pPr>
        <w:spacing w:line="276" w:lineRule="auto"/>
      </w:pPr>
      <w:r>
        <w:t>Following a successful pilot, C3 Division have implemented Welcome Back Week nationally to provide support to officers and staff who are returning to work after an extended period of absence following maternity leave, paternity leave, adoption leave or a career break.</w:t>
      </w:r>
    </w:p>
    <w:p w14:paraId="39929894" w14:textId="41BAA0A2" w:rsidR="0061596D" w:rsidRDefault="0061596D" w:rsidP="0061596D">
      <w:pPr>
        <w:spacing w:line="276" w:lineRule="auto"/>
      </w:pPr>
      <w:r>
        <w:t>In this quarter, C3 Division have continued working with the British Sign Language (BSL) working group, actively seeking to improve the service delivered to BSL communities and promptly reviewing incidents from which learning could be derived. C3 have published on the C3 ONE intranet site the Deaf and Deafblind BSL Awareness Guidance to support staff.</w:t>
      </w:r>
    </w:p>
    <w:p w14:paraId="47F43E68" w14:textId="77777777" w:rsidR="0061596D" w:rsidRDefault="0061596D" w:rsidP="0061596D">
      <w:pPr>
        <w:spacing w:line="276" w:lineRule="auto"/>
      </w:pPr>
      <w:r>
        <w:t>Further to the C3 ONE framework, C3 Division has hosted a number of events, including a further Neurodiversity drop-in session and events for Mental Health Awareness Week, while collaborating with Policing Together to mark Black History Month.</w:t>
      </w:r>
    </w:p>
    <w:p w14:paraId="000AF10E" w14:textId="77777777" w:rsidR="0061596D" w:rsidRPr="0099434C" w:rsidRDefault="0061596D" w:rsidP="00F42849">
      <w:pPr>
        <w:pStyle w:val="Heading4"/>
        <w:rPr>
          <w:i/>
        </w:rPr>
      </w:pPr>
      <w:r>
        <w:t>Quality Assurance Application</w:t>
      </w:r>
    </w:p>
    <w:p w14:paraId="2AD6C0FA" w14:textId="3822D7D1" w:rsidR="00102BC9" w:rsidRDefault="0061596D" w:rsidP="0061596D">
      <w:pPr>
        <w:spacing w:line="276" w:lineRule="auto"/>
      </w:pPr>
      <w:r>
        <w:t xml:space="preserve">C3 Division Quality Assurance Unit (QAU) have developed and implemented a bespoke, standalone digital solution which allows for the efficient completion of Quality Assurance </w:t>
      </w:r>
      <w:r w:rsidR="00782C55">
        <w:t xml:space="preserve">(QA) </w:t>
      </w:r>
      <w:r>
        <w:t>activity across C3 Division. The team collaborated with Digital Division and created a bespoke digital application at zero cost. This has enabled all operational areas in the Division to achieve 100% completion rates, which demonstrates a significant improvement in completion rates when compared to the previous manual system.</w:t>
      </w:r>
    </w:p>
    <w:p w14:paraId="4573749D" w14:textId="77777777" w:rsidR="00102BC9" w:rsidRDefault="0061596D" w:rsidP="0061596D">
      <w:pPr>
        <w:spacing w:line="276" w:lineRule="auto"/>
      </w:pPr>
      <w:r>
        <w:t>The bespoke application enables immediate feedback with team members, enhancing service delivery and improving performance. The new question set contained in the application focuses heavily on each individual strand of THRIVE, our incident and response risk assessment matrix, which allows for an enhanced analytical review by the QAU at the end of each month.</w:t>
      </w:r>
    </w:p>
    <w:p w14:paraId="3ECE4E53" w14:textId="5EC1A212" w:rsidR="0061596D" w:rsidRDefault="0061596D" w:rsidP="0061596D">
      <w:pPr>
        <w:spacing w:line="276" w:lineRule="auto"/>
      </w:pPr>
      <w:r>
        <w:t>The QAU have also undertaken benchmarking with other forces from England and are looking to enhance our divisional QA provision in the near future by expanding the scope of QA activity to include cross team marking and supervisory QA.</w:t>
      </w:r>
    </w:p>
    <w:p w14:paraId="25E3097E" w14:textId="77777777" w:rsidR="00BE4120" w:rsidRDefault="00BE4120">
      <w:pPr>
        <w:spacing w:before="0" w:after="160" w:line="259" w:lineRule="auto"/>
      </w:pPr>
      <w:r>
        <w:br w:type="page"/>
      </w:r>
    </w:p>
    <w:p w14:paraId="1BFB1894" w14:textId="77777777" w:rsidR="00F22131" w:rsidRDefault="00F22131" w:rsidP="00BE4120">
      <w:pPr>
        <w:pStyle w:val="Heading3"/>
      </w:pPr>
      <w:bookmarkStart w:id="82" w:name="_Toc182915894"/>
      <w:r>
        <w:lastRenderedPageBreak/>
        <w:t xml:space="preserve">Vision 2030: </w:t>
      </w:r>
      <w:r w:rsidR="00BE4120">
        <w:t>Thriving Workforce</w:t>
      </w:r>
      <w:bookmarkEnd w:id="82"/>
    </w:p>
    <w:p w14:paraId="68D614AB" w14:textId="31E74A55" w:rsidR="00A075EE" w:rsidRDefault="00A075EE" w:rsidP="00A075EE">
      <w:r>
        <w:t>The following sections have all been aligned under Vision 2030: Thriving Workforce for the purposes of this Quarter 2 report. Some business areas however could potentially be aligned under multiple commitments. This will be developed further in future reporting.</w:t>
      </w:r>
    </w:p>
    <w:p w14:paraId="622460C0" w14:textId="77777777" w:rsidR="0061596D" w:rsidRPr="000B22B9" w:rsidRDefault="0061596D" w:rsidP="0061596D">
      <w:pPr>
        <w:pStyle w:val="Heading4"/>
      </w:pPr>
      <w:r w:rsidRPr="000B22B9">
        <w:t>C3 Complaints and Allegations</w:t>
      </w:r>
      <w:r>
        <w:t xml:space="preserve"> (Strategic Outcome 2)</w:t>
      </w:r>
    </w:p>
    <w:p w14:paraId="12BA5653" w14:textId="77777777" w:rsidR="00116BB9" w:rsidRDefault="00116BB9" w:rsidP="00B53881">
      <w:pPr>
        <w:rPr>
          <w:color w:val="FF0000"/>
        </w:rPr>
      </w:pPr>
      <w:r>
        <w:rPr>
          <w:noProof/>
        </w:rPr>
        <w:drawing>
          <wp:inline distT="0" distB="0" distL="0" distR="0" wp14:anchorId="415664B4" wp14:editId="7169DF80">
            <wp:extent cx="6188710" cy="2098675"/>
            <wp:effectExtent l="0" t="0" r="2540" b="0"/>
            <wp:docPr id="1571210491" name="Picture 1" descr="C3 Complaints YTD Comparison Table&#10;The first row shows 121 on duty allegations PYTD compared to 119 YTD (down 1.7% on last year).&#10;The second row shows 126 quality of service allegations PYTD compared to 61 YTD (down 51.6% on last year).&#10;The third row shows 34 total allegations closed PYTD compared to 19 YTD (down 44.1% on last year).&#10;The fourth section shows 11.8% of total allegations upheld PYTD compared to 15.8% YTD (up 4.0% points on last year).&#10;The fifth section shows 174 total complaints received PYTD compared to 135 YTD (down 22.4% from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10491" name="Picture 1" descr="C3 Complaints YTD Comparison Table&#10;The first row shows 121 on duty allegations PYTD compared to 119 YTD (down 1.7% on last year).&#10;The second row shows 126 quality of service allegations PYTD compared to 61 YTD (down 51.6% on last year).&#10;The third row shows 34 total allegations closed PYTD compared to 19 YTD (down 44.1% on last year).&#10;The fourth section shows 11.8% of total allegations upheld PYTD compared to 15.8% YTD (up 4.0% points on last year).&#10;The fifth section shows 174 total complaints received PYTD compared to 135 YTD (down 22.4% from last year).&#10;"/>
                    <pic:cNvPicPr/>
                  </pic:nvPicPr>
                  <pic:blipFill>
                    <a:blip r:embed="rId78"/>
                    <a:stretch>
                      <a:fillRect/>
                    </a:stretch>
                  </pic:blipFill>
                  <pic:spPr>
                    <a:xfrm>
                      <a:off x="0" y="0"/>
                      <a:ext cx="6188710" cy="2098675"/>
                    </a:xfrm>
                    <a:prstGeom prst="rect">
                      <a:avLst/>
                    </a:prstGeom>
                  </pic:spPr>
                </pic:pic>
              </a:graphicData>
            </a:graphic>
          </wp:inline>
        </w:drawing>
      </w:r>
    </w:p>
    <w:p w14:paraId="7EDECFDC" w14:textId="4E8D0309" w:rsidR="00B53881" w:rsidRPr="00116BB9" w:rsidRDefault="00B53881" w:rsidP="00B53881">
      <w:r w:rsidRPr="00116BB9">
        <w:t>In total, 73.3% of complaint cases received year-to-date for C3 Division were Frontline Resolved by the PSD National Complaints Assessment and Resolution Unit (NCARU). This rate rises to 74.1% when early and subsequent resolution by PSD or Specialist officers are included. These figures demonstrate that most complaints against C3 Division during this period have been non-criminal and non-serious in nature, with a majority resolved through simple explanation, apology or assurance.</w:t>
      </w:r>
    </w:p>
    <w:p w14:paraId="44D92AD3" w14:textId="50B64718" w:rsidR="00B53881" w:rsidRPr="00116BB9" w:rsidRDefault="00B53881" w:rsidP="00B53881">
      <w:r w:rsidRPr="00116BB9">
        <w:t>The volume of complaints against C3 Division has decreased by 22.4% YTD, with a total of 135 received compared to 174 received PYTD. Decreases are visible across all three Command Areas: North (down 18.5%, 22 fewer cases), East (down 3.8%, 51 fewer cases) and the West (down 34.0%, 62 fewer cases).</w:t>
      </w:r>
    </w:p>
    <w:p w14:paraId="5A4CBCE3" w14:textId="159A04C9" w:rsidR="00B53881" w:rsidRPr="00116BB9" w:rsidRDefault="00B53881" w:rsidP="00B53881">
      <w:r w:rsidRPr="00116BB9">
        <w:t>Incivility (89) remains the most common allegation type. However, those have decreased by 4.3% from the same period in 2023/24, which accounts for four less allegations.</w:t>
      </w:r>
    </w:p>
    <w:p w14:paraId="59E26CE1" w14:textId="150DA543" w:rsidR="009F2B03" w:rsidRPr="00116BB9" w:rsidRDefault="00B53881" w:rsidP="00B53881">
      <w:pPr>
        <w:rPr>
          <w:rFonts w:eastAsiaTheme="majorEastAsia" w:cstheme="majorBidi"/>
          <w:b/>
          <w:sz w:val="28"/>
        </w:rPr>
      </w:pPr>
      <w:r w:rsidRPr="00116BB9">
        <w:t>An increase was identified in relation to Irregularity in Procedure allegations (up four from 2023/24). This is linked to the allegation sub type ‘Provide insufficient explanation regarding police procedures’ (up four from 2023/24). However, this is a low volume category, with five allegations received YTD in total</w:t>
      </w:r>
      <w:r w:rsidR="00F6716C" w:rsidRPr="00116BB9">
        <w:t>.</w:t>
      </w:r>
    </w:p>
    <w:p w14:paraId="2C9B6C1F" w14:textId="77777777" w:rsidR="00752630" w:rsidRDefault="00752630" w:rsidP="00752630">
      <w:pPr>
        <w:pStyle w:val="Heading4"/>
      </w:pPr>
      <w:r>
        <w:lastRenderedPageBreak/>
        <w:t>Complaints about the Police (Strategic Outcome 3)</w:t>
      </w:r>
    </w:p>
    <w:p w14:paraId="1EC506E9" w14:textId="77777777" w:rsidR="004612AE" w:rsidRDefault="004612AE" w:rsidP="00116AA2">
      <w:pPr>
        <w:pStyle w:val="Heading5"/>
        <w:rPr>
          <w:rFonts w:eastAsiaTheme="minorHAnsi" w:cstheme="minorBidi"/>
          <w:b w:val="0"/>
        </w:rPr>
      </w:pPr>
      <w:r>
        <w:rPr>
          <w:noProof/>
        </w:rPr>
        <w:drawing>
          <wp:inline distT="0" distB="0" distL="0" distR="0" wp14:anchorId="713F926A" wp14:editId="6BCCE3AA">
            <wp:extent cx="6188710" cy="1717675"/>
            <wp:effectExtent l="0" t="0" r="2540" b="0"/>
            <wp:docPr id="1551353708" name="Picture 1" descr="Professional Standards YTD Comparison Table&#10;The first row shows 3,847 complaints from members of the public PYTD compared to 3,335 YTD (down 13.3% on last year). The six month sparkline shows 629 complaints in April; 612 complaints in May; a high of 647 complaints in June; 642 complaints in July; 598 complaints in August; and a low of 207 complaints in September 2024.&#10;The second row shows 6,405 allegations from members of the public PYTD compared to 5,483 YTD (down 14.4% on last year). The six month sparkline shows 1,012 allegations in April; 973 allegations in May; 1,071 allegations in June; a high of 1,081 allegations in July; 965 allegations in August; and a low of 381 allegations in September 2024.&#10;The third row shows 80 PIRC complaint handling reviews (CHRs) PYTD compared to 62 YTD (down 22.5% on last year). &#10;The fourth row shows 440 allegations considered by PIRC (CHRs) PYTD compared to 232 YTD (down 47.3% on last year).&#10;The fifth row shows 175 on duty assault allegations referred to PIRC PYTD compared to 212 YTD (up 21.1%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53708" name="Picture 1" descr="Professional Standards YTD Comparison Table&#10;The first row shows 3,847 complaints from members of the public PYTD compared to 3,335 YTD (down 13.3% on last year). The six month sparkline shows 629 complaints in April; 612 complaints in May; a high of 647 complaints in June; 642 complaints in July; 598 complaints in August; and a low of 207 complaints in September 2024.&#10;The second row shows 6,405 allegations from members of the public PYTD compared to 5,483 YTD (down 14.4% on last year). The six month sparkline shows 1,012 allegations in April; 973 allegations in May; 1,071 allegations in June; a high of 1,081 allegations in July; 965 allegations in August; and a low of 381 allegations in September 2024.&#10;The third row shows 80 PIRC complaint handling reviews (CHRs) PYTD compared to 62 YTD (down 22.5% on last year). &#10;The fourth row shows 440 allegations considered by PIRC (CHRs) PYTD compared to 232 YTD (down 47.3% on last year).&#10;The fifth row shows 175 on duty assault allegations referred to PIRC PYTD compared to 212 YTD (up 21.1% on last year).&#10;"/>
                    <pic:cNvPicPr/>
                  </pic:nvPicPr>
                  <pic:blipFill>
                    <a:blip r:embed="rId79"/>
                    <a:stretch>
                      <a:fillRect/>
                    </a:stretch>
                  </pic:blipFill>
                  <pic:spPr>
                    <a:xfrm>
                      <a:off x="0" y="0"/>
                      <a:ext cx="6188710" cy="1717675"/>
                    </a:xfrm>
                    <a:prstGeom prst="rect">
                      <a:avLst/>
                    </a:prstGeom>
                  </pic:spPr>
                </pic:pic>
              </a:graphicData>
            </a:graphic>
          </wp:inline>
        </w:drawing>
      </w:r>
    </w:p>
    <w:p w14:paraId="55F5F03B" w14:textId="6E5A7D1F" w:rsidR="00116AA2" w:rsidRPr="00116AA2" w:rsidRDefault="00116AA2" w:rsidP="00310ECD">
      <w:pPr>
        <w:rPr>
          <w:b/>
        </w:rPr>
      </w:pPr>
      <w:r w:rsidRPr="00116AA2">
        <w:t xml:space="preserve">The total number of complaints from members of the public are down </w:t>
      </w:r>
      <w:r w:rsidR="00AE36B2">
        <w:t>13.3</w:t>
      </w:r>
      <w:r w:rsidRPr="00116AA2">
        <w:t>% (</w:t>
      </w:r>
      <w:r w:rsidR="00AE36B2">
        <w:t>512</w:t>
      </w:r>
      <w:r w:rsidRPr="00116AA2">
        <w:t xml:space="preserve"> fewer complaints) on last year </w:t>
      </w:r>
      <w:r w:rsidR="001D0BCB">
        <w:t>whilst a</w:t>
      </w:r>
      <w:r w:rsidRPr="00116AA2">
        <w:t xml:space="preserve">llegations are down </w:t>
      </w:r>
      <w:r w:rsidR="00AE36B2">
        <w:t>14.4</w:t>
      </w:r>
      <w:r w:rsidRPr="00116AA2">
        <w:t>% (</w:t>
      </w:r>
      <w:r w:rsidR="00AE36B2">
        <w:t>922</w:t>
      </w:r>
      <w:r w:rsidRPr="00116AA2">
        <w:t xml:space="preserve"> fewer allegations) on </w:t>
      </w:r>
      <w:r w:rsidR="001D0BCB">
        <w:t>the same period. The six month sparklines show that the most complaints were received in June 2024 (647 complaints) whilst the most allegations were received in July 2024 (1,081 allegations).</w:t>
      </w:r>
    </w:p>
    <w:p w14:paraId="65B48C0F" w14:textId="77777777" w:rsidR="001D0BCB" w:rsidRDefault="001D0BCB" w:rsidP="00310ECD">
      <w:pPr>
        <w:rPr>
          <w:b/>
        </w:rPr>
      </w:pPr>
      <w:r w:rsidRPr="001D0BCB">
        <w:t>The Professional Standards Department (PSD) has resolved 1,551 complaints (46.5%) by Frontline Resolution (FLR) compared with 52.1% in the same period last year. This includes early resolution and subsequent resolution by PSD / specialist officers.</w:t>
      </w:r>
    </w:p>
    <w:p w14:paraId="55650191" w14:textId="7BD246C5" w:rsidR="001D0BCB" w:rsidRDefault="001D0BCB" w:rsidP="00310ECD">
      <w:pPr>
        <w:rPr>
          <w:b/>
        </w:rPr>
      </w:pPr>
      <w:r w:rsidRPr="001D0BCB">
        <w:t>PIRC submitted 62 Complaint Handling Reviews (CHRs) to Police Scotland for consideration during this period. This notionally equates to 1.9% of all complaints.</w:t>
      </w:r>
    </w:p>
    <w:p w14:paraId="268855A5" w14:textId="77777777" w:rsidR="001D0BCB" w:rsidRDefault="001D0BCB" w:rsidP="00310ECD">
      <w:pPr>
        <w:rPr>
          <w:b/>
        </w:rPr>
      </w:pPr>
      <w:r w:rsidRPr="001D0BCB">
        <w:t>Allegations of On Duty Assault (breaches of Article 3 of the European Convention on Human Rights), plus any associated criminal allegations, are now referred to the PIRC. In total, 212 allegations of On Duty Assault referrals were made to the PIRC during this period (up 21.1% on last year). Of those, 45 are subject to the Police Investigations &amp; Review Commissioner (PIRC) investigation (21.2%). However, as of 01 October 2024, 61 of these referrals are awaiting a decision from PIRC regarding possible investigation. The remaining 106 cases have been marked as no investigation by PIRC.</w:t>
      </w:r>
    </w:p>
    <w:p w14:paraId="101EA2C1" w14:textId="77777777" w:rsidR="001D0BCB" w:rsidRDefault="001D0BCB" w:rsidP="006E76FD">
      <w:pPr>
        <w:rPr>
          <w:b/>
        </w:rPr>
      </w:pPr>
      <w:r>
        <w:rPr>
          <w:noProof/>
        </w:rPr>
        <w:drawing>
          <wp:inline distT="0" distB="0" distL="0" distR="0" wp14:anchorId="1BCC0C1C" wp14:editId="3BEB84AC">
            <wp:extent cx="6188710" cy="887730"/>
            <wp:effectExtent l="0" t="0" r="2540" b="7620"/>
            <wp:docPr id="1610090185" name="Picture 1" descr="Professional Standards Five-Year Comparison Table&#10;The first row shows the five-year mean for complaints from members of the public was 3,510 complaints compared to 3,335 YTD (down 5.0% on five-year mean).&#10;The second row shows the five-year mean for allegations from members of the public was 6,323 allegations compared to 5,483 YTD (down 13.3% on five-year me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90185" name="Picture 1" descr="Professional Standards Five-Year Comparison Table&#10;The first row shows the five-year mean for complaints from members of the public was 3,510 complaints compared to 3,335 YTD (down 5.0% on five-year mean).&#10;The second row shows the five-year mean for allegations from members of the public was 6,323 allegations compared to 5,483 YTD (down 13.3% on five-year mean).&#10;"/>
                    <pic:cNvPicPr/>
                  </pic:nvPicPr>
                  <pic:blipFill>
                    <a:blip r:embed="rId80"/>
                    <a:stretch>
                      <a:fillRect/>
                    </a:stretch>
                  </pic:blipFill>
                  <pic:spPr>
                    <a:xfrm>
                      <a:off x="0" y="0"/>
                      <a:ext cx="6188710" cy="887730"/>
                    </a:xfrm>
                    <a:prstGeom prst="rect">
                      <a:avLst/>
                    </a:prstGeom>
                  </pic:spPr>
                </pic:pic>
              </a:graphicData>
            </a:graphic>
          </wp:inline>
        </w:drawing>
      </w:r>
    </w:p>
    <w:p w14:paraId="408FA502" w14:textId="05B1C6A7" w:rsidR="001D0BCB" w:rsidRPr="00116AA2" w:rsidRDefault="001D0BCB" w:rsidP="006E76FD">
      <w:pPr>
        <w:rPr>
          <w:b/>
        </w:rPr>
      </w:pPr>
      <w:r w:rsidRPr="00116AA2">
        <w:t xml:space="preserve">The total number of complaints from members of the public are down </w:t>
      </w:r>
      <w:r>
        <w:t>5.0</w:t>
      </w:r>
      <w:r w:rsidRPr="00116AA2">
        <w:t>% (1</w:t>
      </w:r>
      <w:r>
        <w:t xml:space="preserve">75 </w:t>
      </w:r>
      <w:r w:rsidRPr="00116AA2">
        <w:t>fewer complaints) on the five-year mean</w:t>
      </w:r>
      <w:r>
        <w:t xml:space="preserve"> whilst the total number of</w:t>
      </w:r>
      <w:r w:rsidRPr="00116AA2">
        <w:t xml:space="preserve"> </w:t>
      </w:r>
      <w:r>
        <w:t>a</w:t>
      </w:r>
      <w:r w:rsidRPr="00116AA2">
        <w:t xml:space="preserve">llegations are down </w:t>
      </w:r>
      <w:r>
        <w:t>14.4</w:t>
      </w:r>
      <w:r w:rsidRPr="00116AA2">
        <w:t>% (</w:t>
      </w:r>
      <w:r>
        <w:t>922</w:t>
      </w:r>
      <w:r w:rsidRPr="00116AA2">
        <w:t xml:space="preserve"> fewer allegations) </w:t>
      </w:r>
      <w:r>
        <w:t>compared to the same period.</w:t>
      </w:r>
    </w:p>
    <w:p w14:paraId="444427A5" w14:textId="77777777" w:rsidR="001D0BCB" w:rsidRDefault="001D0BCB" w:rsidP="006E76FD">
      <w:pPr>
        <w:rPr>
          <w:b/>
        </w:rPr>
      </w:pPr>
      <w:r>
        <w:rPr>
          <w:noProof/>
        </w:rPr>
        <w:drawing>
          <wp:inline distT="0" distB="0" distL="0" distR="0" wp14:anchorId="1AC888A3" wp14:editId="3F641A8F">
            <wp:extent cx="6188710" cy="881380"/>
            <wp:effectExtent l="0" t="0" r="2540" b="0"/>
            <wp:docPr id="1813745032" name="Picture 1" descr="Professional Standards % Comparison Table&#10;The first row shows 14.7% of closed allegations were upheld PYTD compared to 15.8% YTD (up 1.1% points on last year); &#10;The second row shows 62.0% of reviewed allegations were handled to a reasonable standard PYTD compared to 64.2% YTD (up 2.2% points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45032" name="Picture 1" descr="Professional Standards % Comparison Table&#10;The first row shows 14.7% of closed allegations were upheld PYTD compared to 15.8% YTD (up 1.1% points on last year); &#10;The second row shows 62.0% of reviewed allegations were handled to a reasonable standard PYTD compared to 64.2% YTD (up 2.2% points on last year).&#10;"/>
                    <pic:cNvPicPr/>
                  </pic:nvPicPr>
                  <pic:blipFill>
                    <a:blip r:embed="rId81"/>
                    <a:stretch>
                      <a:fillRect/>
                    </a:stretch>
                  </pic:blipFill>
                  <pic:spPr>
                    <a:xfrm>
                      <a:off x="0" y="0"/>
                      <a:ext cx="6188710" cy="881380"/>
                    </a:xfrm>
                    <a:prstGeom prst="rect">
                      <a:avLst/>
                    </a:prstGeom>
                  </pic:spPr>
                </pic:pic>
              </a:graphicData>
            </a:graphic>
          </wp:inline>
        </w:drawing>
      </w:r>
    </w:p>
    <w:p w14:paraId="67F6F7F3" w14:textId="77777777" w:rsidR="001D0BCB" w:rsidRDefault="001D0BCB" w:rsidP="006E76FD">
      <w:pPr>
        <w:rPr>
          <w:b/>
        </w:rPr>
      </w:pPr>
      <w:r w:rsidRPr="001D0BCB">
        <w:t>There were 1,890 allegations attached to completed complaint investigations (criminal and non-criminal) with 15.8% of these being upheld.</w:t>
      </w:r>
    </w:p>
    <w:p w14:paraId="0907D798" w14:textId="77777777" w:rsidR="001D0BCB" w:rsidRDefault="001D0BCB" w:rsidP="006E76FD">
      <w:pPr>
        <w:rPr>
          <w:b/>
        </w:rPr>
      </w:pPr>
      <w:r w:rsidRPr="001D0BCB">
        <w:lastRenderedPageBreak/>
        <w:t>The 62 CHRs received from PIRC considered 232 allegations, with 149 (64.2%) assessed to have been handled to a reasonable standard. This is an increase of 2.2% points from the same period in 2023/24. These CHRs included 71 recommendations.</w:t>
      </w:r>
    </w:p>
    <w:p w14:paraId="7CC682FB" w14:textId="77777777" w:rsidR="001D0BCB" w:rsidRDefault="001D0BCB" w:rsidP="006E76FD">
      <w:pPr>
        <w:rPr>
          <w:b/>
        </w:rPr>
      </w:pPr>
      <w:r>
        <w:rPr>
          <w:noProof/>
        </w:rPr>
        <w:drawing>
          <wp:inline distT="0" distB="0" distL="0" distR="0" wp14:anchorId="7C793D7F" wp14:editId="39C2C72F">
            <wp:extent cx="6188710" cy="3375025"/>
            <wp:effectExtent l="0" t="0" r="2540" b="0"/>
            <wp:docPr id="138808627" name="Picture 1" descr="PIRC Referrals YTD Comparison Table&#10;The first row shows 49 Armed Policing referrals to PIRC PYTD compared to 53 YTD (up 8.2%).&#10;The second row shows 7 crown directed inference of criminality referrals to PIRC PYTD compared to 5 YTD (down 28.6%).&#10;The third row shows 10 death following police contact referrals to PIRC PYTD compared to 3 YTD (down 70.0%).&#10;The fourth row shows 0 death in police custody referrals to PIRC PYTD compared to 1 YTD (up 1 on last year).&#10;The fifth row shows 0 Other – Serious Incident PYTD compared to 0 YTD (no change).&#10;The sixth row shows 14 serious injury following police contact referrals to PIRC PYTD compared to 24 YTD (up 71.4%).&#10;The seventh row shows 31 serious injury in police custody referrals to PIRC PYTD compared to 36 YTD (up 16.1%).&#10;The eighth row shows 51 STO taser discharged referrals to PIRC PYTD compared to 41 YTD (down 19.6%).&#10;The ninth rows shows 162 total referrals to PIRC PYTD compared to 163 YTD (up 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8627" name="Picture 1" descr="PIRC Referrals YTD Comparison Table&#10;The first row shows 49 Armed Policing referrals to PIRC PYTD compared to 53 YTD (up 8.2%).&#10;The second row shows 7 crown directed inference of criminality referrals to PIRC PYTD compared to 5 YTD (down 28.6%).&#10;The third row shows 10 death following police contact referrals to PIRC PYTD compared to 3 YTD (down 70.0%).&#10;The fourth row shows 0 death in police custody referrals to PIRC PYTD compared to 1 YTD (up 1 on last year).&#10;The fifth row shows 0 Other – Serious Incident PYTD compared to 0 YTD (no change).&#10;The sixth row shows 14 serious injury following police contact referrals to PIRC PYTD compared to 24 YTD (up 71.4%).&#10;The seventh row shows 31 serious injury in police custody referrals to PIRC PYTD compared to 36 YTD (up 16.1%).&#10;The eighth row shows 51 STO taser discharged referrals to PIRC PYTD compared to 41 YTD (down 19.6%).&#10;The ninth rows shows 162 total referrals to PIRC PYTD compared to 163 YTD (up 0.6%).&#10;"/>
                    <pic:cNvPicPr/>
                  </pic:nvPicPr>
                  <pic:blipFill>
                    <a:blip r:embed="rId82"/>
                    <a:stretch>
                      <a:fillRect/>
                    </a:stretch>
                  </pic:blipFill>
                  <pic:spPr>
                    <a:xfrm>
                      <a:off x="0" y="0"/>
                      <a:ext cx="6188710" cy="3375025"/>
                    </a:xfrm>
                    <a:prstGeom prst="rect">
                      <a:avLst/>
                    </a:prstGeom>
                  </pic:spPr>
                </pic:pic>
              </a:graphicData>
            </a:graphic>
          </wp:inline>
        </w:drawing>
      </w:r>
    </w:p>
    <w:p w14:paraId="54117F04" w14:textId="320D5D17" w:rsidR="00116AA2" w:rsidRDefault="00116AA2" w:rsidP="006E76FD">
      <w:pPr>
        <w:rPr>
          <w:b/>
        </w:rPr>
      </w:pPr>
      <w:r w:rsidRPr="00116AA2">
        <w:t xml:space="preserve">Statutory referrals to PIRC facilitate independent and transparent scrutiny in relation to serious incidents involving the police. Police Scotland made </w:t>
      </w:r>
      <w:r w:rsidR="00AE36B2">
        <w:t>1</w:t>
      </w:r>
      <w:r w:rsidRPr="00116AA2">
        <w:t>6</w:t>
      </w:r>
      <w:r w:rsidR="00AE36B2">
        <w:t>3</w:t>
      </w:r>
      <w:r w:rsidRPr="00116AA2">
        <w:t xml:space="preserve"> referrals to PIRC resulting in </w:t>
      </w:r>
      <w:r w:rsidR="00AE36B2">
        <w:t>14</w:t>
      </w:r>
      <w:r w:rsidRPr="00116AA2">
        <w:t xml:space="preserve"> investigations (</w:t>
      </w:r>
      <w:r w:rsidR="00AE36B2">
        <w:t>8</w:t>
      </w:r>
      <w:r w:rsidRPr="00116AA2">
        <w:t>.</w:t>
      </w:r>
      <w:r w:rsidR="00AE36B2">
        <w:t>6</w:t>
      </w:r>
      <w:r w:rsidRPr="00116AA2">
        <w:t xml:space="preserve">%). This is a decrease of </w:t>
      </w:r>
      <w:r w:rsidR="00AE36B2">
        <w:t>5.6</w:t>
      </w:r>
      <w:r w:rsidRPr="00116AA2">
        <w:t>% points compared to the same period last year.</w:t>
      </w:r>
    </w:p>
    <w:p w14:paraId="2B40B318" w14:textId="7BEB891C" w:rsidR="003C076E" w:rsidRDefault="003C076E" w:rsidP="006E76FD">
      <w:r>
        <w:t>Referrals increased compared to the PYTD for armed policing (up four referrals), serious injury following police contact (up ten referrals) and serious injury in police custody (up five referrals).</w:t>
      </w:r>
    </w:p>
    <w:p w14:paraId="6982E46B" w14:textId="2BE1F713" w:rsidR="003C076E" w:rsidRDefault="003C076E" w:rsidP="006E76FD">
      <w:r>
        <w:t>Decreases are however noted for crown directed inference of criminality (down two referrals), death following police contact (down seven referrals) and STO taser discharged (down ten referrals) when compared to the same period last year.</w:t>
      </w:r>
    </w:p>
    <w:p w14:paraId="52F2293D" w14:textId="6BB4231E" w:rsidR="003C076E" w:rsidRPr="003C076E" w:rsidRDefault="003C076E" w:rsidP="006E76FD">
      <w:r>
        <w:t>Overall this equates in an increase of one referral to PIRC compared to the PYTD.</w:t>
      </w:r>
    </w:p>
    <w:p w14:paraId="78808C9E" w14:textId="77777777" w:rsidR="003C076E" w:rsidRDefault="003C076E" w:rsidP="006E76FD">
      <w:pPr>
        <w:rPr>
          <w:b/>
        </w:rPr>
      </w:pPr>
      <w:r>
        <w:rPr>
          <w:noProof/>
        </w:rPr>
        <w:drawing>
          <wp:inline distT="0" distB="0" distL="0" distR="0" wp14:anchorId="30F43B64" wp14:editId="4972D29D">
            <wp:extent cx="6188710" cy="1702435"/>
            <wp:effectExtent l="0" t="0" r="2540" b="0"/>
            <wp:docPr id="70738635" name="Picture 1" descr="PSD Investigations YTD Comparison Table&#10;The first row shows 41 PSD misconduct/gross misconduct investigations PYTD compared to 56 YTD (up 36.6%).&#10;The second row shows 144 PSD misconduct no investigation PYTD compared to 128 YTD (down 11.1%).&#10;The third row shows 70 PSD no misconduct PYTD compared to 40 YTD (down 42.9%).&#10;The fourth row shows 255 total PSD preliminary conduct assessments PYTD compared to 224 YTD (down 1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8635" name="Picture 1" descr="PSD Investigations YTD Comparison Table&#10;The first row shows 41 PSD misconduct/gross misconduct investigations PYTD compared to 56 YTD (up 36.6%).&#10;The second row shows 144 PSD misconduct no investigation PYTD compared to 128 YTD (down 11.1%).&#10;The third row shows 70 PSD no misconduct PYTD compared to 40 YTD (down 42.9%).&#10;The fourth row shows 255 total PSD preliminary conduct assessments PYTD compared to 224 YTD (down 12.2%).&#10;"/>
                    <pic:cNvPicPr/>
                  </pic:nvPicPr>
                  <pic:blipFill>
                    <a:blip r:embed="rId83"/>
                    <a:stretch>
                      <a:fillRect/>
                    </a:stretch>
                  </pic:blipFill>
                  <pic:spPr>
                    <a:xfrm>
                      <a:off x="0" y="0"/>
                      <a:ext cx="6188710" cy="1702435"/>
                    </a:xfrm>
                    <a:prstGeom prst="rect">
                      <a:avLst/>
                    </a:prstGeom>
                  </pic:spPr>
                </pic:pic>
              </a:graphicData>
            </a:graphic>
          </wp:inline>
        </w:drawing>
      </w:r>
    </w:p>
    <w:p w14:paraId="6F4CF87A" w14:textId="245FCBED" w:rsidR="00681B69" w:rsidRPr="00116AA2" w:rsidRDefault="00116AA2" w:rsidP="006E76FD">
      <w:pPr>
        <w:rPr>
          <w:b/>
        </w:rPr>
      </w:pPr>
      <w:r w:rsidRPr="00116AA2">
        <w:lastRenderedPageBreak/>
        <w:t xml:space="preserve">There were </w:t>
      </w:r>
      <w:r w:rsidR="003C076E">
        <w:t>2</w:t>
      </w:r>
      <w:r w:rsidRPr="00116AA2">
        <w:t xml:space="preserve">24 preliminary conduct assessments undertaken YTD which is </w:t>
      </w:r>
      <w:r w:rsidR="003C076E">
        <w:t>down 12.2</w:t>
      </w:r>
      <w:r w:rsidRPr="00116AA2">
        <w:t>% (</w:t>
      </w:r>
      <w:r w:rsidR="003C076E">
        <w:t>31 fewer</w:t>
      </w:r>
      <w:r w:rsidRPr="00116AA2">
        <w:t xml:space="preserve"> assessments) on the same period last year. </w:t>
      </w:r>
      <w:r w:rsidR="003C076E">
        <w:t>56</w:t>
      </w:r>
      <w:r w:rsidRPr="00116AA2">
        <w:t xml:space="preserve"> assessments</w:t>
      </w:r>
      <w:r w:rsidR="003C076E">
        <w:t xml:space="preserve"> (25.0%)</w:t>
      </w:r>
      <w:r w:rsidRPr="00116AA2">
        <w:t xml:space="preserve"> have required a misconduct/gross misconduct investigation</w:t>
      </w:r>
      <w:r w:rsidR="003C076E">
        <w:t>, this is up 15 investigations (36.6%) compared to last year. T</w:t>
      </w:r>
      <w:r w:rsidRPr="00116AA2">
        <w:t xml:space="preserve">he remaining assessments </w:t>
      </w:r>
      <w:r w:rsidR="003C076E">
        <w:t xml:space="preserve">resulted in </w:t>
      </w:r>
      <w:r w:rsidRPr="00116AA2">
        <w:t>either misconduct – no investigation (</w:t>
      </w:r>
      <w:r w:rsidR="003C076E">
        <w:t>128)</w:t>
      </w:r>
      <w:r w:rsidRPr="00116AA2">
        <w:t xml:space="preserve"> or no misconduct (</w:t>
      </w:r>
      <w:r w:rsidR="003C076E">
        <w:t>40</w:t>
      </w:r>
      <w:r w:rsidRPr="00116AA2">
        <w:t>)</w:t>
      </w:r>
      <w:r w:rsidR="00681B69" w:rsidRPr="00116AA2">
        <w:t>.</w:t>
      </w:r>
    </w:p>
    <w:p w14:paraId="1B32FC46" w14:textId="526E5F5B" w:rsidR="00752630" w:rsidRDefault="00752630" w:rsidP="006E76FD">
      <w:pPr>
        <w:pStyle w:val="Heading4"/>
      </w:pPr>
      <w:r w:rsidRPr="00797A7A">
        <w:t>PSD Disseminated Learning during this Quarter</w:t>
      </w:r>
    </w:p>
    <w:p w14:paraId="1DB0BB97" w14:textId="77777777" w:rsidR="00116AA2" w:rsidRPr="00116AA2" w:rsidRDefault="00116AA2" w:rsidP="00116AA2">
      <w:r w:rsidRPr="00116AA2">
        <w:t>PSD is committed to promoting a culture of organisational and individual learning. Learning from CHRs and other sources are disseminated through bulletins, individual feedback and used to inform training packages. This learning can therefore influence and improve our service.</w:t>
      </w:r>
    </w:p>
    <w:p w14:paraId="20193FA9" w14:textId="77777777" w:rsidR="00116AA2" w:rsidRPr="00116AA2" w:rsidRDefault="00116AA2" w:rsidP="00116AA2">
      <w:r w:rsidRPr="00116AA2">
        <w:t>In the last quarter, PSD has disseminated learning from a variety of incidents. The following learning outcomes are of particular note:</w:t>
      </w:r>
    </w:p>
    <w:p w14:paraId="03AC0BE4" w14:textId="617219FF" w:rsidR="00116AA2" w:rsidRPr="00116AA2" w:rsidRDefault="00212026" w:rsidP="00212026">
      <w:pPr>
        <w:pStyle w:val="Bullets"/>
      </w:pPr>
      <w:r>
        <w:t xml:space="preserve">Dog </w:t>
      </w:r>
      <w:r w:rsidRPr="00212026">
        <w:t>Handlers on mobile patrol, carry and have immediate access to specialist equipment within their vehicles to immediately deploy in such circumstances, to avoid any unnecessary delays in such high-risk incidents. Police Scotland should consider drafting a protocol that establishes procedures for contacting a veterinary surgeon or other appropriate authority to attend such incidents and provide viable options for the safe management of dangerous animals</w:t>
      </w:r>
      <w:r w:rsidR="00116AA2" w:rsidRPr="00116AA2">
        <w:t>.</w:t>
      </w:r>
    </w:p>
    <w:p w14:paraId="6FECFBB0" w14:textId="700CBF81" w:rsidR="00752630" w:rsidRPr="00116AA2" w:rsidRDefault="00212026" w:rsidP="00212026">
      <w:pPr>
        <w:pStyle w:val="Bullets"/>
        <w:rPr>
          <w:rFonts w:eastAsiaTheme="majorEastAsia" w:cstheme="majorBidi"/>
          <w:b/>
          <w:sz w:val="28"/>
        </w:rPr>
      </w:pPr>
      <w:r>
        <w:t>In the absence of guidance within national Covert Policing manuals in relation to the identification of plain clothes officers when deployed during armed operations, Police Scotland should consider drafting specific guidance that stipulates the requirement to carry out dynamic risk assessments in such circumstances and mirrors guidelines set out within both the Armed Policing Operations Standard Operating Procedures and National Police Firearms Training Curriculum (NPFTC), specifically: ‘Officers deployed in plain clothes at a firearms incident need to be clearly identifiable as police officers’ ‘Plain clothed officers who are unarmed will be issued with a high visibility (bright yellow) baseball cap with police markings’ ‘If plain clothed officers are deployed to provide observations or visual containment this information, their deployment positions and any subsequent changes must be clearly and unambiguously relayed to firearms officers and the TFC. This is especially important on any occasion where plain clothes officers do not have possession of the approved high visibility ‘Police’ baseball caps’. Any decision to deviate from this should be recorded and a rationale provided</w:t>
      </w:r>
      <w:r w:rsidR="00F6716C" w:rsidRPr="00116AA2">
        <w:t>.</w:t>
      </w:r>
    </w:p>
    <w:p w14:paraId="3391AF4D" w14:textId="77777777" w:rsidR="00752630" w:rsidRDefault="00752630" w:rsidP="00752630">
      <w:pPr>
        <w:pStyle w:val="Heading4"/>
      </w:pPr>
      <w:r w:rsidRPr="000F0BB8">
        <w:t>Assaults on Police Officers and Police Staff</w:t>
      </w:r>
      <w:r>
        <w:t xml:space="preserve"> (Strategic Outcome 4)</w:t>
      </w:r>
    </w:p>
    <w:p w14:paraId="76FEE19B" w14:textId="77777777" w:rsidR="00752630" w:rsidRDefault="00752630" w:rsidP="00752630">
      <w:pPr>
        <w:rPr>
          <w:noProof/>
        </w:rPr>
      </w:pPr>
      <w:r>
        <w:rPr>
          <w:noProof/>
        </w:rPr>
        <w:drawing>
          <wp:inline distT="0" distB="0" distL="0" distR="0" wp14:anchorId="044DCEBF" wp14:editId="38011FDF">
            <wp:extent cx="6188710" cy="1181100"/>
            <wp:effectExtent l="0" t="0" r="2540" b="0"/>
            <wp:docPr id="508287280" name="Picture 1" descr="Assaults on Police Officers/Police Staff YTD Comparison Table&#10;The first row shows 3,508 assaults of emergency workers (police officer/staff) offences PYTD compared to 3,815 YTD (up 8.8% on last year). The six month sparkline shows 595 assaults in April; 644 assaults in May; a low of 572 assaults in June; 668 assaults in July; a high of 684 assaults in August and 652 assaults in September 2024.&#10;The second row shows 12 assault RIDDORS PYTD compared to 26 YTD (up 116.7% on last year).&#10;The third row shows 0.9 assault RIDDORS per 1k employment PYTD compared to 2.1 YTD (up 133.3% on last yea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87280" name="Picture 1" descr="Assaults on Police Officers/Police Staff YTD Comparison Table&#10;The first row shows 3,508 assaults of emergency workers (police officer/staff) offences PYTD compared to 3,815 YTD (up 8.8% on last year). The six month sparkline shows 595 assaults in April; 644 assaults in May; a low of 572 assaults in June; 668 assaults in July; a high of 684 assaults in August and 652 assaults in September 2024.&#10;The second row shows 12 assault RIDDORS PYTD compared to 26 YTD (up 116.7% on last year).&#10;The third row shows 0.9 assault RIDDORS per 1k employment PYTD compared to 2.1 YTD (up 133.3% on last year).&#10;&#10;"/>
                    <pic:cNvPicPr/>
                  </pic:nvPicPr>
                  <pic:blipFill>
                    <a:blip r:embed="rId84"/>
                    <a:stretch>
                      <a:fillRect/>
                    </a:stretch>
                  </pic:blipFill>
                  <pic:spPr>
                    <a:xfrm>
                      <a:off x="0" y="0"/>
                      <a:ext cx="6188710" cy="1181100"/>
                    </a:xfrm>
                    <a:prstGeom prst="rect">
                      <a:avLst/>
                    </a:prstGeom>
                  </pic:spPr>
                </pic:pic>
              </a:graphicData>
            </a:graphic>
          </wp:inline>
        </w:drawing>
      </w:r>
    </w:p>
    <w:p w14:paraId="2B21DFD6" w14:textId="77777777" w:rsidR="00752630" w:rsidRDefault="00752630" w:rsidP="00752630">
      <w:pPr>
        <w:rPr>
          <w:noProof/>
        </w:rPr>
      </w:pPr>
      <w:r>
        <w:rPr>
          <w:noProof/>
        </w:rPr>
        <w:lastRenderedPageBreak/>
        <w:drawing>
          <wp:inline distT="0" distB="0" distL="0" distR="0" wp14:anchorId="1E30877A" wp14:editId="46CA2884">
            <wp:extent cx="6188710" cy="884555"/>
            <wp:effectExtent l="0" t="0" r="2540" b="0"/>
            <wp:docPr id="2021927901" name="Picture 1" descr="Assaults on Police Officers/Police Staff Five-Year Comparison Table&#10;The first row shows the five-year mean for assaults of emergency workers (police officer/staff) offences was 3,779.0 compared to 3,815 YTD (up 1.0% on five-year mean). The five-year sparkline shows a high of 3,822 assaults in 2020/21; 3,794 assaults in 2021/22; a low of 3,424 assaults in 2022/23; 3,508 assaults in 2023/24; and 3,815 assaults in 2024/25 YTD.&#10;The second row shows the five-year mean for number of assault RIDDORS is 19.4 PYTD compared to 26 YTD (up 34.0% on five-year me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27901" name="Picture 1" descr="Assaults on Police Officers/Police Staff Five-Year Comparison Table&#10;The first row shows the five-year mean for assaults of emergency workers (police officer/staff) offences was 3,779.0 compared to 3,815 YTD (up 1.0% on five-year mean). The five-year sparkline shows a high of 3,822 assaults in 2020/21; 3,794 assaults in 2021/22; a low of 3,424 assaults in 2022/23; 3,508 assaults in 2023/24; and 3,815 assaults in 2024/25 YTD.&#10;The second row shows the five-year mean for number of assault RIDDORS is 19.4 PYTD compared to 26 YTD (up 34.0% on five-year mean).&#10;"/>
                    <pic:cNvPicPr/>
                  </pic:nvPicPr>
                  <pic:blipFill>
                    <a:blip r:embed="rId85"/>
                    <a:stretch>
                      <a:fillRect/>
                    </a:stretch>
                  </pic:blipFill>
                  <pic:spPr>
                    <a:xfrm>
                      <a:off x="0" y="0"/>
                      <a:ext cx="6188710" cy="884555"/>
                    </a:xfrm>
                    <a:prstGeom prst="rect">
                      <a:avLst/>
                    </a:prstGeom>
                  </pic:spPr>
                </pic:pic>
              </a:graphicData>
            </a:graphic>
          </wp:inline>
        </w:drawing>
      </w:r>
    </w:p>
    <w:p w14:paraId="4D94D734" w14:textId="77777777" w:rsidR="00752630" w:rsidRDefault="00752630" w:rsidP="00752630">
      <w:pPr>
        <w:rPr>
          <w:noProof/>
        </w:rPr>
      </w:pPr>
      <w:r>
        <w:rPr>
          <w:noProof/>
        </w:rPr>
        <w:drawing>
          <wp:inline distT="0" distB="0" distL="0" distR="0" wp14:anchorId="54811795" wp14:editId="7772A1D7">
            <wp:extent cx="6188710" cy="610870"/>
            <wp:effectExtent l="0" t="0" r="2540" b="0"/>
            <wp:docPr id="1288610235" name="Picture 1" descr="Assaults on Police Officers/Police Staff YTD % Comparison Table&#10;This row shows 25.8% of assaults leading to injury PYTD compared to 25.1% YTD (down 0.7% points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10235" name="Picture 1" descr="Assaults on Police Officers/Police Staff YTD % Comparison Table&#10;This row shows 25.8% of assaults leading to injury PYTD compared to 25.1% YTD (down 0.7% points on last year).&#10;"/>
                    <pic:cNvPicPr/>
                  </pic:nvPicPr>
                  <pic:blipFill>
                    <a:blip r:embed="rId86"/>
                    <a:stretch>
                      <a:fillRect/>
                    </a:stretch>
                  </pic:blipFill>
                  <pic:spPr>
                    <a:xfrm>
                      <a:off x="0" y="0"/>
                      <a:ext cx="6188710" cy="610870"/>
                    </a:xfrm>
                    <a:prstGeom prst="rect">
                      <a:avLst/>
                    </a:prstGeom>
                  </pic:spPr>
                </pic:pic>
              </a:graphicData>
            </a:graphic>
          </wp:inline>
        </w:drawing>
      </w:r>
    </w:p>
    <w:p w14:paraId="6210C426" w14:textId="77777777" w:rsidR="00752630" w:rsidRDefault="00752630" w:rsidP="00752630">
      <w:r>
        <w:rPr>
          <w:noProof/>
        </w:rPr>
        <w:drawing>
          <wp:inline distT="0" distB="0" distL="0" distR="0" wp14:anchorId="03B7B8D5" wp14:editId="3A3A8371">
            <wp:extent cx="6188710" cy="624840"/>
            <wp:effectExtent l="0" t="0" r="2540" b="3810"/>
            <wp:docPr id="1481251450" name="Picture 1" descr="Assaults on Police Officers/Police Staff Five-Year % Comparison Table&#10;This row shows the five-year mean for assaults leading to injury was 32.8% compared to 25.1% YTD (down 7.7% points on five-year me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51450" name="Picture 1" descr="Assaults on Police Officers/Police Staff Five-Year % Comparison Table&#10;This row shows the five-year mean for assaults leading to injury was 32.8% compared to 25.1% YTD (down 7.7% points on five-year mean).&#10;"/>
                    <pic:cNvPicPr/>
                  </pic:nvPicPr>
                  <pic:blipFill>
                    <a:blip r:embed="rId87"/>
                    <a:stretch>
                      <a:fillRect/>
                    </a:stretch>
                  </pic:blipFill>
                  <pic:spPr>
                    <a:xfrm>
                      <a:off x="0" y="0"/>
                      <a:ext cx="6188710" cy="624840"/>
                    </a:xfrm>
                    <a:prstGeom prst="rect">
                      <a:avLst/>
                    </a:prstGeom>
                  </pic:spPr>
                </pic:pic>
              </a:graphicData>
            </a:graphic>
          </wp:inline>
        </w:drawing>
      </w:r>
    </w:p>
    <w:p w14:paraId="3841D2FA" w14:textId="77777777" w:rsidR="00752630" w:rsidRPr="00C445BA" w:rsidRDefault="00752630" w:rsidP="00752630">
      <w:r w:rsidRPr="00C445BA">
        <w:t>At the end of Quarter 2 YTD there have been 3,815 assaults on officers/staff. This is an average of 20 assaults per day and an increase of 307 assaults (up 8.8%) compared to the previous year. Assaults on officers/staff have also increased compared to the five-year mean with 36 more assaults (up 1.0%).</w:t>
      </w:r>
    </w:p>
    <w:p w14:paraId="50478D3F" w14:textId="77777777" w:rsidR="00752630" w:rsidRPr="00C445BA" w:rsidRDefault="00752630" w:rsidP="00752630">
      <w:r w:rsidRPr="00C445BA">
        <w:t>The percentage of assaults leading to injury (25.1%) has however decreased by 0.7</w:t>
      </w:r>
      <w:r>
        <w:t>%</w:t>
      </w:r>
      <w:r w:rsidRPr="00C445BA">
        <w:t xml:space="preserve"> points in the YTD compared to the PYTD.</w:t>
      </w:r>
      <w:r>
        <w:t xml:space="preserve"> This is down significantly on the five-year mean with a decrease of 7.7% points recorded.</w:t>
      </w:r>
    </w:p>
    <w:p w14:paraId="64028E37" w14:textId="77777777" w:rsidR="00752630" w:rsidRDefault="00752630" w:rsidP="00752630">
      <w:pPr>
        <w:pStyle w:val="Heading4"/>
      </w:pPr>
      <w:r>
        <w:t>People and Development (Strategic Outcome 4)</w:t>
      </w:r>
    </w:p>
    <w:p w14:paraId="26C5171A" w14:textId="50F44601" w:rsidR="00752630" w:rsidRPr="004A0F82" w:rsidRDefault="00332926" w:rsidP="009267BC">
      <w:pPr>
        <w:pStyle w:val="Heading4"/>
      </w:pPr>
      <w:r>
        <w:t>Prioritise</w:t>
      </w:r>
      <w:r w:rsidR="00752630">
        <w:t xml:space="preserve"> Wellbeing</w:t>
      </w:r>
      <w:r w:rsidR="00292536">
        <w:t xml:space="preserve"> (People Strategy Objective 1)</w:t>
      </w:r>
    </w:p>
    <w:p w14:paraId="5FEE1EB8" w14:textId="607BCFC7" w:rsidR="00332926" w:rsidRDefault="00332926" w:rsidP="009267BC">
      <w:pPr>
        <w:pStyle w:val="Heading4"/>
      </w:pPr>
      <w:r w:rsidRPr="00332926">
        <w:t>Absence</w:t>
      </w:r>
    </w:p>
    <w:p w14:paraId="3782B898" w14:textId="2E28D12B" w:rsidR="0053733A" w:rsidRDefault="0053733A" w:rsidP="00332926">
      <w:pPr>
        <w:rPr>
          <w:b/>
          <w:bCs/>
        </w:rPr>
      </w:pPr>
      <w:r>
        <w:rPr>
          <w:noProof/>
        </w:rPr>
        <w:drawing>
          <wp:inline distT="0" distB="0" distL="0" distR="0" wp14:anchorId="6EED341D" wp14:editId="562DF036">
            <wp:extent cx="5832000" cy="2933700"/>
            <wp:effectExtent l="0" t="0" r="16510" b="0"/>
            <wp:docPr id="971705717" name="Chart 1" descr="Police Officer WDL% PQ Comparison Visualisation&#10;This visualisation shows the WDL percentages (dark blue), LTA WDL percentages (orange) and STA WDL percentages (light blue) from quarter 1 2022 to quarter 2 2024 for police officers. &#10;The WDL percentages were 7.4% in Q1 2022; 6.7% in Q2 2022; 7.5% in Q3 2022; 6.4% in Q4 2022; 5.6% in Q1 2023; 6.4% in Q2 2023; 7.2% in Q3 2023; 6.6% in Q4 2023; 6.4% in Q1 2024; and 6.5% in Q2 2024.&#10;The LTA WDL percentages were 4.08% in Q1 2022; 4.27% in Q2 2022; 4.35% in Q3 2022; 3.74% in Q4 2022; 3.69% in Q1 2023; 4.31% in Q2 2023; 4.38% in Q3 2023; 3.84% in Q4 2023; 4.21% in Q1 2024; and 4.27% in Q2 2024. &#10;The STA WDL percentages were 3.33% in Q1 2022; 2.42% in Q2 2022; 3.16% in Q3 2022; 2.69% in Q4 2022; 1.92% in Q1 2023; 2.13% in Q2 2023; 2.85% in Q3 2023; 2.73% in Q4 2023; 2.19% in Q1 2024; and 2.22% in Q2 2024.&#10;">
              <a:extLst xmlns:a="http://schemas.openxmlformats.org/drawingml/2006/main">
                <a:ext uri="{FF2B5EF4-FFF2-40B4-BE49-F238E27FC236}">
                  <a16:creationId xmlns:a16="http://schemas.microsoft.com/office/drawing/2014/main" id="{107C2E6F-FD23-4107-9D53-A7E95023D1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32637C7" w14:textId="75F86116" w:rsidR="0053733A" w:rsidRPr="00332926" w:rsidRDefault="00590799" w:rsidP="00332926">
      <w:pPr>
        <w:rPr>
          <w:b/>
          <w:bCs/>
        </w:rPr>
      </w:pPr>
      <w:r>
        <w:rPr>
          <w:noProof/>
        </w:rPr>
        <w:lastRenderedPageBreak/>
        <w:drawing>
          <wp:inline distT="0" distB="0" distL="0" distR="0" wp14:anchorId="54B179AF" wp14:editId="6CD10389">
            <wp:extent cx="5832000" cy="2933700"/>
            <wp:effectExtent l="0" t="0" r="16510" b="0"/>
            <wp:docPr id="670336913" name="Chart 1" descr="Police Staff WDL% PQ Comparison Visualisation&#10;This visualisation shows the WDL percentages (dark blue), LTA WDL percentages (orange) and STA WDL percentages (light blue) from quarter 1 2022 to quarter 2 2024 for police staff. &#10;The WDL percentages were 7.5% in Q1 2022; 6.6% in Q2 2022; 7.1% in Q3 2022; 6.3% in Q4 2022; 6.0% in Q1 2023; 6.4% in Q2 2023; 7.4% in Q3 2023; 6.9% in Q4 2023; 6.8% in Q1 2024; and 6.9% in Q2 2024.&#10;The LTA WDL percentages were 4.46% in Q1 2022; 4.12% in Q2 2022; 3.96% in Q3 2022; 3.45% in Q4 2022; 3.83% in Q1 2023; 3.99% in Q2 2023; 4.67% in Q3 2023; 4.11% in Q4 2023; 4.36% in Q1 2024; and 4.58% in Q2 2024. &#10;The STA WDL percentages were 3.04% in Q1 2022; 2.47% in Q2 2022; 3.09% in Q3 2022; 2.87% in Q4 2022; 2.13% in Q1 2023; 2.40% in Q2 2023; 2.76% in Q3 2023; 2.79% in Q4 2023; 2.48% in Q1 2024; and 2.35% in Q2 2024.&#10;">
              <a:extLst xmlns:a="http://schemas.openxmlformats.org/drawingml/2006/main">
                <a:ext uri="{FF2B5EF4-FFF2-40B4-BE49-F238E27FC236}">
                  <a16:creationId xmlns:a16="http://schemas.microsoft.com/office/drawing/2014/main" id="{1B44B17F-77D8-4E2C-9E38-25471E408A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BE35B8F" w14:textId="4D06D476" w:rsidR="00292536" w:rsidRPr="00292536" w:rsidRDefault="00590799" w:rsidP="00292536">
      <w:r>
        <w:rPr>
          <w:noProof/>
        </w:rPr>
        <w:drawing>
          <wp:inline distT="0" distB="0" distL="0" distR="0" wp14:anchorId="1A119EFE" wp14:editId="454C81CB">
            <wp:extent cx="5832000" cy="2933700"/>
            <wp:effectExtent l="0" t="0" r="16510" b="0"/>
            <wp:docPr id="257591644" name="Chart 1" descr="Psychological Disorders WDL% - PQ Trend Visualisation&#10;This visualisation shows the psychological disorders WDL percentages for police officers (blue) and police staff (orange) from quarter 1 2022 to quarter 2 2024 for police staff. &#10;The psychological disorders WDL percentages for police officers were 1.6% in Q1 2022; 1.8% in Q2 2022; 1.9% in Q3 2022; 1.8% in Q4 2022; 1.7% in Q1 2023; 2.1% in Q2 2023; 2.1% in Q3 2023; 2.0% in Q4 2023; 2.2% in Q1 2024; and 2.4% in Q2 2024.&#10;The psychological disorders WDL percentages for police staff were 1.6% in Q1 2022; 1.6% in Q2 2022; 1.6% in Q3 2022; 1.6% in Q4 2022; 1.9% in Q1 2023; 2.2% in Q2 2023; 2.4% in Q3 2023; 1.9% in Q4 2023; 2.1% in Q1 2024; and 2.0% in Q2 2024.&#10;">
              <a:extLst xmlns:a="http://schemas.openxmlformats.org/drawingml/2006/main">
                <a:ext uri="{FF2B5EF4-FFF2-40B4-BE49-F238E27FC236}">
                  <a16:creationId xmlns:a16="http://schemas.microsoft.com/office/drawing/2014/main" id="{60A4FC60-B2FC-420F-ADBA-D34608D385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16CAD21" w14:textId="77777777" w:rsidR="009267BC" w:rsidRDefault="00292536" w:rsidP="00590799">
      <w:r w:rsidRPr="00292536">
        <w:t>This quarter, there is no significant change in working days lost (WDL) per cent compared to last quarter with only small per cent increases recorded when looking at the total absences and a breakdown of long-term absence (LTA) or short-term absence (STA).</w:t>
      </w:r>
    </w:p>
    <w:p w14:paraId="0CFBCCCC" w14:textId="77777777" w:rsidR="009267BC" w:rsidRDefault="00292536" w:rsidP="00590799">
      <w:r w:rsidRPr="00292536">
        <w:t>For the Psychological Disorder absence category, comparing Q</w:t>
      </w:r>
      <w:r w:rsidR="00590799">
        <w:t xml:space="preserve">uarter </w:t>
      </w:r>
      <w:r w:rsidRPr="00292536">
        <w:t>2 to the previous year shows there has been an increase of 0.3</w:t>
      </w:r>
      <w:r w:rsidR="00383715">
        <w:t>%</w:t>
      </w:r>
      <w:r w:rsidRPr="00292536">
        <w:t xml:space="preserve"> for police officers and a decrease of 0.2</w:t>
      </w:r>
      <w:r w:rsidR="00383715">
        <w:t>%</w:t>
      </w:r>
      <w:r w:rsidRPr="00292536">
        <w:t xml:space="preserve"> for police staff.</w:t>
      </w:r>
    </w:p>
    <w:p w14:paraId="7B642A80" w14:textId="21427128" w:rsidR="00292536" w:rsidRPr="00292536" w:rsidRDefault="00292536" w:rsidP="00590799">
      <w:pPr>
        <w:rPr>
          <w:b/>
        </w:rPr>
      </w:pPr>
      <w:r w:rsidRPr="00292536">
        <w:t>In Q</w:t>
      </w:r>
      <w:r w:rsidR="00590799">
        <w:t xml:space="preserve">uarter </w:t>
      </w:r>
      <w:r w:rsidRPr="00292536">
        <w:t>2, the top three reasons for LTAs, for both officers and staff were Psychological Disorders, Musculo-skeletal and Miscellaneous. This is a long-standing pattern over time.</w:t>
      </w:r>
    </w:p>
    <w:p w14:paraId="29D12BF3" w14:textId="77777777" w:rsidR="009267BC" w:rsidRDefault="00292536" w:rsidP="00590799">
      <w:r w:rsidRPr="00292536">
        <w:t>Every local senior management team has access to dynamic dashboards providing local absence data. This can be interrogated to show local trends and hotspots, to give an understanding of what absence looks like locally.</w:t>
      </w:r>
    </w:p>
    <w:p w14:paraId="6FA32088" w14:textId="329C1B54" w:rsidR="00292536" w:rsidRPr="00292536" w:rsidRDefault="00292536" w:rsidP="00590799">
      <w:pPr>
        <w:rPr>
          <w:b/>
        </w:rPr>
      </w:pPr>
      <w:r w:rsidRPr="00292536">
        <w:lastRenderedPageBreak/>
        <w:t>Our People Partners work closely with Command teams to identify areas of concern and take appropriate action to support staff who are absent, to keep our absence levels to a minimum. Where people who are absent need support, we have a comprehensive range of interventions, including our employee assistance and occupational health programmes.</w:t>
      </w:r>
    </w:p>
    <w:p w14:paraId="142B2E85" w14:textId="2C503A6C" w:rsidR="00752630" w:rsidRDefault="00374D7E" w:rsidP="009267BC">
      <w:pPr>
        <w:pStyle w:val="Heading4"/>
      </w:pPr>
      <w:r>
        <w:t>Supporting our workforce</w:t>
      </w:r>
    </w:p>
    <w:p w14:paraId="4A3021C3" w14:textId="422BD403" w:rsidR="00374D7E" w:rsidRPr="00374D7E" w:rsidRDefault="00374D7E" w:rsidP="00374D7E">
      <w:r w:rsidRPr="00374D7E">
        <w:t>Our Wellbeing and Health &amp; Safety teams also work to offer a suite of offerings to keep our people healthy and prevent ill-health and injury. Since April we have new and improved contracts in place for our occupational health (OH) and employee assistance programmes (EAP).</w:t>
      </w:r>
    </w:p>
    <w:p w14:paraId="1D3CEF2A" w14:textId="1B16A8BA" w:rsidR="00374D7E" w:rsidRPr="00374D7E" w:rsidRDefault="00374D7E" w:rsidP="00374D7E">
      <w:r w:rsidRPr="00374D7E">
        <w:t>Early data tells us that our new occupational health provision:</w:t>
      </w:r>
    </w:p>
    <w:p w14:paraId="06EB1581" w14:textId="77777777" w:rsidR="00374D7E" w:rsidRPr="00374D7E" w:rsidRDefault="00374D7E" w:rsidP="00225349">
      <w:pPr>
        <w:pStyle w:val="Bullets"/>
        <w:rPr>
          <w:rFonts w:cs="Arial"/>
        </w:rPr>
      </w:pPr>
      <w:r w:rsidRPr="00374D7E">
        <w:t>has had 3,180 touch points with Occupational Health through management referrals since 01 April.</w:t>
      </w:r>
    </w:p>
    <w:p w14:paraId="03A4AF56" w14:textId="77777777" w:rsidR="00374D7E" w:rsidRPr="00374D7E" w:rsidRDefault="00374D7E" w:rsidP="00225349">
      <w:pPr>
        <w:pStyle w:val="Bullets"/>
        <w:rPr>
          <w:rFonts w:cs="Arial"/>
        </w:rPr>
      </w:pPr>
      <w:r w:rsidRPr="00374D7E">
        <w:t xml:space="preserve">supported increase numbers of physiotherapy assessments and treatments – 1,249 since 01 </w:t>
      </w:r>
      <w:r w:rsidRPr="00374D7E">
        <w:rPr>
          <w:rFonts w:cs="Arial"/>
        </w:rPr>
        <w:t>April.</w:t>
      </w:r>
    </w:p>
    <w:p w14:paraId="104B735F" w14:textId="5FE735EE" w:rsidR="00374D7E" w:rsidRDefault="00374D7E" w:rsidP="00225349">
      <w:pPr>
        <w:pStyle w:val="Bullets"/>
        <w:rPr>
          <w:rFonts w:cs="Arial"/>
        </w:rPr>
      </w:pPr>
      <w:r w:rsidRPr="00374D7E">
        <w:t>had 2,140 accounts created since 03 September to the new OH portal.</w:t>
      </w:r>
    </w:p>
    <w:p w14:paraId="799F24B8" w14:textId="308FF1EF" w:rsidR="00374D7E" w:rsidRPr="00374D7E" w:rsidRDefault="00374D7E" w:rsidP="00374D7E">
      <w:pPr>
        <w:rPr>
          <w:rFonts w:cs="Arial"/>
        </w:rPr>
      </w:pPr>
      <w:r w:rsidRPr="00374D7E">
        <w:rPr>
          <w:rFonts w:cs="Arial"/>
        </w:rPr>
        <w:t xml:space="preserve">Early data tells us that since </w:t>
      </w:r>
      <w:r w:rsidR="00383715">
        <w:rPr>
          <w:rFonts w:cs="Arial"/>
        </w:rPr>
        <w:t>0</w:t>
      </w:r>
      <w:r w:rsidRPr="00374D7E">
        <w:rPr>
          <w:rFonts w:cs="Arial"/>
        </w:rPr>
        <w:t>1 April, for our Employee Assistance Programme:</w:t>
      </w:r>
    </w:p>
    <w:p w14:paraId="5644E7C2" w14:textId="622DBD04" w:rsidR="00374D7E" w:rsidRPr="00374D7E" w:rsidRDefault="00374D7E" w:rsidP="00225349">
      <w:pPr>
        <w:pStyle w:val="Bullets"/>
        <w:rPr>
          <w:rFonts w:cs="Arial"/>
          <w:szCs w:val="28"/>
        </w:rPr>
      </w:pPr>
      <w:r w:rsidRPr="00374D7E">
        <w:t>92</w:t>
      </w:r>
      <w:r w:rsidR="00383715">
        <w:t>%</w:t>
      </w:r>
      <w:r w:rsidRPr="00374D7E">
        <w:t xml:space="preserve"> of clients receiving therapy were experiencing positive outcomes after the therapy.</w:t>
      </w:r>
    </w:p>
    <w:p w14:paraId="2C7BDDD6" w14:textId="22EE5453" w:rsidR="00374D7E" w:rsidRPr="00374D7E" w:rsidRDefault="00374D7E" w:rsidP="00225349">
      <w:pPr>
        <w:pStyle w:val="Bullets"/>
      </w:pPr>
      <w:r w:rsidRPr="00374D7E">
        <w:t>we have had 901 officer and staff contacts with the EAP service.</w:t>
      </w:r>
    </w:p>
    <w:p w14:paraId="26FA24D9" w14:textId="77777777" w:rsidR="00374D7E" w:rsidRPr="00374D7E" w:rsidRDefault="00374D7E" w:rsidP="00225349">
      <w:pPr>
        <w:pStyle w:val="Bullets"/>
        <w:rPr>
          <w:rFonts w:cs="Arial"/>
          <w:szCs w:val="28"/>
        </w:rPr>
      </w:pPr>
      <w:r w:rsidRPr="00374D7E">
        <w:t xml:space="preserve">2,507 sessions of support have been delivered, these vary from in-the-moment support via </w:t>
      </w:r>
      <w:r w:rsidRPr="00374D7E">
        <w:rPr>
          <w:rFonts w:cs="Arial"/>
          <w:szCs w:val="28"/>
        </w:rPr>
        <w:t>telephone, to virtual and face to face.</w:t>
      </w:r>
    </w:p>
    <w:p w14:paraId="5D74730E" w14:textId="656464F5" w:rsidR="00374D7E" w:rsidRPr="00374D7E" w:rsidRDefault="00374D7E" w:rsidP="00225349">
      <w:pPr>
        <w:pStyle w:val="Bullets"/>
        <w:rPr>
          <w:rFonts w:cs="Arial"/>
          <w:sz w:val="28"/>
          <w:szCs w:val="28"/>
        </w:rPr>
      </w:pPr>
      <w:r w:rsidRPr="00374D7E">
        <w:t>now includes more specialist support in the form of Pure Cognitive Behavioural Therapy (CBT) and Eye Movement Desensitisation and Reprocessing therapy (EMDR) with over 90 sessions delivered to officers and staff.</w:t>
      </w:r>
    </w:p>
    <w:p w14:paraId="215ADCFF" w14:textId="74E0B024" w:rsidR="00332926" w:rsidRDefault="00332926" w:rsidP="009267BC">
      <w:pPr>
        <w:pStyle w:val="Heading4"/>
      </w:pPr>
      <w:r>
        <w:lastRenderedPageBreak/>
        <w:t>Support our people (People Strategy Objective 3)</w:t>
      </w:r>
    </w:p>
    <w:p w14:paraId="111B220D" w14:textId="4A354900" w:rsidR="00332926" w:rsidRPr="00225349" w:rsidRDefault="00332926" w:rsidP="009267BC">
      <w:pPr>
        <w:pStyle w:val="Heading4"/>
      </w:pPr>
      <w:r w:rsidRPr="00225349">
        <w:t>Turnover</w:t>
      </w:r>
    </w:p>
    <w:p w14:paraId="4E484C7A" w14:textId="77777777" w:rsidR="00E77B5C" w:rsidRDefault="00E77B5C" w:rsidP="00332926">
      <w:pPr>
        <w:rPr>
          <w:color w:val="000000" w:themeColor="text1"/>
        </w:rPr>
      </w:pPr>
      <w:r>
        <w:rPr>
          <w:noProof/>
        </w:rPr>
        <w:drawing>
          <wp:inline distT="0" distB="0" distL="0" distR="0" wp14:anchorId="3F209ACF" wp14:editId="479557B4">
            <wp:extent cx="5832000" cy="2933700"/>
            <wp:effectExtent l="0" t="0" r="16510" b="0"/>
            <wp:docPr id="764591560" name="Chart 1" descr="Police Staff % Turnover – Voluntary and Involuntary Visualisation&#10;This visualisation shows the Police Staff percentage turnover – Involuntary (dark blue) and voluntary (light blue) from quarter 1 2022-23 to quarter 2 2024-25 for police staff. &#10;Q1 2022-23 (1.15% involuntary and 1.27% voluntary); Q2 2022-23 (0.84% involuntary and 1.38% voluntary); Q3 2022-23 (0.76% involuntary and 1.03% voluntary); Q4 2022-23 (0.69% involuntary and 1.17% voluntary); Q1 2023-24 (0.79% involuntary and 1.33% voluntary); Q2 2023-24 (0.63% involuntary and 1.25% voluntary); Q3 2023-24 (0.57% involuntary and 1.00% voluntary); Q4 2023-24 (0.60% involuntary and 1.15% voluntary); Q1 2024-25 (0.77% involuntary and 1.35% voluntary); and Q2 2024-25 (0.75% involuntary and 2.27% voluntary).&#10;">
              <a:extLst xmlns:a="http://schemas.openxmlformats.org/drawingml/2006/main">
                <a:ext uri="{FF2B5EF4-FFF2-40B4-BE49-F238E27FC236}">
                  <a16:creationId xmlns:a16="http://schemas.microsoft.com/office/drawing/2014/main" id="{5CD6E2FE-057B-433D-893B-C33A663243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BD2F054" w14:textId="05F57F61" w:rsidR="00332926" w:rsidRPr="00332926" w:rsidRDefault="00332926" w:rsidP="00332926">
      <w:pPr>
        <w:rPr>
          <w:color w:val="000000" w:themeColor="text1"/>
        </w:rPr>
      </w:pPr>
      <w:r w:rsidRPr="00332926">
        <w:rPr>
          <w:color w:val="000000" w:themeColor="text1"/>
        </w:rPr>
        <w:t xml:space="preserve">Police staff voluntary turnover is at its highest when compared across the previous </w:t>
      </w:r>
      <w:r w:rsidR="00383715">
        <w:rPr>
          <w:color w:val="000000" w:themeColor="text1"/>
        </w:rPr>
        <w:t>two</w:t>
      </w:r>
      <w:r w:rsidRPr="00332926">
        <w:rPr>
          <w:color w:val="000000" w:themeColor="text1"/>
        </w:rPr>
        <w:t xml:space="preserve"> years. With a total voluntary turnover of </w:t>
      </w:r>
      <w:r w:rsidRPr="00332926">
        <w:t>2.</w:t>
      </w:r>
      <w:r w:rsidR="00E86886" w:rsidRPr="00E86886">
        <w:t>7</w:t>
      </w:r>
      <w:r w:rsidR="00383715">
        <w:t>%</w:t>
      </w:r>
      <w:r w:rsidRPr="00332926">
        <w:rPr>
          <w:color w:val="000000" w:themeColor="text1"/>
        </w:rPr>
        <w:t>, our planned voluntary redundancy and voluntary early retirement (VR/VER) programme is responsible for 1.49</w:t>
      </w:r>
      <w:r w:rsidR="00383715">
        <w:rPr>
          <w:color w:val="000000" w:themeColor="text1"/>
        </w:rPr>
        <w:t>%</w:t>
      </w:r>
      <w:r w:rsidRPr="00332926">
        <w:rPr>
          <w:color w:val="000000" w:themeColor="text1"/>
        </w:rPr>
        <w:t>. For police officers, the lowest percentage turnover is recorded since Q</w:t>
      </w:r>
      <w:r w:rsidR="00383715">
        <w:rPr>
          <w:color w:val="000000" w:themeColor="text1"/>
        </w:rPr>
        <w:t xml:space="preserve">uarter </w:t>
      </w:r>
      <w:r w:rsidRPr="00332926">
        <w:rPr>
          <w:color w:val="000000" w:themeColor="text1"/>
        </w:rPr>
        <w:t>1 2022/23. Retirement represents the majority of turnover this quarter with 0.54</w:t>
      </w:r>
      <w:r w:rsidR="00383715">
        <w:rPr>
          <w:color w:val="000000" w:themeColor="text1"/>
        </w:rPr>
        <w:t>%</w:t>
      </w:r>
      <w:r w:rsidRPr="00332926">
        <w:rPr>
          <w:color w:val="000000" w:themeColor="text1"/>
        </w:rPr>
        <w:t xml:space="preserve"> attributed to the total of 1.03</w:t>
      </w:r>
      <w:r w:rsidR="00383715">
        <w:rPr>
          <w:color w:val="000000" w:themeColor="text1"/>
        </w:rPr>
        <w:t>%</w:t>
      </w:r>
      <w:r w:rsidRPr="00332926">
        <w:rPr>
          <w:color w:val="000000" w:themeColor="text1"/>
        </w:rPr>
        <w:t>. The percentage turnover of probationers has also decreased in comparison to previous quarter.</w:t>
      </w:r>
    </w:p>
    <w:p w14:paraId="73DE82DD" w14:textId="0382FB94" w:rsidR="00091201" w:rsidRPr="00091201" w:rsidRDefault="00332926" w:rsidP="00091201">
      <w:pPr>
        <w:rPr>
          <w:color w:val="000000" w:themeColor="text1"/>
        </w:rPr>
      </w:pPr>
      <w:r w:rsidRPr="00332926">
        <w:rPr>
          <w:color w:val="000000" w:themeColor="text1"/>
        </w:rPr>
        <w:t>The percentage of WDL related to stress has increased year on year for police officers when comparing the position for Q</w:t>
      </w:r>
      <w:r w:rsidR="00383715">
        <w:rPr>
          <w:color w:val="000000" w:themeColor="text1"/>
        </w:rPr>
        <w:t xml:space="preserve">uarter </w:t>
      </w:r>
      <w:r w:rsidRPr="00332926">
        <w:rPr>
          <w:color w:val="000000" w:themeColor="text1"/>
        </w:rPr>
        <w:t>2 only, although only slight increases are recorded in the upward trend. For staff, a 0.1</w:t>
      </w:r>
      <w:r w:rsidR="00383715">
        <w:rPr>
          <w:color w:val="000000" w:themeColor="text1"/>
        </w:rPr>
        <w:t>%</w:t>
      </w:r>
      <w:r w:rsidRPr="00332926">
        <w:rPr>
          <w:color w:val="000000" w:themeColor="text1"/>
        </w:rPr>
        <w:t xml:space="preserve"> reduction has been recorded for percentage of WDL related to stress.</w:t>
      </w:r>
    </w:p>
    <w:p w14:paraId="584053E2" w14:textId="4B4DC9FA" w:rsidR="00091201" w:rsidRDefault="0023774A" w:rsidP="009267BC">
      <w:pPr>
        <w:pStyle w:val="Heading4"/>
      </w:pPr>
      <w:r>
        <w:lastRenderedPageBreak/>
        <w:t xml:space="preserve">Capacity and Efficiency </w:t>
      </w:r>
      <w:r w:rsidR="00091201">
        <w:t>(Strategic Workforce Plan Objective 1)</w:t>
      </w:r>
    </w:p>
    <w:p w14:paraId="2D773048" w14:textId="77777777" w:rsidR="00807B45" w:rsidRPr="0023774A" w:rsidRDefault="00807B45" w:rsidP="009267BC">
      <w:pPr>
        <w:pStyle w:val="Heading4"/>
      </w:pPr>
      <w:r w:rsidRPr="0023774A">
        <w:t>Re-rostered rest days (RRRD) &amp; Time Off in Lieu (TOIL)</w:t>
      </w:r>
    </w:p>
    <w:p w14:paraId="7CAEEBDC" w14:textId="0F0F94FE" w:rsidR="007A15F2" w:rsidRDefault="007A15F2" w:rsidP="007A15F2">
      <w:r>
        <w:rPr>
          <w:noProof/>
        </w:rPr>
        <w:drawing>
          <wp:inline distT="0" distB="0" distL="0" distR="0" wp14:anchorId="63D38C18" wp14:editId="5F6FBA24">
            <wp:extent cx="5832000" cy="2914650"/>
            <wp:effectExtent l="0" t="0" r="16510" b="0"/>
            <wp:docPr id="2125593951" name="Chart 1" descr="RRRD and Toil Banks Visualisation&#10;This visualisation shows the number of RRRDs (dark blue) and number of TOIL hours (light blue) in Q2 2023/24, Q1 2024/25 and Q2 2024/25. In Q2 2023/24, there were 58,834 RRRDs and 31,194 toil hours; In Q1 2024/25 there were 33,407 RRRDs and 25,418 toil hours; and in Q2 2024/25 there were 32,363 RRRDs and 24,654 toil hours.&#10;">
              <a:extLst xmlns:a="http://schemas.openxmlformats.org/drawingml/2006/main">
                <a:ext uri="{FF2B5EF4-FFF2-40B4-BE49-F238E27FC236}">
                  <a16:creationId xmlns:a16="http://schemas.microsoft.com/office/drawing/2014/main" id="{798E8B2C-07CE-4393-9B87-FA1EC552F9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D745F6E" w14:textId="439448E0" w:rsidR="00383715" w:rsidRDefault="00383715" w:rsidP="007A15F2">
      <w:r w:rsidRPr="00091201">
        <w:t>The chart show that RRRD and TOIL banks continue to trend positively downward this quarter. In comparison to previous year position, the number of RRRD has decreased by 45 per cent and TOIL banks by 21 per cent. Police officer average overtime hours have increased by 3.39 hours in comparison to previous quarter, but in relation to the same period of time on the previous year has only increased by 0.63 hours.</w:t>
      </w:r>
    </w:p>
    <w:p w14:paraId="3AD86CF1" w14:textId="318F5FC9" w:rsidR="00807B45" w:rsidRPr="007A15F2" w:rsidRDefault="00807B45" w:rsidP="009267BC">
      <w:pPr>
        <w:pStyle w:val="Heading4"/>
      </w:pPr>
      <w:r w:rsidRPr="0023774A">
        <w:t>Officer and Staff FTE</w:t>
      </w:r>
    </w:p>
    <w:p w14:paraId="4750CF7A" w14:textId="313881AC" w:rsidR="00332926" w:rsidRDefault="007A15F2" w:rsidP="00752630">
      <w:pPr>
        <w:rPr>
          <w:b/>
          <w:bCs/>
          <w:color w:val="000000" w:themeColor="text1"/>
        </w:rPr>
      </w:pPr>
      <w:r>
        <w:rPr>
          <w:noProof/>
        </w:rPr>
        <w:drawing>
          <wp:inline distT="0" distB="0" distL="0" distR="0" wp14:anchorId="5FD36199" wp14:editId="390A38C9">
            <wp:extent cx="5832000" cy="2914650"/>
            <wp:effectExtent l="0" t="0" r="16510" b="0"/>
            <wp:docPr id="492564555" name="Chart 1" descr="Officer and Staff FTE Visualisation&#10;This visualisation shows the FTE of police officers (dark blue) and FTE of police staff (light blue) in Q2 2023/24, Q1 2024/25 and Q2 2024/25. In Q1 2023/24, the police officer FTE was 16,613.03 whilst the Police Staff FTE was 5,258.44; In Q1 2024/25, the police officer FTE was 16,207.22 whilst the police staff FTE was 5,130.30; and in Q2 2024/25, the police officer FTE was 16,426.73 whilst the police staff FTE was 5,074.78.&#10;">
              <a:extLst xmlns:a="http://schemas.openxmlformats.org/drawingml/2006/main">
                <a:ext uri="{FF2B5EF4-FFF2-40B4-BE49-F238E27FC236}">
                  <a16:creationId xmlns:a16="http://schemas.microsoft.com/office/drawing/2014/main" id="{C0739760-55A3-4562-A32E-151D2B3C7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E5F6A10" w14:textId="39BCCE54" w:rsidR="00383715" w:rsidRPr="0023774A" w:rsidRDefault="00383715" w:rsidP="00383715">
      <w:r w:rsidRPr="0023774A">
        <w:t>In Q</w:t>
      </w:r>
      <w:r>
        <w:t xml:space="preserve">uarter </w:t>
      </w:r>
      <w:r w:rsidRPr="0023774A">
        <w:t>2, officer numbers have increased from Q</w:t>
      </w:r>
      <w:r>
        <w:t xml:space="preserve">uarter </w:t>
      </w:r>
      <w:r w:rsidRPr="0023774A">
        <w:t xml:space="preserve">1 to 16,426.73 FTE. An intake of 385 probationers this quarter has resulted in an overall increase of 219.51 FTE after accounting for leavers. This is a positive trend towards our baseline of 16,600 police </w:t>
      </w:r>
      <w:r w:rsidRPr="0023774A">
        <w:lastRenderedPageBreak/>
        <w:t>officers. Staff FTE continues to reduce in comparison to the previous quarter as those who successfully got VR/VER began leaving the organisation.</w:t>
      </w:r>
    </w:p>
    <w:p w14:paraId="426D59AE" w14:textId="666E2B5A" w:rsidR="0023774A" w:rsidRPr="0023774A" w:rsidRDefault="0023774A" w:rsidP="009267BC">
      <w:pPr>
        <w:pStyle w:val="Heading4"/>
      </w:pPr>
      <w:r w:rsidRPr="0023774A">
        <w:t>VR/VER</w:t>
      </w:r>
    </w:p>
    <w:p w14:paraId="781637B5" w14:textId="64A2454B" w:rsidR="0023774A" w:rsidRPr="0023774A" w:rsidRDefault="0023774A" w:rsidP="0023774A">
      <w:r w:rsidRPr="0023774A">
        <w:t xml:space="preserve">The scheme was open for applications between </w:t>
      </w:r>
      <w:r w:rsidR="00225349">
        <w:t>0</w:t>
      </w:r>
      <w:r w:rsidRPr="0023774A">
        <w:t xml:space="preserve">8 January 2024 and </w:t>
      </w:r>
      <w:r w:rsidR="00225349">
        <w:t>0</w:t>
      </w:r>
      <w:r w:rsidRPr="0023774A">
        <w:t>9 February 2024 to support the required 3.7</w:t>
      </w:r>
      <w:r w:rsidR="00225349">
        <w:t>%</w:t>
      </w:r>
      <w:r w:rsidRPr="0023774A">
        <w:t xml:space="preserve"> reduction of staff pay bill for F</w:t>
      </w:r>
      <w:r w:rsidR="00225349">
        <w:t xml:space="preserve">inancial </w:t>
      </w:r>
      <w:r w:rsidRPr="0023774A">
        <w:t>Y</w:t>
      </w:r>
      <w:r w:rsidR="00225349">
        <w:t>ear</w:t>
      </w:r>
      <w:r w:rsidRPr="0023774A">
        <w:t xml:space="preserve"> 2023/24. Despite short project timescales, the release of 102 police staff posts through VR/VER has achieved recurring savings of £9.5m. However, confirmed totals have yet to be issued as pension figures are still being processed. A full closure report detailing lessons learned, successes and areas for improvement has been submitted to the private session of this committee.</w:t>
      </w:r>
    </w:p>
    <w:p w14:paraId="24CFED2C" w14:textId="77777777" w:rsidR="0023774A" w:rsidRPr="0023774A" w:rsidRDefault="0023774A" w:rsidP="009267BC">
      <w:pPr>
        <w:pStyle w:val="Heading4"/>
      </w:pPr>
      <w:r w:rsidRPr="0023774A">
        <w:t>Ensuring our officers with duty modifications are meaningfully deployed</w:t>
      </w:r>
    </w:p>
    <w:p w14:paraId="54D9CDE4" w14:textId="77777777" w:rsidR="00225349" w:rsidRDefault="00225349" w:rsidP="0023774A">
      <w:r>
        <w:rPr>
          <w:noProof/>
        </w:rPr>
        <w:drawing>
          <wp:inline distT="0" distB="0" distL="0" distR="0" wp14:anchorId="1D066D3D" wp14:editId="4BB6B949">
            <wp:extent cx="5832000" cy="2914650"/>
            <wp:effectExtent l="0" t="0" r="16510" b="0"/>
            <wp:docPr id="1493028059" name="Chart 1" descr="Modified Duties by Deployability Comparison Visualisation&#10;This visualisation shows police officer and police staff modified duties by deployability comparisons in the following periods: 23/24 Q2 (dark blue), 24/25 Q1 (orange) and 24/25 Q2 (light blue).&#10;The number of officers deployable with restrictions was 673 in 23/24 Q2; 759 in 24/25 Q1; and 783 in 24/25 Q2.&#10;The number of officers non deployable was 1,241 in 23/24 Q2; 1,260 in 24/25 Q1; and 1,289 in 24/25 Q2.&#10;The number of police staff deployable with restrictions was 82 in 23/24 Q2; 65 in 24/25 Q1; and 66 in 24/25 Q2.&#10;The number of police staff non deployable was 55 in 23/24 Q2; 49 in 24/25 Q1; and 66 in 24/25 Q2.&#10;">
              <a:extLst xmlns:a="http://schemas.openxmlformats.org/drawingml/2006/main">
                <a:ext uri="{FF2B5EF4-FFF2-40B4-BE49-F238E27FC236}">
                  <a16:creationId xmlns:a16="http://schemas.microsoft.com/office/drawing/2014/main" id="{96051121-E4EC-478A-B268-E1FC1163FB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7CA71DF" w14:textId="3750435F" w:rsidR="0023774A" w:rsidRPr="0023774A" w:rsidRDefault="0023774A" w:rsidP="0023774A">
      <w:r>
        <w:t>T</w:t>
      </w:r>
      <w:r w:rsidRPr="0023774A">
        <w:t>he number of officers requiring duty modifications has increased this quarter in comparison with the same time last year (2,072</w:t>
      </w:r>
      <w:r>
        <w:t xml:space="preserve"> v 1,914</w:t>
      </w:r>
      <w:r w:rsidRPr="0023774A">
        <w:t xml:space="preserve"> officers</w:t>
      </w:r>
      <w:r>
        <w:t xml:space="preserve"> PYTD</w:t>
      </w:r>
      <w:r w:rsidRPr="0023774A">
        <w:t>), the percentage of officers who are ‘deployable with restrictions’ has also increased. In Q</w:t>
      </w:r>
      <w:r w:rsidR="00225349">
        <w:t xml:space="preserve">uarter </w:t>
      </w:r>
      <w:r w:rsidRPr="0023774A">
        <w:t>2 last year, 35.2</w:t>
      </w:r>
      <w:r w:rsidR="00225349">
        <w:t>%</w:t>
      </w:r>
      <w:r w:rsidRPr="0023774A">
        <w:t xml:space="preserve"> of all modified duties officers were deployable with restrictions. In Q</w:t>
      </w:r>
      <w:r w:rsidR="00225349">
        <w:t xml:space="preserve">uarter </w:t>
      </w:r>
      <w:r w:rsidRPr="0023774A">
        <w:t>2 this year, this figure has increased to 37.8</w:t>
      </w:r>
      <w:r w:rsidR="00225349">
        <w:t>%</w:t>
      </w:r>
      <w:r w:rsidRPr="0023774A">
        <w:t xml:space="preserve"> demonstrating the early positive impact of our work in this area.</w:t>
      </w:r>
    </w:p>
    <w:p w14:paraId="71714FF4" w14:textId="0D2E95F4" w:rsidR="0023774A" w:rsidRPr="00091201" w:rsidRDefault="0023774A" w:rsidP="0023774A">
      <w:r w:rsidRPr="0023774A">
        <w:t>Significant efforts have been taken to ensure we have a consistent, transparent and rigorous approach across the organisation in terms of how we assess and deploy employees who require duty modifications. People Partners continue to support and highlight the new process for duty modifications throughout the organisation. A National Duty Modifications Panel (NDMP) provides an additional layer of support and reviews modification requests where it has not been possible to find a suitable alternative post at a local level.</w:t>
      </w:r>
    </w:p>
    <w:p w14:paraId="3C2CF60D" w14:textId="0D1169FE" w:rsidR="0023774A" w:rsidRDefault="0023774A" w:rsidP="009267BC">
      <w:pPr>
        <w:pStyle w:val="Heading4"/>
      </w:pPr>
      <w:r>
        <w:lastRenderedPageBreak/>
        <w:t>Attract and Retain Talent (Strategic Workforce Plan Objective 3)</w:t>
      </w:r>
    </w:p>
    <w:p w14:paraId="57B2AFC3" w14:textId="77777777" w:rsidR="00EE0128" w:rsidRDefault="00EE0128" w:rsidP="0023774A">
      <w:pPr>
        <w:rPr>
          <w:b/>
          <w:bCs/>
        </w:rPr>
      </w:pPr>
      <w:r>
        <w:rPr>
          <w:noProof/>
        </w:rPr>
        <w:drawing>
          <wp:inline distT="0" distB="0" distL="0" distR="0" wp14:anchorId="1EA7EE08" wp14:editId="46F4E2AC">
            <wp:extent cx="5832000" cy="2933700"/>
            <wp:effectExtent l="0" t="0" r="16510" b="0"/>
            <wp:docPr id="438381744" name="Chart 1" descr="Police Recruits and Staff Recruits Comparison Visualisation&#10;This visualisation shows the number of police recruits (blue) and staff recruits (orange) from quarter 1 2023-24 to quarter 2 2024-25. &#10;The number of police recruits was 197 in Q1 2023-24; 208 in Q2 2023-24; 1 in Q3 2023-24; 200 in Q4 2023-24; 126 in Q1 2024-25; and 385 in Q2 2024-25.&#10;The number of staff recruits was 111 in Q1 2023-24; 104 in Q2 2023-24; 53 in Q3 2023-24; 66 in Q4 2023-24; 74 in Q1 2024-25; and 106 in Q2 2024-25.&#10;">
              <a:extLst xmlns:a="http://schemas.openxmlformats.org/drawingml/2006/main">
                <a:ext uri="{FF2B5EF4-FFF2-40B4-BE49-F238E27FC236}">
                  <a16:creationId xmlns:a16="http://schemas.microsoft.com/office/drawing/2014/main" id="{BFFC95AD-5701-448E-94C2-A7A45E1DAD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10B7B0BC" w14:textId="187CD9E7" w:rsidR="00C12C28" w:rsidRPr="00C12C28" w:rsidRDefault="00C12C28" w:rsidP="009267BC">
      <w:pPr>
        <w:pStyle w:val="Heading4"/>
      </w:pPr>
      <w:r w:rsidRPr="00C12C28">
        <w:t>Intake</w:t>
      </w:r>
    </w:p>
    <w:p w14:paraId="0104FB38" w14:textId="43DB98C4" w:rsidR="00C12C28" w:rsidRPr="00C12C28" w:rsidRDefault="00C12C28" w:rsidP="00C12C28">
      <w:r>
        <w:t>Police Scotland</w:t>
      </w:r>
      <w:r w:rsidRPr="00C12C28">
        <w:t xml:space="preserve"> recorded our highest ever intake of probationers in Q</w:t>
      </w:r>
      <w:r w:rsidR="00EE0128">
        <w:t xml:space="preserve">uarter </w:t>
      </w:r>
      <w:r w:rsidRPr="00C12C28">
        <w:t>2, moving positively toward replenishing turnover of officers. Staff recruitment has also been trending upward following the recruitment embargo since Q</w:t>
      </w:r>
      <w:r w:rsidR="00EE0128">
        <w:t xml:space="preserve">uarter </w:t>
      </w:r>
      <w:r w:rsidRPr="00C12C28">
        <w:t>3 2023/24.</w:t>
      </w:r>
    </w:p>
    <w:p w14:paraId="37263F07" w14:textId="77777777" w:rsidR="00C12C28" w:rsidRPr="00C12C28" w:rsidRDefault="00C12C28" w:rsidP="009267BC">
      <w:pPr>
        <w:pStyle w:val="Heading4"/>
      </w:pPr>
      <w:r w:rsidRPr="00C12C28">
        <w:t>Increasing our candidate pipeline</w:t>
      </w:r>
    </w:p>
    <w:p w14:paraId="514CC569" w14:textId="77777777" w:rsidR="00C12C28" w:rsidRPr="00C12C28" w:rsidRDefault="00C12C28" w:rsidP="00C12C28">
      <w:r w:rsidRPr="00C12C28">
        <w:t>At the beginning of September colleagues from Recruitment and Corporate Communications launched our biggest ever campaign to attract new police officers.</w:t>
      </w:r>
    </w:p>
    <w:p w14:paraId="330DE4D4" w14:textId="24DCE3EB" w:rsidR="00C12C28" w:rsidRPr="00C12C28" w:rsidRDefault="00C12C28" w:rsidP="00C12C28">
      <w:r w:rsidRPr="00C12C28">
        <w:t>The campaign aims to attract applicants into our e-recruitment national pipeline with suitable candidates to feed our intake requirements for November, January and March. In total we are looking to recruit around</w:t>
      </w:r>
      <w:r w:rsidR="00EE0128">
        <w:t xml:space="preserve"> </w:t>
      </w:r>
      <w:r w:rsidRPr="00C12C28">
        <w:t>1,300 new officers this financial year, which would be our largest ever total.</w:t>
      </w:r>
    </w:p>
    <w:p w14:paraId="0B9A7E2D" w14:textId="692021EC" w:rsidR="00C12C28" w:rsidRPr="00C12C28" w:rsidRDefault="00C12C28" w:rsidP="00C12C28">
      <w:r w:rsidRPr="00C12C28">
        <w:t>We have collaborated with an external consultant to re-brand our campaigns using a more engaging style across a range of channels. A key part is the stories from serving officers who are using their lived experience to explain how they have been able to apply their life skills and experience to the role of police officer and why policing is a job like no other. These real and authentic lived experiences of serving officers makes a huge difference to the quality and authenticity of our efforts to reach the right type of candidate.</w:t>
      </w:r>
    </w:p>
    <w:p w14:paraId="01AE8752" w14:textId="77777777" w:rsidR="00C12C28" w:rsidRPr="00C12C28" w:rsidRDefault="00C12C28" w:rsidP="009267BC">
      <w:pPr>
        <w:pStyle w:val="Heading4"/>
      </w:pPr>
      <w:r w:rsidRPr="00C12C28">
        <w:t>Improving our candidates’ experience</w:t>
      </w:r>
    </w:p>
    <w:p w14:paraId="1F89FB28" w14:textId="77777777" w:rsidR="00C12C28" w:rsidRPr="00C12C28" w:rsidRDefault="00C12C28" w:rsidP="00C12C28">
      <w:r w:rsidRPr="00C12C28">
        <w:t>Aligned to this we have also launched a new recruitment website, which offers many improvements:</w:t>
      </w:r>
    </w:p>
    <w:p w14:paraId="0B74E103" w14:textId="77777777" w:rsidR="00C12C28" w:rsidRPr="00C12C28" w:rsidRDefault="00C12C28" w:rsidP="00EE0128">
      <w:pPr>
        <w:pStyle w:val="Bullets"/>
        <w:rPr>
          <w:rFonts w:cs="Arial"/>
        </w:rPr>
      </w:pPr>
      <w:r w:rsidRPr="00C12C28">
        <w:t>a streamlined user journey with the candidate at its heart from the point of seeing an initial advert (on social media or other platforms), through to the Police Scotland website and then to our e-recruitment system to apply.</w:t>
      </w:r>
    </w:p>
    <w:p w14:paraId="1DE8F267" w14:textId="77777777" w:rsidR="00C12C28" w:rsidRPr="00C12C28" w:rsidRDefault="00C12C28" w:rsidP="00EE0128">
      <w:pPr>
        <w:pStyle w:val="Bullets"/>
        <w:rPr>
          <w:rFonts w:cs="Arial"/>
        </w:rPr>
      </w:pPr>
      <w:r w:rsidRPr="00C12C28">
        <w:lastRenderedPageBreak/>
        <w:t>consistency of brand proposition and language across website and all other recruitment marketing materials.</w:t>
      </w:r>
    </w:p>
    <w:p w14:paraId="0CA829BF" w14:textId="77777777" w:rsidR="00C12C28" w:rsidRPr="00C12C28" w:rsidRDefault="00C12C28" w:rsidP="00EE0128">
      <w:pPr>
        <w:pStyle w:val="Bullets"/>
        <w:rPr>
          <w:rFonts w:cs="Arial"/>
        </w:rPr>
      </w:pPr>
      <w:r w:rsidRPr="00C12C28">
        <w:t>increased visibility of apply now button / link on all police officer recruitment web pages meaning fewer clicks for candidates to access Police Scotland’s e-recruitment system to apply.</w:t>
      </w:r>
    </w:p>
    <w:p w14:paraId="2A562D13" w14:textId="77777777" w:rsidR="00C12C28" w:rsidRPr="00C12C28" w:rsidRDefault="00C12C28" w:rsidP="00EE0128">
      <w:pPr>
        <w:pStyle w:val="Bullets"/>
        <w:rPr>
          <w:rFonts w:cs="Arial"/>
        </w:rPr>
      </w:pPr>
      <w:r w:rsidRPr="00C12C28">
        <w:t>easier-to-digest content on job of a police officer, eligibility / skills needed, and rewards – all displayed in a mobile-friendly format with functionality to avoid users being discouraged by long pages of copy.</w:t>
      </w:r>
    </w:p>
    <w:p w14:paraId="470BFD94" w14:textId="77777777" w:rsidR="00C12C28" w:rsidRPr="00C12C28" w:rsidRDefault="00C12C28" w:rsidP="00EE0128">
      <w:pPr>
        <w:pStyle w:val="Bullets"/>
        <w:rPr>
          <w:rFonts w:cs="Arial"/>
        </w:rPr>
      </w:pPr>
      <w:r w:rsidRPr="00C12C28">
        <w:t>true insight into the realities of police officer role through sharing of real officers’ stories and experiences on meet our officers web page.</w:t>
      </w:r>
    </w:p>
    <w:p w14:paraId="4ECA36A6" w14:textId="136713D0" w:rsidR="00C12C28" w:rsidRPr="0023774A" w:rsidRDefault="00C12C28" w:rsidP="00C12C28">
      <w:r w:rsidRPr="00C12C28">
        <w:t>Our efforts are showing encouraging early results, and we are seeing an increase in applications. Notably, we received 270 high-calibre applications for one role that had been difficult to fill.</w:t>
      </w:r>
    </w:p>
    <w:p w14:paraId="72C8DC03" w14:textId="0C68A706" w:rsidR="00C12C28" w:rsidRPr="00C12C28" w:rsidRDefault="00C12C28" w:rsidP="00C12C28">
      <w:r w:rsidRPr="00C12C28">
        <w:t>We have now also started using e-recruitment for our internal promotion processes. It’s modern and efficient and is a positive step for the following reasons:</w:t>
      </w:r>
    </w:p>
    <w:p w14:paraId="1EAD624B" w14:textId="604B2632" w:rsidR="00C12C28" w:rsidRPr="00C12C28" w:rsidRDefault="00C12C28" w:rsidP="00EE0128">
      <w:pPr>
        <w:pStyle w:val="Bullets"/>
      </w:pPr>
      <w:r w:rsidRPr="00C12C28">
        <w:t>It allows officers on maternity leave/ absence to see and apply in the comfort of their own home for national roles – previously people would have had to come into the office to complete applications</w:t>
      </w:r>
    </w:p>
    <w:p w14:paraId="7CA08CD1" w14:textId="4C831C03" w:rsidR="00C12C28" w:rsidRPr="00C12C28" w:rsidRDefault="00C12C28" w:rsidP="00EE0128">
      <w:pPr>
        <w:pStyle w:val="Bullets"/>
      </w:pPr>
      <w:r w:rsidRPr="00C12C28">
        <w:t>It allows us to manage the end-to-end process much more efficiently – booking interviews online, and uploading interview schedules</w:t>
      </w:r>
    </w:p>
    <w:p w14:paraId="36472942" w14:textId="5393A245" w:rsidR="00C12C28" w:rsidRPr="00C12C28" w:rsidRDefault="00C12C28" w:rsidP="00EE0128">
      <w:pPr>
        <w:pStyle w:val="Bullets"/>
      </w:pPr>
      <w:r w:rsidRPr="00C12C28">
        <w:t>It allows for anonymised sifting – this links to our cultural audit</w:t>
      </w:r>
    </w:p>
    <w:p w14:paraId="6306A237" w14:textId="7256C84F" w:rsidR="00C12C28" w:rsidRPr="00C12C28" w:rsidRDefault="00C12C28" w:rsidP="00EE0128">
      <w:pPr>
        <w:pStyle w:val="Bullets"/>
      </w:pPr>
      <w:r w:rsidRPr="00C12C28">
        <w:t>It allows for much easier reporting on data around service level agreements, diversity statistics, etc.</w:t>
      </w:r>
    </w:p>
    <w:p w14:paraId="1089FEA3" w14:textId="77777777" w:rsidR="00C12C28" w:rsidRPr="00C12C28" w:rsidRDefault="00C12C28" w:rsidP="00EE0128">
      <w:pPr>
        <w:pStyle w:val="Bullets"/>
        <w:rPr>
          <w:rFonts w:cs="Arial"/>
        </w:rPr>
      </w:pPr>
      <w:r w:rsidRPr="00C12C28">
        <w:t xml:space="preserve">It allows us to advertise internal adverts using our gender bias tool on Oleeo and encourages females to apply for roles they may not have considered before </w:t>
      </w:r>
    </w:p>
    <w:p w14:paraId="2B2E2777" w14:textId="18FA60D9" w:rsidR="00091201" w:rsidRPr="00C12C28" w:rsidRDefault="00C12C28" w:rsidP="00EE0128">
      <w:pPr>
        <w:pStyle w:val="Bullets"/>
        <w:rPr>
          <w:rFonts w:cs="Arial"/>
        </w:rPr>
      </w:pPr>
      <w:r w:rsidRPr="00C12C28">
        <w:t>Longer term, it will also allow us to use AI for shortlisting, saving the hiring managers spending time on this.</w:t>
      </w:r>
    </w:p>
    <w:p w14:paraId="487E0C26" w14:textId="77777777" w:rsidR="00752630" w:rsidRDefault="00752630" w:rsidP="00752630">
      <w:pPr>
        <w:pStyle w:val="Heading4"/>
      </w:pPr>
      <w:r>
        <w:t>Finance (Strategic Outcome 5)</w:t>
      </w:r>
    </w:p>
    <w:p w14:paraId="26A4F13D" w14:textId="77777777" w:rsidR="00752630" w:rsidRDefault="00752630" w:rsidP="009267BC">
      <w:pPr>
        <w:pStyle w:val="Heading4"/>
      </w:pPr>
      <w:r>
        <w:t>Maintaining a Balanced B</w:t>
      </w:r>
      <w:r w:rsidRPr="009C6C23">
        <w:t>udget</w:t>
      </w:r>
      <w:r>
        <w:t xml:space="preserve"> / Financial Sustainability</w:t>
      </w:r>
    </w:p>
    <w:p w14:paraId="0538A4D6" w14:textId="7C58C758" w:rsidR="00425294" w:rsidRPr="00425294" w:rsidRDefault="00425294" w:rsidP="00425294">
      <w:r w:rsidRPr="00425294">
        <w:t>The 2024</w:t>
      </w:r>
      <w:r>
        <w:t>/</w:t>
      </w:r>
      <w:r w:rsidRPr="00425294">
        <w:t xml:space="preserve">25 budget was approved by the Board at the Authority meeting held on 21 March 2024.  </w:t>
      </w:r>
    </w:p>
    <w:p w14:paraId="20C76610" w14:textId="02580BC6" w:rsidR="00752630" w:rsidRPr="00425294" w:rsidRDefault="00425294" w:rsidP="00425294">
      <w:r w:rsidRPr="00425294">
        <w:t>The budget report highlighted the key budgeting assumptions that are sensitive to change, and which could result in a material change to the 2024</w:t>
      </w:r>
      <w:r>
        <w:t>/</w:t>
      </w:r>
      <w:r w:rsidRPr="00425294">
        <w:t>25 budget. The overall financial position will continue to be monitored and reported throughout the year</w:t>
      </w:r>
      <w:r w:rsidR="00681B69" w:rsidRPr="00425294">
        <w:t>.</w:t>
      </w:r>
    </w:p>
    <w:p w14:paraId="1CA3306F" w14:textId="77777777" w:rsidR="00752630" w:rsidRDefault="00752630" w:rsidP="009267BC">
      <w:pPr>
        <w:pStyle w:val="Heading4"/>
      </w:pPr>
      <w:bookmarkStart w:id="83" w:name="_Hlk140139969"/>
      <w:r>
        <w:t>Revenue</w:t>
      </w:r>
    </w:p>
    <w:p w14:paraId="2D41EA6E" w14:textId="77777777" w:rsidR="00425294" w:rsidRPr="00425294" w:rsidRDefault="00425294" w:rsidP="00425294">
      <w:r w:rsidRPr="00425294">
        <w:t>The Quarter 2 forecast is reporting an overall breakeven position against funding.</w:t>
      </w:r>
    </w:p>
    <w:p w14:paraId="54CB44EB" w14:textId="6863255D" w:rsidR="00425294" w:rsidRPr="00425294" w:rsidRDefault="00425294" w:rsidP="00425294">
      <w:r w:rsidRPr="00425294">
        <w:lastRenderedPageBreak/>
        <w:t>There are a number of significant offsetting variances that form part of the Q</w:t>
      </w:r>
      <w:r>
        <w:t xml:space="preserve">uarter </w:t>
      </w:r>
      <w:r w:rsidRPr="00425294">
        <w:t xml:space="preserve">2 forecast. The main underspends </w:t>
      </w:r>
      <w:r>
        <w:t xml:space="preserve">of </w:t>
      </w:r>
      <w:r w:rsidRPr="00425294">
        <w:t xml:space="preserve">£15.8m relate to Police Officer pay costs </w:t>
      </w:r>
      <w:r>
        <w:t>(</w:t>
      </w:r>
      <w:r w:rsidRPr="00425294">
        <w:t>£5.8m</w:t>
      </w:r>
      <w:r>
        <w:t>)</w:t>
      </w:r>
      <w:r w:rsidRPr="00425294">
        <w:t xml:space="preserve"> and Police Staff pay costs </w:t>
      </w:r>
      <w:r>
        <w:t>(</w:t>
      </w:r>
      <w:r w:rsidRPr="00425294">
        <w:t>£4.5m</w:t>
      </w:r>
      <w:r>
        <w:t>),</w:t>
      </w:r>
      <w:r w:rsidRPr="00425294">
        <w:t xml:space="preserve"> as both officer and staff numbers are running below the budgeting assumptions; over-recovery of income </w:t>
      </w:r>
      <w:r>
        <w:t>(</w:t>
      </w:r>
      <w:r w:rsidRPr="00425294">
        <w:t>£2.2m</w:t>
      </w:r>
      <w:r>
        <w:t>)</w:t>
      </w:r>
      <w:r w:rsidRPr="00425294">
        <w:t xml:space="preserve"> and reduction in other costs </w:t>
      </w:r>
      <w:r>
        <w:t>(</w:t>
      </w:r>
      <w:r w:rsidRPr="00425294">
        <w:t>£3.3m</w:t>
      </w:r>
      <w:r>
        <w:t>)</w:t>
      </w:r>
      <w:r w:rsidRPr="00425294">
        <w:t>.</w:t>
      </w:r>
    </w:p>
    <w:p w14:paraId="151FC5BD" w14:textId="68E2EB28" w:rsidR="00425294" w:rsidRPr="00425294" w:rsidRDefault="00425294" w:rsidP="00425294">
      <w:r w:rsidRPr="00425294">
        <w:t xml:space="preserve">Against these underspends, there is an increase in expenditure </w:t>
      </w:r>
      <w:r>
        <w:t xml:space="preserve">of </w:t>
      </w:r>
      <w:r w:rsidRPr="00425294">
        <w:t xml:space="preserve">£7.9m relating to bids approved by the Revenue Investment Group predominately supporting overtime, staffing divisional uplifts, workforce modernisation, learning training &amp; development, and other items; additional non-pay costs </w:t>
      </w:r>
      <w:r>
        <w:t>(</w:t>
      </w:r>
      <w:r w:rsidRPr="00425294">
        <w:t>£7.9m</w:t>
      </w:r>
      <w:r>
        <w:t>)</w:t>
      </w:r>
      <w:r w:rsidRPr="00425294">
        <w:t xml:space="preserve"> - supplies &amp; services </w:t>
      </w:r>
      <w:r>
        <w:t>(</w:t>
      </w:r>
      <w:r w:rsidRPr="00425294">
        <w:t>£3.2m</w:t>
      </w:r>
      <w:r>
        <w:t>)</w:t>
      </w:r>
      <w:r w:rsidRPr="00425294">
        <w:t xml:space="preserve">, third-party payments </w:t>
      </w:r>
      <w:r>
        <w:t>(</w:t>
      </w:r>
      <w:r w:rsidRPr="00425294">
        <w:t>£3.2m</w:t>
      </w:r>
      <w:r>
        <w:t>)</w:t>
      </w:r>
      <w:r w:rsidRPr="00425294">
        <w:t xml:space="preserve"> and other cost pressures </w:t>
      </w:r>
      <w:r>
        <w:t>(</w:t>
      </w:r>
      <w:r w:rsidRPr="00425294">
        <w:t>£1.5m</w:t>
      </w:r>
      <w:r>
        <w:t>)</w:t>
      </w:r>
      <w:r w:rsidRPr="00425294">
        <w:t>.</w:t>
      </w:r>
    </w:p>
    <w:p w14:paraId="7EF19961" w14:textId="1E240F14" w:rsidR="00425294" w:rsidRPr="00425294" w:rsidRDefault="00425294" w:rsidP="00425294">
      <w:r w:rsidRPr="00425294">
        <w:t>A number of threats and opportunities are being monitored, some of which may crystallise in the Q</w:t>
      </w:r>
      <w:r>
        <w:t xml:space="preserve">uarter </w:t>
      </w:r>
      <w:r w:rsidRPr="00425294">
        <w:t xml:space="preserve">3 forecast. </w:t>
      </w:r>
    </w:p>
    <w:p w14:paraId="30498F19" w14:textId="3BD7B9AA" w:rsidR="00752630" w:rsidRPr="00425294" w:rsidRDefault="00425294" w:rsidP="00425294">
      <w:r w:rsidRPr="00425294">
        <w:t>At the end of Quarter 2 we are reporting a £6.3m year-to-date underspend against budget.</w:t>
      </w:r>
    </w:p>
    <w:p w14:paraId="11039152" w14:textId="77777777" w:rsidR="00752630" w:rsidRDefault="00752630" w:rsidP="009267BC">
      <w:pPr>
        <w:pStyle w:val="Heading4"/>
      </w:pPr>
      <w:r>
        <w:t>Capital</w:t>
      </w:r>
    </w:p>
    <w:p w14:paraId="68555A4C" w14:textId="77777777" w:rsidR="00425294" w:rsidRPr="00425294" w:rsidRDefault="00425294" w:rsidP="00425294">
      <w:bookmarkStart w:id="84" w:name="_Hlk166673910"/>
      <w:r w:rsidRPr="00425294">
        <w:t>The capital forecast at Quarter 2 is £69.3m, £3.2m (fully funded) above the budget position of £66.1m.</w:t>
      </w:r>
    </w:p>
    <w:p w14:paraId="2D75F691" w14:textId="3F56C637" w:rsidR="00425294" w:rsidRPr="00425294" w:rsidRDefault="00425294" w:rsidP="00425294">
      <w:r w:rsidRPr="00425294">
        <w:t>Full year budgeted slippage of £6.5m has been identified by the end of Q</w:t>
      </w:r>
      <w:r>
        <w:t xml:space="preserve">uarter </w:t>
      </w:r>
      <w:r w:rsidRPr="00425294">
        <w:t>2. In order to mitigate against potential risk of further slippage in 2024</w:t>
      </w:r>
      <w:r>
        <w:t>/</w:t>
      </w:r>
      <w:r w:rsidRPr="00425294">
        <w:t>25, an overallocation of up to £22.0m has been approved by Capital Investment Group in October to be managed across financial years</w:t>
      </w:r>
      <w:r>
        <w:t>.</w:t>
      </w:r>
    </w:p>
    <w:p w14:paraId="2180F42A" w14:textId="77777777" w:rsidR="00425294" w:rsidRPr="00425294" w:rsidRDefault="00425294" w:rsidP="00425294">
      <w:r w:rsidRPr="00425294">
        <w:t>Committed and uncommitted spend will continue to be monitored throughout the year.</w:t>
      </w:r>
    </w:p>
    <w:p w14:paraId="1B909FC1" w14:textId="16DB5191" w:rsidR="00752630" w:rsidRPr="00425294" w:rsidRDefault="00425294" w:rsidP="00425294">
      <w:r w:rsidRPr="00425294">
        <w:t>The year-to-date capital spend at P</w:t>
      </w:r>
      <w:r>
        <w:t xml:space="preserve">eriod </w:t>
      </w:r>
      <w:r w:rsidRPr="00425294">
        <w:t>6 is under budget by £15.6m (net of slippage)</w:t>
      </w:r>
      <w:r w:rsidR="00681B69" w:rsidRPr="00425294">
        <w:t>.</w:t>
      </w:r>
    </w:p>
    <w:bookmarkEnd w:id="84"/>
    <w:p w14:paraId="164D7D6B" w14:textId="77777777" w:rsidR="00752630" w:rsidRDefault="00752630" w:rsidP="009267BC">
      <w:pPr>
        <w:pStyle w:val="Heading4"/>
      </w:pPr>
      <w:r>
        <w:t>Reform</w:t>
      </w:r>
    </w:p>
    <w:p w14:paraId="20B7C327" w14:textId="77777777" w:rsidR="00425294" w:rsidRPr="00425294" w:rsidRDefault="00425294" w:rsidP="00425294">
      <w:bookmarkStart w:id="85" w:name="_Hlk166674009"/>
      <w:r w:rsidRPr="00425294">
        <w:t>The reform forecast at Quarter 2 of £25.1m, £0.1m (fully funded) above the budget position of £25.0m.</w:t>
      </w:r>
    </w:p>
    <w:p w14:paraId="44C67B72" w14:textId="2A0AAEA5" w:rsidR="00425294" w:rsidRPr="00425294" w:rsidRDefault="00425294" w:rsidP="00425294">
      <w:r w:rsidRPr="00425294">
        <w:t>The Quarter 2 reform forecast has resulted in the reduction of F</w:t>
      </w:r>
      <w:r>
        <w:t xml:space="preserve">inancial </w:t>
      </w:r>
      <w:r w:rsidRPr="00425294">
        <w:t>Y</w:t>
      </w:r>
      <w:r>
        <w:t>ear</w:t>
      </w:r>
      <w:r w:rsidRPr="00425294">
        <w:t xml:space="preserve"> slippage of £5.4m, bringing the total slippage down to £0.1m from the budgeted amount of £5.5m.</w:t>
      </w:r>
    </w:p>
    <w:p w14:paraId="0D7A9ACF" w14:textId="77777777" w:rsidR="00425294" w:rsidRPr="00425294" w:rsidRDefault="00425294" w:rsidP="00425294">
      <w:r w:rsidRPr="00425294">
        <w:t>Committed and uncommitted spend will continue to be monitored throughout the year.</w:t>
      </w:r>
    </w:p>
    <w:p w14:paraId="0379BB14" w14:textId="489E4DFD" w:rsidR="00752630" w:rsidRPr="00425294" w:rsidRDefault="00425294" w:rsidP="00425294">
      <w:r w:rsidRPr="00425294">
        <w:t>The year-to-date capital spend at P</w:t>
      </w:r>
      <w:r>
        <w:t xml:space="preserve">eriod </w:t>
      </w:r>
      <w:r w:rsidRPr="00425294">
        <w:t>6 is over budget by £0.4m (net of slippage)</w:t>
      </w:r>
      <w:r w:rsidR="00681B69" w:rsidRPr="00425294">
        <w:t>.</w:t>
      </w:r>
    </w:p>
    <w:bookmarkEnd w:id="83"/>
    <w:bookmarkEnd w:id="85"/>
    <w:p w14:paraId="700AAF4D" w14:textId="77777777" w:rsidR="00752630" w:rsidRDefault="00752630" w:rsidP="009267BC">
      <w:pPr>
        <w:pStyle w:val="Heading4"/>
      </w:pPr>
      <w:r>
        <w:t>Environmental</w:t>
      </w:r>
    </w:p>
    <w:p w14:paraId="64F41049" w14:textId="77777777" w:rsidR="00752630" w:rsidRDefault="00752630" w:rsidP="00752630">
      <w:r>
        <w:rPr>
          <w:noProof/>
        </w:rPr>
        <w:drawing>
          <wp:inline distT="0" distB="0" distL="0" distR="0" wp14:anchorId="20B1BF6E" wp14:editId="5E09A46B">
            <wp:extent cx="6188710" cy="1447165"/>
            <wp:effectExtent l="0" t="0" r="2540" b="635"/>
            <wp:docPr id="274789877" name="Picture 1" descr="Energy Consumption YTD Comparison Table&#10;The first row shows 19,349,135 kWh of gas consumption PYTD compared to 18,712,383 kWh YTD (down 3.3% on last year).&#10;The second row shows 19,676,083 kWh of electricity consumption PYTD compared to 19,193,155 kWh YTD (down 2.5% on last year).&#10;The third row shows 120,035 m3 of water consumption PYTD compared to 107,294 m3 YTD (down 10.6% on l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89877" name="Picture 1" descr="Energy Consumption YTD Comparison Table&#10;The first row shows 19,349,135 kWh of gas consumption PYTD compared to 18,712,383 kWh YTD (down 3.3% on last year).&#10;The second row shows 19,676,083 kWh of electricity consumption PYTD compared to 19,193,155 kWh YTD (down 2.5% on last year).&#10;The third row shows 120,035 m3 of water consumption PYTD compared to 107,294 m3 YTD (down 10.6% on last year).&#10;"/>
                    <pic:cNvPicPr/>
                  </pic:nvPicPr>
                  <pic:blipFill>
                    <a:blip r:embed="rId96"/>
                    <a:stretch>
                      <a:fillRect/>
                    </a:stretch>
                  </pic:blipFill>
                  <pic:spPr>
                    <a:xfrm>
                      <a:off x="0" y="0"/>
                      <a:ext cx="6188710" cy="1447165"/>
                    </a:xfrm>
                    <a:prstGeom prst="rect">
                      <a:avLst/>
                    </a:prstGeom>
                  </pic:spPr>
                </pic:pic>
              </a:graphicData>
            </a:graphic>
          </wp:inline>
        </w:drawing>
      </w:r>
    </w:p>
    <w:p w14:paraId="0221AF58" w14:textId="77777777" w:rsidR="00752630" w:rsidRDefault="00752630" w:rsidP="00752630">
      <w:r>
        <w:rPr>
          <w:noProof/>
        </w:rPr>
        <w:lastRenderedPageBreak/>
        <w:drawing>
          <wp:inline distT="0" distB="0" distL="0" distR="0" wp14:anchorId="32F58552" wp14:editId="10087C93">
            <wp:extent cx="6188710" cy="1441450"/>
            <wp:effectExtent l="0" t="0" r="2540" b="6350"/>
            <wp:docPr id="1786771915" name="Picture 1" descr="Energy Consumption Five-Year Comparison Table&#10;The first row shows the five-year mean for gas consumption is 20,834,209 kWh compared to 18,712,383 kWh YTD (down 10.2% on five-year mean).&#10;The second row shows the five-year mean for electricity consumption is 22,252,079 kWh compared to 19,193,155 kWh YTD (down 13.7% on five-year mean).&#10;The third row shows the five-year mean for water consumption is 135,373 m3 compared to 107,294 m3 YTD (down 20.7% on five-year me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71915" name="Picture 1" descr="Energy Consumption Five-Year Comparison Table&#10;The first row shows the five-year mean for gas consumption is 20,834,209 kWh compared to 18,712,383 kWh YTD (down 10.2% on five-year mean).&#10;The second row shows the five-year mean for electricity consumption is 22,252,079 kWh compared to 19,193,155 kWh YTD (down 13.7% on five-year mean).&#10;The third row shows the five-year mean for water consumption is 135,373 m3 compared to 107,294 m3 YTD (down 20.7% on five-year mean).&#10;"/>
                    <pic:cNvPicPr/>
                  </pic:nvPicPr>
                  <pic:blipFill>
                    <a:blip r:embed="rId97"/>
                    <a:stretch>
                      <a:fillRect/>
                    </a:stretch>
                  </pic:blipFill>
                  <pic:spPr>
                    <a:xfrm>
                      <a:off x="0" y="0"/>
                      <a:ext cx="6188710" cy="1441450"/>
                    </a:xfrm>
                    <a:prstGeom prst="rect">
                      <a:avLst/>
                    </a:prstGeom>
                  </pic:spPr>
                </pic:pic>
              </a:graphicData>
            </a:graphic>
          </wp:inline>
        </w:drawing>
      </w:r>
    </w:p>
    <w:p w14:paraId="615068E1" w14:textId="77777777" w:rsidR="00752630" w:rsidRPr="00561ABF" w:rsidRDefault="00752630" w:rsidP="00752630">
      <w:r w:rsidRPr="00561ABF">
        <w:rPr>
          <w:shd w:val="clear" w:color="auto" w:fill="FBE4D5" w:themeFill="accent2" w:themeFillTint="33"/>
        </w:rPr>
        <w:t>Please note that complete Quarter 2 data is not yet available and so we have provided information based on April to August of Financial Year 2024/25 with a comparison over the same time period for previous years. Considering this, all figures provided above should be taken as indicative, until the Quarter 2 data set is complete</w:t>
      </w:r>
      <w:r w:rsidRPr="00561ABF">
        <w:t>.</w:t>
      </w:r>
    </w:p>
    <w:p w14:paraId="64D47C7F" w14:textId="77777777" w:rsidR="00752630" w:rsidRPr="00561ABF" w:rsidRDefault="00752630" w:rsidP="00752630">
      <w:r w:rsidRPr="00561ABF">
        <w:t>As with the Q</w:t>
      </w:r>
      <w:r>
        <w:t xml:space="preserve">uarter </w:t>
      </w:r>
      <w:r w:rsidRPr="00561ABF">
        <w:t xml:space="preserve">1 report, we continue to see a downward trend in consumption of utilities in comparison to the same period last year and the </w:t>
      </w:r>
      <w:r>
        <w:t>five-</w:t>
      </w:r>
      <w:r w:rsidRPr="00561ABF">
        <w:t>year mean.</w:t>
      </w:r>
    </w:p>
    <w:p w14:paraId="46B8EF2D" w14:textId="77777777" w:rsidR="00752630" w:rsidRPr="00561ABF" w:rsidRDefault="00752630" w:rsidP="00752630">
      <w:r w:rsidRPr="00561ABF">
        <w:t>We continue to see reduction in electricity consumption in comparison with the same time last year, and a more significant reduction against the five-year mean. This points to a long-term reduction driven by previous and current Estate rationalisation and upgrade of electrical infrastructure and office equipment.</w:t>
      </w:r>
    </w:p>
    <w:p w14:paraId="3FBC5F6C" w14:textId="77777777" w:rsidR="00752630" w:rsidRPr="00561ABF" w:rsidRDefault="00752630" w:rsidP="00752630">
      <w:r w:rsidRPr="00561ABF">
        <w:t xml:space="preserve">Gas consumption has also reduced slightly against the same time last year and more significantly against the </w:t>
      </w:r>
      <w:r>
        <w:t>five-</w:t>
      </w:r>
      <w:r w:rsidRPr="00561ABF">
        <w:t xml:space="preserve">year </w:t>
      </w:r>
      <w:r>
        <w:t>mean</w:t>
      </w:r>
      <w:r w:rsidRPr="00561ABF">
        <w:t>. This reflects the work done on reducing estate footprint and continuing improvement of heating and hot water infrastructure across the portfolio.</w:t>
      </w:r>
    </w:p>
    <w:p w14:paraId="38A5966A" w14:textId="77777777" w:rsidR="00752630" w:rsidRPr="00561ABF" w:rsidRDefault="00752630" w:rsidP="00752630">
      <w:r w:rsidRPr="00561ABF">
        <w:t>Consumption of water has followed the same trend as gas and electricity. This is likely due in part to the same driver of estate rationalisation, and low occupancy levels within some buildings. However, we continue to see spikes in consumption within the data. This could be reflective of more intensive use of buildings during periods of high activity. Continual improvement in monitoring will help to determine whether these spikes can be explained as legitimate use or due to leakage.</w:t>
      </w:r>
    </w:p>
    <w:p w14:paraId="438834BA" w14:textId="77777777" w:rsidR="00752630" w:rsidRDefault="00752630" w:rsidP="00752630">
      <w:r w:rsidRPr="00561ABF">
        <w:t xml:space="preserve">In addition, we have completed our Public Bodies Duties Climate Change Report, where we have once again shown a reduction in our CO2e emissions against our annual total for last year. Our emissions total for </w:t>
      </w:r>
      <w:r>
        <w:t>20</w:t>
      </w:r>
      <w:r w:rsidRPr="00561ABF">
        <w:t>23/24 was 39,377 tCO2e. The Report, which was approved by the SPA Board in September, sets out our intention to publish our Net Zero Plan this year, and to take forward our Climate Change Adaptation Strategy. As part of the Board discussion, there was a request from the Chair to include benchmarking data within Quarterly reporting. The Sustainability Team is currently reviewing this action and will be in a position to provide this additional assessment at the next update.</w:t>
      </w:r>
    </w:p>
    <w:p w14:paraId="5B5BA3B4" w14:textId="77777777" w:rsidR="00752630" w:rsidRPr="00561ABF" w:rsidRDefault="00752630" w:rsidP="009267BC">
      <w:pPr>
        <w:pStyle w:val="Heading4"/>
      </w:pPr>
      <w:r>
        <w:lastRenderedPageBreak/>
        <w:t>Fleet</w:t>
      </w:r>
    </w:p>
    <w:p w14:paraId="65A40BF3" w14:textId="77777777" w:rsidR="00752630" w:rsidRDefault="00752630" w:rsidP="00752630">
      <w:r>
        <w:rPr>
          <w:noProof/>
        </w:rPr>
        <w:drawing>
          <wp:inline distT="0" distB="0" distL="0" distR="0" wp14:anchorId="309FC874" wp14:editId="7CD9D4B1">
            <wp:extent cx="6188710" cy="1435100"/>
            <wp:effectExtent l="0" t="0" r="2540" b="0"/>
            <wp:docPr id="994938291" name="Picture 1" descr="Fleet Quarterly Comparison Table&#10;The first row shows the percentage of Ultra-Low Emission Vehicles in our fleet was 31.0% in 2024/25 Q1 compared to 32.0% in 2024/25 Q2 (up 1.0% points on previous quarter).&#10;The second row shows the average age of fleet was 3.8 years in 2024/25 Q1 compared to 4.0 years in 2024/25 Q2 (up 1.8% on previous quarter).&#10;The third row shows the total mileage of electric vehicles (green miles) was 1,600,395 miles in 2024/25 Q1 compared to 1,638,365 miles in 2024/25 Q2 (up 2.4% on previous quar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38291" name="Picture 1" descr="Fleet Quarterly Comparison Table&#10;The first row shows the percentage of Ultra-Low Emission Vehicles in our fleet was 31.0% in 2024/25 Q1 compared to 32.0% in 2024/25 Q2 (up 1.0% points on previous quarter).&#10;The second row shows the average age of fleet was 3.8 years in 2024/25 Q1 compared to 4.0 years in 2024/25 Q2 (up 1.8% on previous quarter).&#10;The third row shows the total mileage of electric vehicles (green miles) was 1,600,395 miles in 2024/25 Q1 compared to 1,638,365 miles in 2024/25 Q2 (up 2.4% on previous quarter).&#10;"/>
                    <pic:cNvPicPr/>
                  </pic:nvPicPr>
                  <pic:blipFill>
                    <a:blip r:embed="rId98"/>
                    <a:stretch>
                      <a:fillRect/>
                    </a:stretch>
                  </pic:blipFill>
                  <pic:spPr>
                    <a:xfrm>
                      <a:off x="0" y="0"/>
                      <a:ext cx="6188710" cy="1435100"/>
                    </a:xfrm>
                    <a:prstGeom prst="rect">
                      <a:avLst/>
                    </a:prstGeom>
                  </pic:spPr>
                </pic:pic>
              </a:graphicData>
            </a:graphic>
          </wp:inline>
        </w:drawing>
      </w:r>
    </w:p>
    <w:p w14:paraId="616B6821" w14:textId="77777777" w:rsidR="00752630" w:rsidRPr="00784E03" w:rsidRDefault="00752630" w:rsidP="00752630">
      <w:r w:rsidRPr="00784E03">
        <w:t>Police Scotland is working towards implementing the move to an Ultra-Low Emission Fleet as part of the Scottish Police Authority (SPA) approved Fleet Strategy. In Quarter 2 2024/25, 1,142 ULEV vehicles make up 32% of Police Scotland’s overall fleet (an increase of 1% point from the previous quarter). 46% of the unmarked fleet are ULEV (ultra-low emission vehicles). This figure remains the same as last quarter.</w:t>
      </w:r>
    </w:p>
    <w:p w14:paraId="7086A7AE" w14:textId="77777777" w:rsidR="00752630" w:rsidRPr="00784E03" w:rsidRDefault="00752630" w:rsidP="00752630">
      <w:r w:rsidRPr="00784E03">
        <w:t>The total mileage of electric vehicles (green miles) during Quarter 2 2024/25 was 1,638,365. This has increased from 1,600,395 in Quarter 1 2024/25 and is up 2.3%.</w:t>
      </w:r>
    </w:p>
    <w:p w14:paraId="78DBBB6A" w14:textId="77777777" w:rsidR="00752630" w:rsidRDefault="00752630" w:rsidP="00752630">
      <w:r w:rsidRPr="00784E03">
        <w:t xml:space="preserve">The current average Fleet age for Police Scotland fleet is </w:t>
      </w:r>
      <w:r>
        <w:t>four</w:t>
      </w:r>
      <w:r w:rsidRPr="00784E03">
        <w:t xml:space="preserve"> years. This fluctuates from one day to the next as it is a live figure taking on the day, considering vehicles awaiting to be replaced and sold. This will reduce as new vehicles are introduced to the fleet and if the level of capital investment on the fleet is maintained in future years.</w:t>
      </w:r>
    </w:p>
    <w:sectPr w:rsidR="00752630" w:rsidSect="0009719F">
      <w:headerReference w:type="even" r:id="rId99"/>
      <w:headerReference w:type="default" r:id="rId100"/>
      <w:footerReference w:type="even" r:id="rId101"/>
      <w:footerReference w:type="default" r:id="rId102"/>
      <w:headerReference w:type="first" r:id="rId103"/>
      <w:footerReference w:type="first" r:id="rId104"/>
      <w:pgSz w:w="11906" w:h="16838"/>
      <w:pgMar w:top="1440" w:right="1080" w:bottom="1440" w:left="1080"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6D7B45" w14:textId="77777777" w:rsidR="00EC26A0" w:rsidRDefault="00EC26A0" w:rsidP="00773069">
      <w:pPr>
        <w:spacing w:line="240" w:lineRule="auto"/>
      </w:pPr>
      <w:r>
        <w:separator/>
      </w:r>
    </w:p>
  </w:endnote>
  <w:endnote w:type="continuationSeparator" w:id="0">
    <w:p w14:paraId="321BFD7B" w14:textId="77777777" w:rsidR="00EC26A0" w:rsidRDefault="00EC26A0" w:rsidP="00773069">
      <w:pPr>
        <w:spacing w:line="240" w:lineRule="auto"/>
      </w:pPr>
      <w:r>
        <w:continuationSeparator/>
      </w:r>
    </w:p>
  </w:endnote>
  <w:endnote w:type="continuationNotice" w:id="1">
    <w:p w14:paraId="5D7DE408" w14:textId="77777777" w:rsidR="00EC26A0" w:rsidRDefault="00EC26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587BF" w14:textId="77777777" w:rsidR="00EC26A0" w:rsidRDefault="00EC26A0">
    <w:pPr>
      <w:pStyle w:val="Footer"/>
    </w:pPr>
  </w:p>
  <w:p w14:paraId="44955C97" w14:textId="0F377714" w:rsidR="00EC26A0" w:rsidRDefault="00EC26A0" w:rsidP="00773069">
    <w:pPr>
      <w:pStyle w:val="Foot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201384" w:rsidRPr="009A7715">
      <w:rPr>
        <w:rFonts w:ascii="Times New Roman" w:hAnsi="Times New Roman" w:cs="Times New Roman"/>
        <w:b/>
      </w:rPr>
      <w:t>OFFICIAL</w:t>
    </w:r>
    <w:r w:rsidRPr="0054502C">
      <w:rPr>
        <w:rFonts w:ascii="Times New Roman" w:hAnsi="Times New Roman" w:cs="Times New Roman"/>
        <w:b/>
      </w:rPr>
      <w:fldChar w:fldCharType="end"/>
    </w:r>
  </w:p>
  <w:p w14:paraId="470D8FC7" w14:textId="77777777" w:rsidR="00EC26A0" w:rsidRDefault="00EC26A0"/>
  <w:p w14:paraId="06845422" w14:textId="77777777" w:rsidR="004E508A" w:rsidRDefault="004E50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4097720"/>
      <w:docPartObj>
        <w:docPartGallery w:val="Page Numbers (Bottom of Page)"/>
        <w:docPartUnique/>
      </w:docPartObj>
    </w:sdtPr>
    <w:sdtEndPr/>
    <w:sdtContent>
      <w:p w14:paraId="62BD0A27" w14:textId="763D93F5" w:rsidR="00EC26A0" w:rsidRDefault="00EC26A0">
        <w:pPr>
          <w:pStyle w:val="Footer"/>
          <w:jc w:val="right"/>
        </w:pPr>
        <w:r>
          <w:fldChar w:fldCharType="begin"/>
        </w:r>
        <w:r>
          <w:instrText>PAGE   \* MERGEFORMAT</w:instrText>
        </w:r>
        <w:r>
          <w:fldChar w:fldCharType="separate"/>
        </w:r>
        <w:r w:rsidR="0069398A">
          <w:rPr>
            <w:noProof/>
          </w:rPr>
          <w:t>30</w:t>
        </w:r>
        <w:r>
          <w:fldChar w:fldCharType="end"/>
        </w:r>
      </w:p>
    </w:sdtContent>
  </w:sdt>
  <w:p w14:paraId="539737AB" w14:textId="5C00324D" w:rsidR="00EC26A0" w:rsidRDefault="00EC26A0" w:rsidP="00773069">
    <w:pPr>
      <w:pStyle w:val="Footer"/>
      <w:jc w:val="center"/>
    </w:pPr>
    <w:r>
      <w:rPr>
        <w:rFonts w:ascii="Times New Roman" w:hAnsi="Times New Roman" w:cs="Times New Roman"/>
        <w:b/>
      </w:rPr>
      <w:fldChar w:fldCharType="begin"/>
    </w:r>
    <w:r>
      <w:rPr>
        <w:rFonts w:ascii="Times New Roman" w:hAnsi="Times New Roman" w:cs="Times New Roman"/>
        <w:b/>
      </w:rPr>
      <w:instrText xml:space="preserve"> DOCPROPERTY ClassificationMarking \* MERGEFORMAT </w:instrText>
    </w:r>
    <w:r>
      <w:rPr>
        <w:rFonts w:ascii="Times New Roman" w:hAnsi="Times New Roman" w:cs="Times New Roman"/>
        <w:b/>
      </w:rPr>
      <w:fldChar w:fldCharType="separate"/>
    </w:r>
    <w:r w:rsidR="00201384" w:rsidRPr="009A7715">
      <w:rPr>
        <w:rFonts w:ascii="Times New Roman" w:hAnsi="Times New Roman" w:cs="Times New Roman"/>
        <w:b/>
      </w:rPr>
      <w:t>OFFICIAL</w:t>
    </w:r>
    <w:r>
      <w:rPr>
        <w:rFonts w:ascii="Times New Roman" w:hAnsi="Times New Roman" w:cs="Times New Roman"/>
        <w:b/>
      </w:rPr>
      <w:fldChar w:fldCharType="end"/>
    </w:r>
  </w:p>
  <w:p w14:paraId="2EDAC9B3" w14:textId="77777777" w:rsidR="00EC26A0" w:rsidRDefault="00EC26A0"/>
  <w:p w14:paraId="4828584A" w14:textId="77777777" w:rsidR="004E508A" w:rsidRDefault="004E508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5107C" w14:textId="41DE3E44" w:rsidR="00EC26A0" w:rsidRDefault="00EC26A0" w:rsidP="00773069">
    <w:pPr>
      <w:pStyle w:val="Foot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201384" w:rsidRPr="009A7715">
      <w:rPr>
        <w:rFonts w:ascii="Times New Roman" w:hAnsi="Times New Roman" w:cs="Times New Roman"/>
        <w:b/>
      </w:rPr>
      <w:t>OFFICIAL</w:t>
    </w:r>
    <w:r w:rsidRPr="0054502C">
      <w:rPr>
        <w:rFonts w:ascii="Times New Roman" w:hAnsi="Times New Roman" w:cs="Times New Roman"/>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86D4E1" w14:textId="77777777" w:rsidR="00EC26A0" w:rsidRDefault="00EC26A0" w:rsidP="00773069">
      <w:pPr>
        <w:spacing w:line="240" w:lineRule="auto"/>
      </w:pPr>
      <w:r>
        <w:separator/>
      </w:r>
    </w:p>
  </w:footnote>
  <w:footnote w:type="continuationSeparator" w:id="0">
    <w:p w14:paraId="66EDB2BB" w14:textId="77777777" w:rsidR="00EC26A0" w:rsidRDefault="00EC26A0" w:rsidP="00773069">
      <w:pPr>
        <w:spacing w:line="240" w:lineRule="auto"/>
      </w:pPr>
      <w:r>
        <w:continuationSeparator/>
      </w:r>
    </w:p>
  </w:footnote>
  <w:footnote w:type="continuationNotice" w:id="1">
    <w:p w14:paraId="25FA192A" w14:textId="77777777" w:rsidR="00EC26A0" w:rsidRDefault="00EC26A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B7A20" w14:textId="1EEE3197" w:rsidR="00EC26A0" w:rsidRPr="0082659C" w:rsidRDefault="00EC26A0" w:rsidP="00773069">
    <w:pPr>
      <w:pStyle w:val="Header"/>
      <w:jc w:val="center"/>
      <w:rPr>
        <w:color w:val="FF0000"/>
      </w:rP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201384" w:rsidRPr="009A7715">
      <w:rPr>
        <w:rFonts w:ascii="Times New Roman" w:hAnsi="Times New Roman" w:cs="Times New Roman"/>
        <w:b/>
      </w:rPr>
      <w:t>OFFICIAL</w:t>
    </w:r>
    <w:r w:rsidRPr="0054502C">
      <w:rPr>
        <w:rFonts w:ascii="Times New Roman" w:hAnsi="Times New Roman" w:cs="Times New Roman"/>
        <w:b/>
      </w:rPr>
      <w:fldChar w:fldCharType="end"/>
    </w:r>
  </w:p>
  <w:p w14:paraId="06E8D560" w14:textId="77777777" w:rsidR="00EC26A0" w:rsidRDefault="00EC26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4800E" w14:textId="6CBA3072" w:rsidR="00EC26A0" w:rsidRDefault="00EC26A0" w:rsidP="00773069">
    <w:pPr>
      <w:pStyle w:val="Head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201384" w:rsidRPr="009A7715">
      <w:rPr>
        <w:rFonts w:ascii="Times New Roman" w:hAnsi="Times New Roman" w:cs="Times New Roman"/>
        <w:b/>
      </w:rPr>
      <w:t>OFFICIAL</w:t>
    </w:r>
    <w:r w:rsidRPr="0054502C">
      <w:rPr>
        <w:rFonts w:ascii="Times New Roman" w:hAnsi="Times New Roman" w:cs="Times New Roman"/>
        <w:b/>
      </w:rPr>
      <w:fldChar w:fldCharType="end"/>
    </w:r>
  </w:p>
  <w:p w14:paraId="28817CAB" w14:textId="77777777" w:rsidR="00EC26A0" w:rsidRDefault="00EC26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09511" w14:textId="426EE35A" w:rsidR="00EC26A0" w:rsidRDefault="00EC26A0" w:rsidP="00773069">
    <w:pPr>
      <w:pStyle w:val="Head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201384" w:rsidRPr="009A7715">
      <w:rPr>
        <w:rFonts w:ascii="Times New Roman" w:hAnsi="Times New Roman" w:cs="Times New Roman"/>
        <w:b/>
      </w:rPr>
      <w:t>OFFICIAL</w:t>
    </w:r>
    <w:r w:rsidRPr="0054502C">
      <w:rPr>
        <w:rFonts w:ascii="Times New Roman" w:hAnsi="Times New Roman" w:cs="Times New Roman"/>
        <w:b/>
      </w:rPr>
      <w:fldChar w:fldCharType="end"/>
    </w:r>
  </w:p>
  <w:p w14:paraId="5C636A17" w14:textId="77777777" w:rsidR="00EC26A0" w:rsidRDefault="00EC26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D1E4C08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546DBA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C342C3"/>
    <w:multiLevelType w:val="hybridMultilevel"/>
    <w:tmpl w:val="D0084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1969AD"/>
    <w:multiLevelType w:val="hybridMultilevel"/>
    <w:tmpl w:val="BDE472E2"/>
    <w:lvl w:ilvl="0" w:tplc="EB80540E">
      <w:start w:val="1"/>
      <w:numFmt w:val="bullet"/>
      <w:lvlText w:val="•"/>
      <w:lvlJc w:val="left"/>
      <w:pPr>
        <w:tabs>
          <w:tab w:val="num" w:pos="720"/>
        </w:tabs>
        <w:ind w:left="720" w:hanging="360"/>
      </w:pPr>
      <w:rPr>
        <w:rFonts w:ascii="Arial" w:hAnsi="Arial" w:hint="default"/>
      </w:rPr>
    </w:lvl>
    <w:lvl w:ilvl="1" w:tplc="24CC0C12">
      <w:start w:val="1"/>
      <w:numFmt w:val="bullet"/>
      <w:lvlText w:val="•"/>
      <w:lvlJc w:val="left"/>
      <w:pPr>
        <w:tabs>
          <w:tab w:val="num" w:pos="1440"/>
        </w:tabs>
        <w:ind w:left="1440" w:hanging="360"/>
      </w:pPr>
      <w:rPr>
        <w:rFonts w:ascii="Arial" w:hAnsi="Arial" w:hint="default"/>
      </w:rPr>
    </w:lvl>
    <w:lvl w:ilvl="2" w:tplc="812C18B2" w:tentative="1">
      <w:start w:val="1"/>
      <w:numFmt w:val="bullet"/>
      <w:lvlText w:val="•"/>
      <w:lvlJc w:val="left"/>
      <w:pPr>
        <w:tabs>
          <w:tab w:val="num" w:pos="2160"/>
        </w:tabs>
        <w:ind w:left="2160" w:hanging="360"/>
      </w:pPr>
      <w:rPr>
        <w:rFonts w:ascii="Arial" w:hAnsi="Arial" w:hint="default"/>
      </w:rPr>
    </w:lvl>
    <w:lvl w:ilvl="3" w:tplc="DEAE753C" w:tentative="1">
      <w:start w:val="1"/>
      <w:numFmt w:val="bullet"/>
      <w:lvlText w:val="•"/>
      <w:lvlJc w:val="left"/>
      <w:pPr>
        <w:tabs>
          <w:tab w:val="num" w:pos="2880"/>
        </w:tabs>
        <w:ind w:left="2880" w:hanging="360"/>
      </w:pPr>
      <w:rPr>
        <w:rFonts w:ascii="Arial" w:hAnsi="Arial" w:hint="default"/>
      </w:rPr>
    </w:lvl>
    <w:lvl w:ilvl="4" w:tplc="035EAD02" w:tentative="1">
      <w:start w:val="1"/>
      <w:numFmt w:val="bullet"/>
      <w:lvlText w:val="•"/>
      <w:lvlJc w:val="left"/>
      <w:pPr>
        <w:tabs>
          <w:tab w:val="num" w:pos="3600"/>
        </w:tabs>
        <w:ind w:left="3600" w:hanging="360"/>
      </w:pPr>
      <w:rPr>
        <w:rFonts w:ascii="Arial" w:hAnsi="Arial" w:hint="default"/>
      </w:rPr>
    </w:lvl>
    <w:lvl w:ilvl="5" w:tplc="ACE2F35E" w:tentative="1">
      <w:start w:val="1"/>
      <w:numFmt w:val="bullet"/>
      <w:lvlText w:val="•"/>
      <w:lvlJc w:val="left"/>
      <w:pPr>
        <w:tabs>
          <w:tab w:val="num" w:pos="4320"/>
        </w:tabs>
        <w:ind w:left="4320" w:hanging="360"/>
      </w:pPr>
      <w:rPr>
        <w:rFonts w:ascii="Arial" w:hAnsi="Arial" w:hint="default"/>
      </w:rPr>
    </w:lvl>
    <w:lvl w:ilvl="6" w:tplc="E188DE12" w:tentative="1">
      <w:start w:val="1"/>
      <w:numFmt w:val="bullet"/>
      <w:lvlText w:val="•"/>
      <w:lvlJc w:val="left"/>
      <w:pPr>
        <w:tabs>
          <w:tab w:val="num" w:pos="5040"/>
        </w:tabs>
        <w:ind w:left="5040" w:hanging="360"/>
      </w:pPr>
      <w:rPr>
        <w:rFonts w:ascii="Arial" w:hAnsi="Arial" w:hint="default"/>
      </w:rPr>
    </w:lvl>
    <w:lvl w:ilvl="7" w:tplc="0ED0BD08" w:tentative="1">
      <w:start w:val="1"/>
      <w:numFmt w:val="bullet"/>
      <w:lvlText w:val="•"/>
      <w:lvlJc w:val="left"/>
      <w:pPr>
        <w:tabs>
          <w:tab w:val="num" w:pos="5760"/>
        </w:tabs>
        <w:ind w:left="5760" w:hanging="360"/>
      </w:pPr>
      <w:rPr>
        <w:rFonts w:ascii="Arial" w:hAnsi="Arial" w:hint="default"/>
      </w:rPr>
    </w:lvl>
    <w:lvl w:ilvl="8" w:tplc="7B6078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AA6E21"/>
    <w:multiLevelType w:val="hybridMultilevel"/>
    <w:tmpl w:val="5BFA0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7631DD"/>
    <w:multiLevelType w:val="hybridMultilevel"/>
    <w:tmpl w:val="4184F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8E773A"/>
    <w:multiLevelType w:val="hybridMultilevel"/>
    <w:tmpl w:val="7DF0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938B2"/>
    <w:multiLevelType w:val="hybridMultilevel"/>
    <w:tmpl w:val="AB1A8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DB25A2"/>
    <w:multiLevelType w:val="hybridMultilevel"/>
    <w:tmpl w:val="F7762F06"/>
    <w:lvl w:ilvl="0" w:tplc="1EA05838">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45168E"/>
    <w:multiLevelType w:val="multilevel"/>
    <w:tmpl w:val="FC0C2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C02EA7"/>
    <w:multiLevelType w:val="hybridMultilevel"/>
    <w:tmpl w:val="E8B05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E976CF"/>
    <w:multiLevelType w:val="hybridMultilevel"/>
    <w:tmpl w:val="8C74A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6727E5"/>
    <w:multiLevelType w:val="hybridMultilevel"/>
    <w:tmpl w:val="4A16B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E2566D"/>
    <w:multiLevelType w:val="hybridMultilevel"/>
    <w:tmpl w:val="B282AB08"/>
    <w:lvl w:ilvl="0" w:tplc="FC24A576">
      <w:start w:val="1"/>
      <w:numFmt w:val="bullet"/>
      <w:lvlText w:val="•"/>
      <w:lvlJc w:val="left"/>
      <w:pPr>
        <w:tabs>
          <w:tab w:val="num" w:pos="720"/>
        </w:tabs>
        <w:ind w:left="720" w:hanging="360"/>
      </w:pPr>
      <w:rPr>
        <w:rFonts w:ascii="Arial" w:hAnsi="Arial" w:hint="default"/>
      </w:rPr>
    </w:lvl>
    <w:lvl w:ilvl="1" w:tplc="0DB89E62">
      <w:start w:val="1"/>
      <w:numFmt w:val="bullet"/>
      <w:lvlText w:val="•"/>
      <w:lvlJc w:val="left"/>
      <w:pPr>
        <w:tabs>
          <w:tab w:val="num" w:pos="1440"/>
        </w:tabs>
        <w:ind w:left="1440" w:hanging="360"/>
      </w:pPr>
      <w:rPr>
        <w:rFonts w:ascii="Arial" w:hAnsi="Arial" w:hint="default"/>
      </w:rPr>
    </w:lvl>
    <w:lvl w:ilvl="2" w:tplc="86D04BE6" w:tentative="1">
      <w:start w:val="1"/>
      <w:numFmt w:val="bullet"/>
      <w:lvlText w:val="•"/>
      <w:lvlJc w:val="left"/>
      <w:pPr>
        <w:tabs>
          <w:tab w:val="num" w:pos="2160"/>
        </w:tabs>
        <w:ind w:left="2160" w:hanging="360"/>
      </w:pPr>
      <w:rPr>
        <w:rFonts w:ascii="Arial" w:hAnsi="Arial" w:hint="default"/>
      </w:rPr>
    </w:lvl>
    <w:lvl w:ilvl="3" w:tplc="1CC65954" w:tentative="1">
      <w:start w:val="1"/>
      <w:numFmt w:val="bullet"/>
      <w:lvlText w:val="•"/>
      <w:lvlJc w:val="left"/>
      <w:pPr>
        <w:tabs>
          <w:tab w:val="num" w:pos="2880"/>
        </w:tabs>
        <w:ind w:left="2880" w:hanging="360"/>
      </w:pPr>
      <w:rPr>
        <w:rFonts w:ascii="Arial" w:hAnsi="Arial" w:hint="default"/>
      </w:rPr>
    </w:lvl>
    <w:lvl w:ilvl="4" w:tplc="49084AB4" w:tentative="1">
      <w:start w:val="1"/>
      <w:numFmt w:val="bullet"/>
      <w:lvlText w:val="•"/>
      <w:lvlJc w:val="left"/>
      <w:pPr>
        <w:tabs>
          <w:tab w:val="num" w:pos="3600"/>
        </w:tabs>
        <w:ind w:left="3600" w:hanging="360"/>
      </w:pPr>
      <w:rPr>
        <w:rFonts w:ascii="Arial" w:hAnsi="Arial" w:hint="default"/>
      </w:rPr>
    </w:lvl>
    <w:lvl w:ilvl="5" w:tplc="41EA2E12" w:tentative="1">
      <w:start w:val="1"/>
      <w:numFmt w:val="bullet"/>
      <w:lvlText w:val="•"/>
      <w:lvlJc w:val="left"/>
      <w:pPr>
        <w:tabs>
          <w:tab w:val="num" w:pos="4320"/>
        </w:tabs>
        <w:ind w:left="4320" w:hanging="360"/>
      </w:pPr>
      <w:rPr>
        <w:rFonts w:ascii="Arial" w:hAnsi="Arial" w:hint="default"/>
      </w:rPr>
    </w:lvl>
    <w:lvl w:ilvl="6" w:tplc="D6A4F93E" w:tentative="1">
      <w:start w:val="1"/>
      <w:numFmt w:val="bullet"/>
      <w:lvlText w:val="•"/>
      <w:lvlJc w:val="left"/>
      <w:pPr>
        <w:tabs>
          <w:tab w:val="num" w:pos="5040"/>
        </w:tabs>
        <w:ind w:left="5040" w:hanging="360"/>
      </w:pPr>
      <w:rPr>
        <w:rFonts w:ascii="Arial" w:hAnsi="Arial" w:hint="default"/>
      </w:rPr>
    </w:lvl>
    <w:lvl w:ilvl="7" w:tplc="5F025652" w:tentative="1">
      <w:start w:val="1"/>
      <w:numFmt w:val="bullet"/>
      <w:lvlText w:val="•"/>
      <w:lvlJc w:val="left"/>
      <w:pPr>
        <w:tabs>
          <w:tab w:val="num" w:pos="5760"/>
        </w:tabs>
        <w:ind w:left="5760" w:hanging="360"/>
      </w:pPr>
      <w:rPr>
        <w:rFonts w:ascii="Arial" w:hAnsi="Arial" w:hint="default"/>
      </w:rPr>
    </w:lvl>
    <w:lvl w:ilvl="8" w:tplc="FF36742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FFE53AE"/>
    <w:multiLevelType w:val="hybridMultilevel"/>
    <w:tmpl w:val="196CB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AF4BD3"/>
    <w:multiLevelType w:val="hybridMultilevel"/>
    <w:tmpl w:val="DF26422C"/>
    <w:lvl w:ilvl="0" w:tplc="AE86D736">
      <w:numFmt w:val="bullet"/>
      <w:lvlText w:val="•"/>
      <w:lvlJc w:val="left"/>
      <w:pPr>
        <w:ind w:left="870" w:hanging="51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1B7CF8"/>
    <w:multiLevelType w:val="hybridMultilevel"/>
    <w:tmpl w:val="324E33DE"/>
    <w:lvl w:ilvl="0" w:tplc="2D5C7E58">
      <w:start w:val="1"/>
      <w:numFmt w:val="bullet"/>
      <w:lvlText w:val="•"/>
      <w:lvlJc w:val="left"/>
      <w:pPr>
        <w:tabs>
          <w:tab w:val="num" w:pos="720"/>
        </w:tabs>
        <w:ind w:left="720" w:hanging="360"/>
      </w:pPr>
      <w:rPr>
        <w:rFonts w:ascii="Arial" w:hAnsi="Arial" w:hint="default"/>
      </w:rPr>
    </w:lvl>
    <w:lvl w:ilvl="1" w:tplc="82D8244C" w:tentative="1">
      <w:start w:val="1"/>
      <w:numFmt w:val="bullet"/>
      <w:lvlText w:val="•"/>
      <w:lvlJc w:val="left"/>
      <w:pPr>
        <w:tabs>
          <w:tab w:val="num" w:pos="1440"/>
        </w:tabs>
        <w:ind w:left="1440" w:hanging="360"/>
      </w:pPr>
      <w:rPr>
        <w:rFonts w:ascii="Arial" w:hAnsi="Arial" w:hint="default"/>
      </w:rPr>
    </w:lvl>
    <w:lvl w:ilvl="2" w:tplc="E1D2F8D8" w:tentative="1">
      <w:start w:val="1"/>
      <w:numFmt w:val="bullet"/>
      <w:lvlText w:val="•"/>
      <w:lvlJc w:val="left"/>
      <w:pPr>
        <w:tabs>
          <w:tab w:val="num" w:pos="2160"/>
        </w:tabs>
        <w:ind w:left="2160" w:hanging="360"/>
      </w:pPr>
      <w:rPr>
        <w:rFonts w:ascii="Arial" w:hAnsi="Arial" w:hint="default"/>
      </w:rPr>
    </w:lvl>
    <w:lvl w:ilvl="3" w:tplc="194605A4" w:tentative="1">
      <w:start w:val="1"/>
      <w:numFmt w:val="bullet"/>
      <w:lvlText w:val="•"/>
      <w:lvlJc w:val="left"/>
      <w:pPr>
        <w:tabs>
          <w:tab w:val="num" w:pos="2880"/>
        </w:tabs>
        <w:ind w:left="2880" w:hanging="360"/>
      </w:pPr>
      <w:rPr>
        <w:rFonts w:ascii="Arial" w:hAnsi="Arial" w:hint="default"/>
      </w:rPr>
    </w:lvl>
    <w:lvl w:ilvl="4" w:tplc="D36A1416" w:tentative="1">
      <w:start w:val="1"/>
      <w:numFmt w:val="bullet"/>
      <w:lvlText w:val="•"/>
      <w:lvlJc w:val="left"/>
      <w:pPr>
        <w:tabs>
          <w:tab w:val="num" w:pos="3600"/>
        </w:tabs>
        <w:ind w:left="3600" w:hanging="360"/>
      </w:pPr>
      <w:rPr>
        <w:rFonts w:ascii="Arial" w:hAnsi="Arial" w:hint="default"/>
      </w:rPr>
    </w:lvl>
    <w:lvl w:ilvl="5" w:tplc="F8AEDE26" w:tentative="1">
      <w:start w:val="1"/>
      <w:numFmt w:val="bullet"/>
      <w:lvlText w:val="•"/>
      <w:lvlJc w:val="left"/>
      <w:pPr>
        <w:tabs>
          <w:tab w:val="num" w:pos="4320"/>
        </w:tabs>
        <w:ind w:left="4320" w:hanging="360"/>
      </w:pPr>
      <w:rPr>
        <w:rFonts w:ascii="Arial" w:hAnsi="Arial" w:hint="default"/>
      </w:rPr>
    </w:lvl>
    <w:lvl w:ilvl="6" w:tplc="FFD0777E" w:tentative="1">
      <w:start w:val="1"/>
      <w:numFmt w:val="bullet"/>
      <w:lvlText w:val="•"/>
      <w:lvlJc w:val="left"/>
      <w:pPr>
        <w:tabs>
          <w:tab w:val="num" w:pos="5040"/>
        </w:tabs>
        <w:ind w:left="5040" w:hanging="360"/>
      </w:pPr>
      <w:rPr>
        <w:rFonts w:ascii="Arial" w:hAnsi="Arial" w:hint="default"/>
      </w:rPr>
    </w:lvl>
    <w:lvl w:ilvl="7" w:tplc="A0FE9A48" w:tentative="1">
      <w:start w:val="1"/>
      <w:numFmt w:val="bullet"/>
      <w:lvlText w:val="•"/>
      <w:lvlJc w:val="left"/>
      <w:pPr>
        <w:tabs>
          <w:tab w:val="num" w:pos="5760"/>
        </w:tabs>
        <w:ind w:left="5760" w:hanging="360"/>
      </w:pPr>
      <w:rPr>
        <w:rFonts w:ascii="Arial" w:hAnsi="Arial" w:hint="default"/>
      </w:rPr>
    </w:lvl>
    <w:lvl w:ilvl="8" w:tplc="4FB2C58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3211981"/>
    <w:multiLevelType w:val="hybridMultilevel"/>
    <w:tmpl w:val="6148A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F81C20"/>
    <w:multiLevelType w:val="hybridMultilevel"/>
    <w:tmpl w:val="3F5C4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0041D0"/>
    <w:multiLevelType w:val="hybridMultilevel"/>
    <w:tmpl w:val="F26CD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94A4F85"/>
    <w:multiLevelType w:val="hybridMultilevel"/>
    <w:tmpl w:val="D870DA28"/>
    <w:lvl w:ilvl="0" w:tplc="31A61898">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B3F6D38"/>
    <w:multiLevelType w:val="hybridMultilevel"/>
    <w:tmpl w:val="9DC4E74A"/>
    <w:lvl w:ilvl="0" w:tplc="9CAE3678">
      <w:start w:val="1"/>
      <w:numFmt w:val="bullet"/>
      <w:lvlText w:val="•"/>
      <w:lvlJc w:val="left"/>
      <w:pPr>
        <w:tabs>
          <w:tab w:val="num" w:pos="720"/>
        </w:tabs>
        <w:ind w:left="720" w:hanging="360"/>
      </w:pPr>
      <w:rPr>
        <w:rFonts w:ascii="Arial" w:hAnsi="Arial" w:hint="default"/>
      </w:rPr>
    </w:lvl>
    <w:lvl w:ilvl="1" w:tplc="29561502">
      <w:start w:val="1"/>
      <w:numFmt w:val="bullet"/>
      <w:lvlText w:val="•"/>
      <w:lvlJc w:val="left"/>
      <w:pPr>
        <w:tabs>
          <w:tab w:val="num" w:pos="1440"/>
        </w:tabs>
        <w:ind w:left="1440" w:hanging="360"/>
      </w:pPr>
      <w:rPr>
        <w:rFonts w:ascii="Arial" w:hAnsi="Arial" w:hint="default"/>
      </w:rPr>
    </w:lvl>
    <w:lvl w:ilvl="2" w:tplc="2FEE1840" w:tentative="1">
      <w:start w:val="1"/>
      <w:numFmt w:val="bullet"/>
      <w:lvlText w:val="•"/>
      <w:lvlJc w:val="left"/>
      <w:pPr>
        <w:tabs>
          <w:tab w:val="num" w:pos="2160"/>
        </w:tabs>
        <w:ind w:left="2160" w:hanging="360"/>
      </w:pPr>
      <w:rPr>
        <w:rFonts w:ascii="Arial" w:hAnsi="Arial" w:hint="default"/>
      </w:rPr>
    </w:lvl>
    <w:lvl w:ilvl="3" w:tplc="8CB218CC" w:tentative="1">
      <w:start w:val="1"/>
      <w:numFmt w:val="bullet"/>
      <w:lvlText w:val="•"/>
      <w:lvlJc w:val="left"/>
      <w:pPr>
        <w:tabs>
          <w:tab w:val="num" w:pos="2880"/>
        </w:tabs>
        <w:ind w:left="2880" w:hanging="360"/>
      </w:pPr>
      <w:rPr>
        <w:rFonts w:ascii="Arial" w:hAnsi="Arial" w:hint="default"/>
      </w:rPr>
    </w:lvl>
    <w:lvl w:ilvl="4" w:tplc="BBCE82AE" w:tentative="1">
      <w:start w:val="1"/>
      <w:numFmt w:val="bullet"/>
      <w:lvlText w:val="•"/>
      <w:lvlJc w:val="left"/>
      <w:pPr>
        <w:tabs>
          <w:tab w:val="num" w:pos="3600"/>
        </w:tabs>
        <w:ind w:left="3600" w:hanging="360"/>
      </w:pPr>
      <w:rPr>
        <w:rFonts w:ascii="Arial" w:hAnsi="Arial" w:hint="default"/>
      </w:rPr>
    </w:lvl>
    <w:lvl w:ilvl="5" w:tplc="E2C653BE" w:tentative="1">
      <w:start w:val="1"/>
      <w:numFmt w:val="bullet"/>
      <w:lvlText w:val="•"/>
      <w:lvlJc w:val="left"/>
      <w:pPr>
        <w:tabs>
          <w:tab w:val="num" w:pos="4320"/>
        </w:tabs>
        <w:ind w:left="4320" w:hanging="360"/>
      </w:pPr>
      <w:rPr>
        <w:rFonts w:ascii="Arial" w:hAnsi="Arial" w:hint="default"/>
      </w:rPr>
    </w:lvl>
    <w:lvl w:ilvl="6" w:tplc="15A49F38" w:tentative="1">
      <w:start w:val="1"/>
      <w:numFmt w:val="bullet"/>
      <w:lvlText w:val="•"/>
      <w:lvlJc w:val="left"/>
      <w:pPr>
        <w:tabs>
          <w:tab w:val="num" w:pos="5040"/>
        </w:tabs>
        <w:ind w:left="5040" w:hanging="360"/>
      </w:pPr>
      <w:rPr>
        <w:rFonts w:ascii="Arial" w:hAnsi="Arial" w:hint="default"/>
      </w:rPr>
    </w:lvl>
    <w:lvl w:ilvl="7" w:tplc="9DCE7BA4" w:tentative="1">
      <w:start w:val="1"/>
      <w:numFmt w:val="bullet"/>
      <w:lvlText w:val="•"/>
      <w:lvlJc w:val="left"/>
      <w:pPr>
        <w:tabs>
          <w:tab w:val="num" w:pos="5760"/>
        </w:tabs>
        <w:ind w:left="5760" w:hanging="360"/>
      </w:pPr>
      <w:rPr>
        <w:rFonts w:ascii="Arial" w:hAnsi="Arial" w:hint="default"/>
      </w:rPr>
    </w:lvl>
    <w:lvl w:ilvl="8" w:tplc="D8FE09D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DB72F6C"/>
    <w:multiLevelType w:val="hybridMultilevel"/>
    <w:tmpl w:val="DF1A7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E350342"/>
    <w:multiLevelType w:val="hybridMultilevel"/>
    <w:tmpl w:val="6B0C46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634DD5"/>
    <w:multiLevelType w:val="hybridMultilevel"/>
    <w:tmpl w:val="7818C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2B8369F"/>
    <w:multiLevelType w:val="hybridMultilevel"/>
    <w:tmpl w:val="6720A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477326C"/>
    <w:multiLevelType w:val="hybridMultilevel"/>
    <w:tmpl w:val="325E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DB2CAD"/>
    <w:multiLevelType w:val="hybridMultilevel"/>
    <w:tmpl w:val="846C8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575C59"/>
    <w:multiLevelType w:val="hybridMultilevel"/>
    <w:tmpl w:val="1E447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ED3621"/>
    <w:multiLevelType w:val="hybridMultilevel"/>
    <w:tmpl w:val="88D28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D2646CA"/>
    <w:multiLevelType w:val="hybridMultilevel"/>
    <w:tmpl w:val="379EF0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E4D0488"/>
    <w:multiLevelType w:val="hybridMultilevel"/>
    <w:tmpl w:val="1E40C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9223A8"/>
    <w:multiLevelType w:val="hybridMultilevel"/>
    <w:tmpl w:val="F9C0BD5C"/>
    <w:lvl w:ilvl="0" w:tplc="31A6189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4C5F4B"/>
    <w:multiLevelType w:val="hybridMultilevel"/>
    <w:tmpl w:val="36887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3E61C2"/>
    <w:multiLevelType w:val="hybridMultilevel"/>
    <w:tmpl w:val="31E0E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912308"/>
    <w:multiLevelType w:val="hybridMultilevel"/>
    <w:tmpl w:val="36C23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317B77"/>
    <w:multiLevelType w:val="hybridMultilevel"/>
    <w:tmpl w:val="46D4B018"/>
    <w:lvl w:ilvl="0" w:tplc="372052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32328A"/>
    <w:multiLevelType w:val="hybridMultilevel"/>
    <w:tmpl w:val="3DAC5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A8707F"/>
    <w:multiLevelType w:val="hybridMultilevel"/>
    <w:tmpl w:val="1AB03BE2"/>
    <w:lvl w:ilvl="0" w:tplc="9C68DEBE">
      <w:start w:val="1"/>
      <w:numFmt w:val="bullet"/>
      <w:lvlText w:val="•"/>
      <w:lvlJc w:val="left"/>
      <w:pPr>
        <w:tabs>
          <w:tab w:val="num" w:pos="720"/>
        </w:tabs>
        <w:ind w:left="720" w:hanging="360"/>
      </w:pPr>
      <w:rPr>
        <w:rFonts w:ascii="Arial" w:hAnsi="Arial" w:hint="default"/>
      </w:rPr>
    </w:lvl>
    <w:lvl w:ilvl="1" w:tplc="E40A0BA8">
      <w:start w:val="1"/>
      <w:numFmt w:val="bullet"/>
      <w:lvlText w:val="•"/>
      <w:lvlJc w:val="left"/>
      <w:pPr>
        <w:tabs>
          <w:tab w:val="num" w:pos="1440"/>
        </w:tabs>
        <w:ind w:left="1440" w:hanging="360"/>
      </w:pPr>
      <w:rPr>
        <w:rFonts w:ascii="Arial" w:hAnsi="Arial" w:hint="default"/>
      </w:rPr>
    </w:lvl>
    <w:lvl w:ilvl="2" w:tplc="835601FA" w:tentative="1">
      <w:start w:val="1"/>
      <w:numFmt w:val="bullet"/>
      <w:lvlText w:val="•"/>
      <w:lvlJc w:val="left"/>
      <w:pPr>
        <w:tabs>
          <w:tab w:val="num" w:pos="2160"/>
        </w:tabs>
        <w:ind w:left="2160" w:hanging="360"/>
      </w:pPr>
      <w:rPr>
        <w:rFonts w:ascii="Arial" w:hAnsi="Arial" w:hint="default"/>
      </w:rPr>
    </w:lvl>
    <w:lvl w:ilvl="3" w:tplc="20A8409C" w:tentative="1">
      <w:start w:val="1"/>
      <w:numFmt w:val="bullet"/>
      <w:lvlText w:val="•"/>
      <w:lvlJc w:val="left"/>
      <w:pPr>
        <w:tabs>
          <w:tab w:val="num" w:pos="2880"/>
        </w:tabs>
        <w:ind w:left="2880" w:hanging="360"/>
      </w:pPr>
      <w:rPr>
        <w:rFonts w:ascii="Arial" w:hAnsi="Arial" w:hint="default"/>
      </w:rPr>
    </w:lvl>
    <w:lvl w:ilvl="4" w:tplc="F05A5D8E" w:tentative="1">
      <w:start w:val="1"/>
      <w:numFmt w:val="bullet"/>
      <w:lvlText w:val="•"/>
      <w:lvlJc w:val="left"/>
      <w:pPr>
        <w:tabs>
          <w:tab w:val="num" w:pos="3600"/>
        </w:tabs>
        <w:ind w:left="3600" w:hanging="360"/>
      </w:pPr>
      <w:rPr>
        <w:rFonts w:ascii="Arial" w:hAnsi="Arial" w:hint="default"/>
      </w:rPr>
    </w:lvl>
    <w:lvl w:ilvl="5" w:tplc="809EAB10" w:tentative="1">
      <w:start w:val="1"/>
      <w:numFmt w:val="bullet"/>
      <w:lvlText w:val="•"/>
      <w:lvlJc w:val="left"/>
      <w:pPr>
        <w:tabs>
          <w:tab w:val="num" w:pos="4320"/>
        </w:tabs>
        <w:ind w:left="4320" w:hanging="360"/>
      </w:pPr>
      <w:rPr>
        <w:rFonts w:ascii="Arial" w:hAnsi="Arial" w:hint="default"/>
      </w:rPr>
    </w:lvl>
    <w:lvl w:ilvl="6" w:tplc="1AA212D2" w:tentative="1">
      <w:start w:val="1"/>
      <w:numFmt w:val="bullet"/>
      <w:lvlText w:val="•"/>
      <w:lvlJc w:val="left"/>
      <w:pPr>
        <w:tabs>
          <w:tab w:val="num" w:pos="5040"/>
        </w:tabs>
        <w:ind w:left="5040" w:hanging="360"/>
      </w:pPr>
      <w:rPr>
        <w:rFonts w:ascii="Arial" w:hAnsi="Arial" w:hint="default"/>
      </w:rPr>
    </w:lvl>
    <w:lvl w:ilvl="7" w:tplc="44C4A2AA" w:tentative="1">
      <w:start w:val="1"/>
      <w:numFmt w:val="bullet"/>
      <w:lvlText w:val="•"/>
      <w:lvlJc w:val="left"/>
      <w:pPr>
        <w:tabs>
          <w:tab w:val="num" w:pos="5760"/>
        </w:tabs>
        <w:ind w:left="5760" w:hanging="360"/>
      </w:pPr>
      <w:rPr>
        <w:rFonts w:ascii="Arial" w:hAnsi="Arial" w:hint="default"/>
      </w:rPr>
    </w:lvl>
    <w:lvl w:ilvl="8" w:tplc="069A9E3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3A25414"/>
    <w:multiLevelType w:val="hybridMultilevel"/>
    <w:tmpl w:val="80721B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4C74959"/>
    <w:multiLevelType w:val="hybridMultilevel"/>
    <w:tmpl w:val="624A16E6"/>
    <w:lvl w:ilvl="0" w:tplc="6374C26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5AB019E"/>
    <w:multiLevelType w:val="hybridMultilevel"/>
    <w:tmpl w:val="576A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A03054"/>
    <w:multiLevelType w:val="hybridMultilevel"/>
    <w:tmpl w:val="3F0E7ED2"/>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 w15:restartNumberingAfterBreak="0">
    <w:nsid w:val="77024E9A"/>
    <w:multiLevelType w:val="hybridMultilevel"/>
    <w:tmpl w:val="7C0E8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7226DB"/>
    <w:multiLevelType w:val="hybridMultilevel"/>
    <w:tmpl w:val="BD12F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8B0C64"/>
    <w:multiLevelType w:val="hybridMultilevel"/>
    <w:tmpl w:val="0FF209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CCD0DAD"/>
    <w:multiLevelType w:val="multilevel"/>
    <w:tmpl w:val="BCA82E0C"/>
    <w:lvl w:ilvl="0">
      <w:start w:val="1"/>
      <w:numFmt w:val="decimal"/>
      <w:pStyle w:val="ListNumber2"/>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7E264DD5"/>
    <w:multiLevelType w:val="hybridMultilevel"/>
    <w:tmpl w:val="79146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B80053"/>
    <w:multiLevelType w:val="hybridMultilevel"/>
    <w:tmpl w:val="410E0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9369021">
    <w:abstractNumId w:val="1"/>
  </w:num>
  <w:num w:numId="2" w16cid:durableId="1014956962">
    <w:abstractNumId w:val="0"/>
  </w:num>
  <w:num w:numId="3" w16cid:durableId="1443915661">
    <w:abstractNumId w:val="46"/>
  </w:num>
  <w:num w:numId="4" w16cid:durableId="444273866">
    <w:abstractNumId w:val="29"/>
  </w:num>
  <w:num w:numId="5" w16cid:durableId="1435319257">
    <w:abstractNumId w:val="30"/>
  </w:num>
  <w:num w:numId="6" w16cid:durableId="171535259">
    <w:abstractNumId w:val="37"/>
  </w:num>
  <w:num w:numId="7" w16cid:durableId="457140272">
    <w:abstractNumId w:val="12"/>
  </w:num>
  <w:num w:numId="8" w16cid:durableId="818419513">
    <w:abstractNumId w:val="39"/>
  </w:num>
  <w:num w:numId="9" w16cid:durableId="176963066">
    <w:abstractNumId w:val="7"/>
  </w:num>
  <w:num w:numId="10" w16cid:durableId="1249995586">
    <w:abstractNumId w:val="19"/>
  </w:num>
  <w:num w:numId="11" w16cid:durableId="541942272">
    <w:abstractNumId w:val="24"/>
  </w:num>
  <w:num w:numId="12" w16cid:durableId="74938749">
    <w:abstractNumId w:val="25"/>
  </w:num>
  <w:num w:numId="13" w16cid:durableId="1605192326">
    <w:abstractNumId w:val="14"/>
  </w:num>
  <w:num w:numId="14" w16cid:durableId="411706710">
    <w:abstractNumId w:val="45"/>
  </w:num>
  <w:num w:numId="15" w16cid:durableId="1667399574">
    <w:abstractNumId w:val="22"/>
  </w:num>
  <w:num w:numId="16" w16cid:durableId="242882089">
    <w:abstractNumId w:val="8"/>
  </w:num>
  <w:num w:numId="17" w16cid:durableId="1472333175">
    <w:abstractNumId w:val="41"/>
  </w:num>
  <w:num w:numId="18" w16cid:durableId="874848814">
    <w:abstractNumId w:val="15"/>
  </w:num>
  <w:num w:numId="19" w16cid:durableId="1074205560">
    <w:abstractNumId w:val="48"/>
  </w:num>
  <w:num w:numId="20" w16cid:durableId="1713723542">
    <w:abstractNumId w:val="9"/>
  </w:num>
  <w:num w:numId="21" w16cid:durableId="1518882355">
    <w:abstractNumId w:val="6"/>
  </w:num>
  <w:num w:numId="22" w16cid:durableId="1097140974">
    <w:abstractNumId w:val="36"/>
  </w:num>
  <w:num w:numId="23" w16cid:durableId="1272857536">
    <w:abstractNumId w:val="21"/>
  </w:num>
  <w:num w:numId="24" w16cid:durableId="1509171473">
    <w:abstractNumId w:val="38"/>
  </w:num>
  <w:num w:numId="25" w16cid:durableId="886336135">
    <w:abstractNumId w:val="3"/>
  </w:num>
  <w:num w:numId="26" w16cid:durableId="1780829669">
    <w:abstractNumId w:val="13"/>
  </w:num>
  <w:num w:numId="27" w16cid:durableId="329062264">
    <w:abstractNumId w:val="35"/>
  </w:num>
  <w:num w:numId="28" w16cid:durableId="186255317">
    <w:abstractNumId w:val="26"/>
  </w:num>
  <w:num w:numId="29" w16cid:durableId="2106263448">
    <w:abstractNumId w:val="27"/>
  </w:num>
  <w:num w:numId="30" w16cid:durableId="838690726">
    <w:abstractNumId w:val="18"/>
  </w:num>
  <w:num w:numId="31" w16cid:durableId="2001619335">
    <w:abstractNumId w:val="2"/>
  </w:num>
  <w:num w:numId="32" w16cid:durableId="272443971">
    <w:abstractNumId w:val="43"/>
  </w:num>
  <w:num w:numId="33" w16cid:durableId="233205023">
    <w:abstractNumId w:val="4"/>
  </w:num>
  <w:num w:numId="34" w16cid:durableId="226034556">
    <w:abstractNumId w:val="23"/>
  </w:num>
  <w:num w:numId="35" w16cid:durableId="1857694326">
    <w:abstractNumId w:val="10"/>
  </w:num>
  <w:num w:numId="36" w16cid:durableId="856578676">
    <w:abstractNumId w:val="33"/>
  </w:num>
  <w:num w:numId="37" w16cid:durableId="309670862">
    <w:abstractNumId w:val="32"/>
  </w:num>
  <w:num w:numId="38" w16cid:durableId="1324549608">
    <w:abstractNumId w:val="20"/>
  </w:num>
  <w:num w:numId="39" w16cid:durableId="1433088393">
    <w:abstractNumId w:val="42"/>
  </w:num>
  <w:num w:numId="40" w16cid:durableId="1231035273">
    <w:abstractNumId w:val="47"/>
  </w:num>
  <w:num w:numId="41" w16cid:durableId="56822471">
    <w:abstractNumId w:val="40"/>
  </w:num>
  <w:num w:numId="42" w16cid:durableId="292952103">
    <w:abstractNumId w:val="17"/>
  </w:num>
  <w:num w:numId="43" w16cid:durableId="1232544375">
    <w:abstractNumId w:val="31"/>
  </w:num>
  <w:num w:numId="44" w16cid:durableId="762264421">
    <w:abstractNumId w:val="34"/>
  </w:num>
  <w:num w:numId="45" w16cid:durableId="1071973308">
    <w:abstractNumId w:val="16"/>
  </w:num>
  <w:num w:numId="46" w16cid:durableId="1273055807">
    <w:abstractNumId w:val="5"/>
  </w:num>
  <w:num w:numId="47" w16cid:durableId="1374231063">
    <w:abstractNumId w:val="11"/>
  </w:num>
  <w:num w:numId="48" w16cid:durableId="2125269608">
    <w:abstractNumId w:val="44"/>
  </w:num>
  <w:num w:numId="49" w16cid:durableId="206766191">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FFA"/>
    <w:rsid w:val="00000B92"/>
    <w:rsid w:val="00000D1D"/>
    <w:rsid w:val="00001D01"/>
    <w:rsid w:val="00002480"/>
    <w:rsid w:val="00002CFD"/>
    <w:rsid w:val="00002D1F"/>
    <w:rsid w:val="000031FD"/>
    <w:rsid w:val="00003663"/>
    <w:rsid w:val="00003794"/>
    <w:rsid w:val="000049C4"/>
    <w:rsid w:val="00004A36"/>
    <w:rsid w:val="000058B1"/>
    <w:rsid w:val="00005A9A"/>
    <w:rsid w:val="00005EA9"/>
    <w:rsid w:val="0000774E"/>
    <w:rsid w:val="00007B54"/>
    <w:rsid w:val="00007BA6"/>
    <w:rsid w:val="0001051A"/>
    <w:rsid w:val="00010949"/>
    <w:rsid w:val="00010BBF"/>
    <w:rsid w:val="00010EB4"/>
    <w:rsid w:val="00011568"/>
    <w:rsid w:val="0001162F"/>
    <w:rsid w:val="000116FC"/>
    <w:rsid w:val="000122A6"/>
    <w:rsid w:val="00012B8E"/>
    <w:rsid w:val="00014015"/>
    <w:rsid w:val="0001469C"/>
    <w:rsid w:val="00014AFA"/>
    <w:rsid w:val="00014C16"/>
    <w:rsid w:val="00015009"/>
    <w:rsid w:val="0001525D"/>
    <w:rsid w:val="00015295"/>
    <w:rsid w:val="000156F5"/>
    <w:rsid w:val="00015DA7"/>
    <w:rsid w:val="00016A31"/>
    <w:rsid w:val="00016F9F"/>
    <w:rsid w:val="00017421"/>
    <w:rsid w:val="00017BF1"/>
    <w:rsid w:val="00017D9A"/>
    <w:rsid w:val="0002077D"/>
    <w:rsid w:val="00020856"/>
    <w:rsid w:val="00020DA3"/>
    <w:rsid w:val="00020E71"/>
    <w:rsid w:val="00020EC4"/>
    <w:rsid w:val="0002121F"/>
    <w:rsid w:val="000217FC"/>
    <w:rsid w:val="00021861"/>
    <w:rsid w:val="00021AFB"/>
    <w:rsid w:val="00021C9D"/>
    <w:rsid w:val="00021FDB"/>
    <w:rsid w:val="00022EE8"/>
    <w:rsid w:val="00023217"/>
    <w:rsid w:val="00023F08"/>
    <w:rsid w:val="000242EC"/>
    <w:rsid w:val="00026593"/>
    <w:rsid w:val="00026910"/>
    <w:rsid w:val="0002720A"/>
    <w:rsid w:val="00027A70"/>
    <w:rsid w:val="000305F5"/>
    <w:rsid w:val="0003065C"/>
    <w:rsid w:val="00030F06"/>
    <w:rsid w:val="00031157"/>
    <w:rsid w:val="000314EE"/>
    <w:rsid w:val="00031990"/>
    <w:rsid w:val="00031EB0"/>
    <w:rsid w:val="00033425"/>
    <w:rsid w:val="00033697"/>
    <w:rsid w:val="00033883"/>
    <w:rsid w:val="00033ED3"/>
    <w:rsid w:val="0003427E"/>
    <w:rsid w:val="0003440E"/>
    <w:rsid w:val="00034DE9"/>
    <w:rsid w:val="00034FA2"/>
    <w:rsid w:val="000355D0"/>
    <w:rsid w:val="00035B6D"/>
    <w:rsid w:val="0003694F"/>
    <w:rsid w:val="00036FBA"/>
    <w:rsid w:val="000370AB"/>
    <w:rsid w:val="00037F4A"/>
    <w:rsid w:val="00040164"/>
    <w:rsid w:val="0004070C"/>
    <w:rsid w:val="0004081E"/>
    <w:rsid w:val="00041549"/>
    <w:rsid w:val="00041C18"/>
    <w:rsid w:val="000426C7"/>
    <w:rsid w:val="000427A3"/>
    <w:rsid w:val="000438F6"/>
    <w:rsid w:val="00043ABD"/>
    <w:rsid w:val="000445C1"/>
    <w:rsid w:val="00044892"/>
    <w:rsid w:val="000448A1"/>
    <w:rsid w:val="0004493F"/>
    <w:rsid w:val="0004519E"/>
    <w:rsid w:val="000451AD"/>
    <w:rsid w:val="00046132"/>
    <w:rsid w:val="00046E6F"/>
    <w:rsid w:val="000470FF"/>
    <w:rsid w:val="000475A0"/>
    <w:rsid w:val="00047A29"/>
    <w:rsid w:val="00050663"/>
    <w:rsid w:val="000507A3"/>
    <w:rsid w:val="000511F8"/>
    <w:rsid w:val="00051B3C"/>
    <w:rsid w:val="00051BB6"/>
    <w:rsid w:val="00051FCC"/>
    <w:rsid w:val="0005213C"/>
    <w:rsid w:val="00052644"/>
    <w:rsid w:val="00052F12"/>
    <w:rsid w:val="00052FF2"/>
    <w:rsid w:val="000533C6"/>
    <w:rsid w:val="00053675"/>
    <w:rsid w:val="00054919"/>
    <w:rsid w:val="00054E3C"/>
    <w:rsid w:val="00055090"/>
    <w:rsid w:val="0005533B"/>
    <w:rsid w:val="0005568B"/>
    <w:rsid w:val="000561D3"/>
    <w:rsid w:val="000566AB"/>
    <w:rsid w:val="00056945"/>
    <w:rsid w:val="00056EC2"/>
    <w:rsid w:val="0005778A"/>
    <w:rsid w:val="00057962"/>
    <w:rsid w:val="00057F79"/>
    <w:rsid w:val="0006005B"/>
    <w:rsid w:val="00060115"/>
    <w:rsid w:val="0006187B"/>
    <w:rsid w:val="0006363A"/>
    <w:rsid w:val="00063D5D"/>
    <w:rsid w:val="00063F50"/>
    <w:rsid w:val="000644B8"/>
    <w:rsid w:val="000648A3"/>
    <w:rsid w:val="00064935"/>
    <w:rsid w:val="0006494C"/>
    <w:rsid w:val="0006528A"/>
    <w:rsid w:val="00065AA6"/>
    <w:rsid w:val="0006646F"/>
    <w:rsid w:val="000666AC"/>
    <w:rsid w:val="000703D1"/>
    <w:rsid w:val="000708C8"/>
    <w:rsid w:val="0007391E"/>
    <w:rsid w:val="000741B6"/>
    <w:rsid w:val="000746F3"/>
    <w:rsid w:val="000749A4"/>
    <w:rsid w:val="00076185"/>
    <w:rsid w:val="0007655A"/>
    <w:rsid w:val="0007670A"/>
    <w:rsid w:val="00076F9A"/>
    <w:rsid w:val="000771A3"/>
    <w:rsid w:val="000772D8"/>
    <w:rsid w:val="000777EE"/>
    <w:rsid w:val="000779CC"/>
    <w:rsid w:val="000801BE"/>
    <w:rsid w:val="0008083F"/>
    <w:rsid w:val="000808AE"/>
    <w:rsid w:val="00080C94"/>
    <w:rsid w:val="0008118F"/>
    <w:rsid w:val="00082964"/>
    <w:rsid w:val="00082A11"/>
    <w:rsid w:val="00083B7F"/>
    <w:rsid w:val="00084F36"/>
    <w:rsid w:val="00085253"/>
    <w:rsid w:val="00085F21"/>
    <w:rsid w:val="000862B6"/>
    <w:rsid w:val="0008641C"/>
    <w:rsid w:val="00086A02"/>
    <w:rsid w:val="00087086"/>
    <w:rsid w:val="00087EF8"/>
    <w:rsid w:val="00090279"/>
    <w:rsid w:val="000908D2"/>
    <w:rsid w:val="00090B1C"/>
    <w:rsid w:val="00090B69"/>
    <w:rsid w:val="00091201"/>
    <w:rsid w:val="000914E7"/>
    <w:rsid w:val="00091B35"/>
    <w:rsid w:val="00091CBC"/>
    <w:rsid w:val="000927F1"/>
    <w:rsid w:val="000927FB"/>
    <w:rsid w:val="0009352B"/>
    <w:rsid w:val="00093988"/>
    <w:rsid w:val="00093BA3"/>
    <w:rsid w:val="0009444B"/>
    <w:rsid w:val="000949C3"/>
    <w:rsid w:val="00096186"/>
    <w:rsid w:val="00096243"/>
    <w:rsid w:val="0009638D"/>
    <w:rsid w:val="00096662"/>
    <w:rsid w:val="0009719F"/>
    <w:rsid w:val="0009787A"/>
    <w:rsid w:val="00097FF9"/>
    <w:rsid w:val="000A003D"/>
    <w:rsid w:val="000A19A7"/>
    <w:rsid w:val="000A23B6"/>
    <w:rsid w:val="000A25ED"/>
    <w:rsid w:val="000A3160"/>
    <w:rsid w:val="000A4518"/>
    <w:rsid w:val="000A5832"/>
    <w:rsid w:val="000A6A37"/>
    <w:rsid w:val="000A7EF7"/>
    <w:rsid w:val="000A7FB5"/>
    <w:rsid w:val="000B00E8"/>
    <w:rsid w:val="000B16F2"/>
    <w:rsid w:val="000B1F84"/>
    <w:rsid w:val="000B22B9"/>
    <w:rsid w:val="000B2458"/>
    <w:rsid w:val="000B2AEA"/>
    <w:rsid w:val="000B36EB"/>
    <w:rsid w:val="000B3832"/>
    <w:rsid w:val="000B3B7D"/>
    <w:rsid w:val="000B3C9D"/>
    <w:rsid w:val="000B3F81"/>
    <w:rsid w:val="000B4012"/>
    <w:rsid w:val="000B4311"/>
    <w:rsid w:val="000B44EB"/>
    <w:rsid w:val="000B574B"/>
    <w:rsid w:val="000B65A6"/>
    <w:rsid w:val="000B6691"/>
    <w:rsid w:val="000B6AD3"/>
    <w:rsid w:val="000B7FAB"/>
    <w:rsid w:val="000C13DC"/>
    <w:rsid w:val="000C1A3C"/>
    <w:rsid w:val="000C24D9"/>
    <w:rsid w:val="000C2895"/>
    <w:rsid w:val="000C38B9"/>
    <w:rsid w:val="000C3C84"/>
    <w:rsid w:val="000C3DB9"/>
    <w:rsid w:val="000C4087"/>
    <w:rsid w:val="000C4493"/>
    <w:rsid w:val="000C5150"/>
    <w:rsid w:val="000C59C0"/>
    <w:rsid w:val="000C5D72"/>
    <w:rsid w:val="000C5DA6"/>
    <w:rsid w:val="000C6310"/>
    <w:rsid w:val="000C6339"/>
    <w:rsid w:val="000C7447"/>
    <w:rsid w:val="000C7FEB"/>
    <w:rsid w:val="000D0B91"/>
    <w:rsid w:val="000D15ED"/>
    <w:rsid w:val="000D1FE3"/>
    <w:rsid w:val="000D38B1"/>
    <w:rsid w:val="000D3CA5"/>
    <w:rsid w:val="000D3D40"/>
    <w:rsid w:val="000D3D5B"/>
    <w:rsid w:val="000D54F8"/>
    <w:rsid w:val="000D5C3C"/>
    <w:rsid w:val="000D5C86"/>
    <w:rsid w:val="000D5F30"/>
    <w:rsid w:val="000D5F3B"/>
    <w:rsid w:val="000D613E"/>
    <w:rsid w:val="000D624D"/>
    <w:rsid w:val="000D6584"/>
    <w:rsid w:val="000D6887"/>
    <w:rsid w:val="000D6A65"/>
    <w:rsid w:val="000D6FD9"/>
    <w:rsid w:val="000D7DA9"/>
    <w:rsid w:val="000E0277"/>
    <w:rsid w:val="000E0635"/>
    <w:rsid w:val="000E069A"/>
    <w:rsid w:val="000E093A"/>
    <w:rsid w:val="000E1A9E"/>
    <w:rsid w:val="000E1B9A"/>
    <w:rsid w:val="000E1F3C"/>
    <w:rsid w:val="000E2065"/>
    <w:rsid w:val="000E2F08"/>
    <w:rsid w:val="000E3149"/>
    <w:rsid w:val="000E316A"/>
    <w:rsid w:val="000E388A"/>
    <w:rsid w:val="000E40EB"/>
    <w:rsid w:val="000E5376"/>
    <w:rsid w:val="000E5BC6"/>
    <w:rsid w:val="000E7646"/>
    <w:rsid w:val="000E7714"/>
    <w:rsid w:val="000F0BB8"/>
    <w:rsid w:val="000F1735"/>
    <w:rsid w:val="000F1F0C"/>
    <w:rsid w:val="000F2252"/>
    <w:rsid w:val="000F2F7B"/>
    <w:rsid w:val="000F49C9"/>
    <w:rsid w:val="000F50F5"/>
    <w:rsid w:val="000F53D9"/>
    <w:rsid w:val="000F55DF"/>
    <w:rsid w:val="000F5861"/>
    <w:rsid w:val="000F5FEB"/>
    <w:rsid w:val="000F6C6C"/>
    <w:rsid w:val="000F7755"/>
    <w:rsid w:val="000F7B5D"/>
    <w:rsid w:val="000F7EB0"/>
    <w:rsid w:val="00100473"/>
    <w:rsid w:val="0010088B"/>
    <w:rsid w:val="001009A1"/>
    <w:rsid w:val="00100EA0"/>
    <w:rsid w:val="001011C8"/>
    <w:rsid w:val="00101C22"/>
    <w:rsid w:val="001023CC"/>
    <w:rsid w:val="00102BC9"/>
    <w:rsid w:val="00103170"/>
    <w:rsid w:val="0010326C"/>
    <w:rsid w:val="00105B94"/>
    <w:rsid w:val="00105C7F"/>
    <w:rsid w:val="00105DC3"/>
    <w:rsid w:val="00105E39"/>
    <w:rsid w:val="001060A0"/>
    <w:rsid w:val="00107CAD"/>
    <w:rsid w:val="001100F7"/>
    <w:rsid w:val="001106EB"/>
    <w:rsid w:val="00110F24"/>
    <w:rsid w:val="001115F0"/>
    <w:rsid w:val="001117F2"/>
    <w:rsid w:val="001122DC"/>
    <w:rsid w:val="0011266B"/>
    <w:rsid w:val="00112709"/>
    <w:rsid w:val="00112B77"/>
    <w:rsid w:val="001136E9"/>
    <w:rsid w:val="00113A7A"/>
    <w:rsid w:val="00115001"/>
    <w:rsid w:val="00115976"/>
    <w:rsid w:val="00115E45"/>
    <w:rsid w:val="00116AA2"/>
    <w:rsid w:val="00116BB9"/>
    <w:rsid w:val="00116C26"/>
    <w:rsid w:val="00117026"/>
    <w:rsid w:val="001179BD"/>
    <w:rsid w:val="00117B02"/>
    <w:rsid w:val="00117D26"/>
    <w:rsid w:val="00120F5D"/>
    <w:rsid w:val="001212BD"/>
    <w:rsid w:val="0012269A"/>
    <w:rsid w:val="00122A63"/>
    <w:rsid w:val="00123065"/>
    <w:rsid w:val="00124230"/>
    <w:rsid w:val="00124F78"/>
    <w:rsid w:val="0012555C"/>
    <w:rsid w:val="0012624B"/>
    <w:rsid w:val="001265A4"/>
    <w:rsid w:val="00127FB2"/>
    <w:rsid w:val="00131778"/>
    <w:rsid w:val="00131CD9"/>
    <w:rsid w:val="00132548"/>
    <w:rsid w:val="00132752"/>
    <w:rsid w:val="0013306D"/>
    <w:rsid w:val="001331DD"/>
    <w:rsid w:val="00133DF7"/>
    <w:rsid w:val="0013472B"/>
    <w:rsid w:val="00134D61"/>
    <w:rsid w:val="00135556"/>
    <w:rsid w:val="00135B41"/>
    <w:rsid w:val="00135D94"/>
    <w:rsid w:val="00136EAF"/>
    <w:rsid w:val="00136EB4"/>
    <w:rsid w:val="001373A3"/>
    <w:rsid w:val="00137897"/>
    <w:rsid w:val="00137BE8"/>
    <w:rsid w:val="00137C56"/>
    <w:rsid w:val="00140A84"/>
    <w:rsid w:val="00140F31"/>
    <w:rsid w:val="00140FC0"/>
    <w:rsid w:val="00141374"/>
    <w:rsid w:val="001414E0"/>
    <w:rsid w:val="0014202F"/>
    <w:rsid w:val="00142528"/>
    <w:rsid w:val="00143DF5"/>
    <w:rsid w:val="00143FC2"/>
    <w:rsid w:val="001440A5"/>
    <w:rsid w:val="00144871"/>
    <w:rsid w:val="00144BCC"/>
    <w:rsid w:val="00145683"/>
    <w:rsid w:val="00146BD1"/>
    <w:rsid w:val="00146CA5"/>
    <w:rsid w:val="00147018"/>
    <w:rsid w:val="00147330"/>
    <w:rsid w:val="00147716"/>
    <w:rsid w:val="00147875"/>
    <w:rsid w:val="001478B6"/>
    <w:rsid w:val="00150130"/>
    <w:rsid w:val="0015061C"/>
    <w:rsid w:val="00151208"/>
    <w:rsid w:val="001514E6"/>
    <w:rsid w:val="00151808"/>
    <w:rsid w:val="0015238C"/>
    <w:rsid w:val="001525C7"/>
    <w:rsid w:val="00152F10"/>
    <w:rsid w:val="00153019"/>
    <w:rsid w:val="001530B6"/>
    <w:rsid w:val="00153372"/>
    <w:rsid w:val="00153941"/>
    <w:rsid w:val="00153997"/>
    <w:rsid w:val="00153CC1"/>
    <w:rsid w:val="001549BE"/>
    <w:rsid w:val="00154D8F"/>
    <w:rsid w:val="00155FFB"/>
    <w:rsid w:val="001563BF"/>
    <w:rsid w:val="00156C1A"/>
    <w:rsid w:val="00157255"/>
    <w:rsid w:val="00160120"/>
    <w:rsid w:val="001604A8"/>
    <w:rsid w:val="00160772"/>
    <w:rsid w:val="00161167"/>
    <w:rsid w:val="00161F95"/>
    <w:rsid w:val="0016216C"/>
    <w:rsid w:val="00162590"/>
    <w:rsid w:val="00162A7C"/>
    <w:rsid w:val="0016381F"/>
    <w:rsid w:val="00163AA4"/>
    <w:rsid w:val="0016642F"/>
    <w:rsid w:val="00166488"/>
    <w:rsid w:val="001675D8"/>
    <w:rsid w:val="00167C36"/>
    <w:rsid w:val="0017068C"/>
    <w:rsid w:val="00171430"/>
    <w:rsid w:val="001734A3"/>
    <w:rsid w:val="0017390D"/>
    <w:rsid w:val="00173BE7"/>
    <w:rsid w:val="0017417F"/>
    <w:rsid w:val="00174412"/>
    <w:rsid w:val="00174549"/>
    <w:rsid w:val="00174E3B"/>
    <w:rsid w:val="00175230"/>
    <w:rsid w:val="00175350"/>
    <w:rsid w:val="001760CE"/>
    <w:rsid w:val="001761A4"/>
    <w:rsid w:val="001768A6"/>
    <w:rsid w:val="00177488"/>
    <w:rsid w:val="00177C75"/>
    <w:rsid w:val="00180856"/>
    <w:rsid w:val="00180E48"/>
    <w:rsid w:val="00180F41"/>
    <w:rsid w:val="00181D08"/>
    <w:rsid w:val="00181F17"/>
    <w:rsid w:val="0018236C"/>
    <w:rsid w:val="00183BD6"/>
    <w:rsid w:val="00184217"/>
    <w:rsid w:val="001842F1"/>
    <w:rsid w:val="00184542"/>
    <w:rsid w:val="001845D8"/>
    <w:rsid w:val="001849D7"/>
    <w:rsid w:val="001849EE"/>
    <w:rsid w:val="0018508F"/>
    <w:rsid w:val="00185AEA"/>
    <w:rsid w:val="00186102"/>
    <w:rsid w:val="001863E0"/>
    <w:rsid w:val="001878B1"/>
    <w:rsid w:val="001878CE"/>
    <w:rsid w:val="0018796E"/>
    <w:rsid w:val="00187FAE"/>
    <w:rsid w:val="001909DF"/>
    <w:rsid w:val="00191E5F"/>
    <w:rsid w:val="00192AB3"/>
    <w:rsid w:val="00193150"/>
    <w:rsid w:val="001931BC"/>
    <w:rsid w:val="001932FE"/>
    <w:rsid w:val="0019381B"/>
    <w:rsid w:val="00195120"/>
    <w:rsid w:val="001956DE"/>
    <w:rsid w:val="00195747"/>
    <w:rsid w:val="00195D82"/>
    <w:rsid w:val="001970BF"/>
    <w:rsid w:val="001971D0"/>
    <w:rsid w:val="001977BF"/>
    <w:rsid w:val="00197F7A"/>
    <w:rsid w:val="001A03A1"/>
    <w:rsid w:val="001A0422"/>
    <w:rsid w:val="001A050D"/>
    <w:rsid w:val="001A0616"/>
    <w:rsid w:val="001A06F3"/>
    <w:rsid w:val="001A07A9"/>
    <w:rsid w:val="001A0891"/>
    <w:rsid w:val="001A0A0D"/>
    <w:rsid w:val="001A1267"/>
    <w:rsid w:val="001A13F4"/>
    <w:rsid w:val="001A15DD"/>
    <w:rsid w:val="001A18B9"/>
    <w:rsid w:val="001A1A84"/>
    <w:rsid w:val="001A1A92"/>
    <w:rsid w:val="001A1E92"/>
    <w:rsid w:val="001A1ED9"/>
    <w:rsid w:val="001A1FAD"/>
    <w:rsid w:val="001A222B"/>
    <w:rsid w:val="001A2259"/>
    <w:rsid w:val="001A3006"/>
    <w:rsid w:val="001A3245"/>
    <w:rsid w:val="001A3572"/>
    <w:rsid w:val="001A5B81"/>
    <w:rsid w:val="001A61D1"/>
    <w:rsid w:val="001A66B9"/>
    <w:rsid w:val="001A68C3"/>
    <w:rsid w:val="001A693A"/>
    <w:rsid w:val="001A7B3F"/>
    <w:rsid w:val="001B0B8B"/>
    <w:rsid w:val="001B0DBD"/>
    <w:rsid w:val="001B11CD"/>
    <w:rsid w:val="001B18D0"/>
    <w:rsid w:val="001B23ED"/>
    <w:rsid w:val="001B2795"/>
    <w:rsid w:val="001B27C1"/>
    <w:rsid w:val="001B4508"/>
    <w:rsid w:val="001B4535"/>
    <w:rsid w:val="001B4DBB"/>
    <w:rsid w:val="001B5239"/>
    <w:rsid w:val="001B5586"/>
    <w:rsid w:val="001B5FEC"/>
    <w:rsid w:val="001B638A"/>
    <w:rsid w:val="001B6A20"/>
    <w:rsid w:val="001B6BC9"/>
    <w:rsid w:val="001B72DE"/>
    <w:rsid w:val="001C02F9"/>
    <w:rsid w:val="001C0512"/>
    <w:rsid w:val="001C19B2"/>
    <w:rsid w:val="001C1C13"/>
    <w:rsid w:val="001C2133"/>
    <w:rsid w:val="001C2AFA"/>
    <w:rsid w:val="001C3078"/>
    <w:rsid w:val="001C3B17"/>
    <w:rsid w:val="001C3D99"/>
    <w:rsid w:val="001C4102"/>
    <w:rsid w:val="001C4DB5"/>
    <w:rsid w:val="001C5C13"/>
    <w:rsid w:val="001C5E0A"/>
    <w:rsid w:val="001C5FDA"/>
    <w:rsid w:val="001C6E29"/>
    <w:rsid w:val="001C7666"/>
    <w:rsid w:val="001C77F3"/>
    <w:rsid w:val="001C7D4C"/>
    <w:rsid w:val="001D066A"/>
    <w:rsid w:val="001D098E"/>
    <w:rsid w:val="001D0AE4"/>
    <w:rsid w:val="001D0BCB"/>
    <w:rsid w:val="001D14BC"/>
    <w:rsid w:val="001D223F"/>
    <w:rsid w:val="001D2A95"/>
    <w:rsid w:val="001D428D"/>
    <w:rsid w:val="001D441D"/>
    <w:rsid w:val="001D4820"/>
    <w:rsid w:val="001D50EA"/>
    <w:rsid w:val="001D5880"/>
    <w:rsid w:val="001D5948"/>
    <w:rsid w:val="001D7046"/>
    <w:rsid w:val="001D78CC"/>
    <w:rsid w:val="001D7AF7"/>
    <w:rsid w:val="001E178B"/>
    <w:rsid w:val="001E1AAC"/>
    <w:rsid w:val="001E22E2"/>
    <w:rsid w:val="001E258D"/>
    <w:rsid w:val="001E2618"/>
    <w:rsid w:val="001E4761"/>
    <w:rsid w:val="001E49A1"/>
    <w:rsid w:val="001E543F"/>
    <w:rsid w:val="001E5B37"/>
    <w:rsid w:val="001E689E"/>
    <w:rsid w:val="001E6967"/>
    <w:rsid w:val="001E7954"/>
    <w:rsid w:val="001E7C02"/>
    <w:rsid w:val="001F051E"/>
    <w:rsid w:val="001F0D99"/>
    <w:rsid w:val="001F18E8"/>
    <w:rsid w:val="001F1CE8"/>
    <w:rsid w:val="001F1EB8"/>
    <w:rsid w:val="001F20B0"/>
    <w:rsid w:val="001F2557"/>
    <w:rsid w:val="001F27B1"/>
    <w:rsid w:val="001F2C29"/>
    <w:rsid w:val="001F38B3"/>
    <w:rsid w:val="001F3B39"/>
    <w:rsid w:val="001F3BA8"/>
    <w:rsid w:val="001F4AA9"/>
    <w:rsid w:val="001F4BB0"/>
    <w:rsid w:val="001F5B76"/>
    <w:rsid w:val="002000C7"/>
    <w:rsid w:val="00201384"/>
    <w:rsid w:val="0020221E"/>
    <w:rsid w:val="00202A83"/>
    <w:rsid w:val="00202DE5"/>
    <w:rsid w:val="00202F7A"/>
    <w:rsid w:val="00203022"/>
    <w:rsid w:val="00203078"/>
    <w:rsid w:val="00203917"/>
    <w:rsid w:val="002046C9"/>
    <w:rsid w:val="00206ADF"/>
    <w:rsid w:val="002101D5"/>
    <w:rsid w:val="00210EB4"/>
    <w:rsid w:val="0021191D"/>
    <w:rsid w:val="00212026"/>
    <w:rsid w:val="0021218B"/>
    <w:rsid w:val="002129AA"/>
    <w:rsid w:val="00212B05"/>
    <w:rsid w:val="00212BAB"/>
    <w:rsid w:val="00213007"/>
    <w:rsid w:val="00213099"/>
    <w:rsid w:val="00213922"/>
    <w:rsid w:val="00213D63"/>
    <w:rsid w:val="00213DAD"/>
    <w:rsid w:val="00213EF8"/>
    <w:rsid w:val="00213FE4"/>
    <w:rsid w:val="00214A27"/>
    <w:rsid w:val="00214FC3"/>
    <w:rsid w:val="00215732"/>
    <w:rsid w:val="002158E2"/>
    <w:rsid w:val="00215AEF"/>
    <w:rsid w:val="002167DC"/>
    <w:rsid w:val="00216DC0"/>
    <w:rsid w:val="002177D3"/>
    <w:rsid w:val="00217A32"/>
    <w:rsid w:val="00217B4E"/>
    <w:rsid w:val="002214CF"/>
    <w:rsid w:val="002218A2"/>
    <w:rsid w:val="002219A1"/>
    <w:rsid w:val="00221E11"/>
    <w:rsid w:val="002222EA"/>
    <w:rsid w:val="002231CD"/>
    <w:rsid w:val="00223372"/>
    <w:rsid w:val="0022350D"/>
    <w:rsid w:val="0022419B"/>
    <w:rsid w:val="00224579"/>
    <w:rsid w:val="00225349"/>
    <w:rsid w:val="00225502"/>
    <w:rsid w:val="002259E2"/>
    <w:rsid w:val="00225D4D"/>
    <w:rsid w:val="00225FE8"/>
    <w:rsid w:val="00226687"/>
    <w:rsid w:val="00226E85"/>
    <w:rsid w:val="00230004"/>
    <w:rsid w:val="002302FD"/>
    <w:rsid w:val="00230C52"/>
    <w:rsid w:val="00230EAD"/>
    <w:rsid w:val="00230F5C"/>
    <w:rsid w:val="00231043"/>
    <w:rsid w:val="00231423"/>
    <w:rsid w:val="00231679"/>
    <w:rsid w:val="00231ED9"/>
    <w:rsid w:val="0023284D"/>
    <w:rsid w:val="00232AC1"/>
    <w:rsid w:val="00232CD4"/>
    <w:rsid w:val="00232CF2"/>
    <w:rsid w:val="00232DD0"/>
    <w:rsid w:val="002333E9"/>
    <w:rsid w:val="00233B38"/>
    <w:rsid w:val="00233D53"/>
    <w:rsid w:val="00233EC9"/>
    <w:rsid w:val="00233F18"/>
    <w:rsid w:val="00234CD1"/>
    <w:rsid w:val="002353DF"/>
    <w:rsid w:val="0023643D"/>
    <w:rsid w:val="00237099"/>
    <w:rsid w:val="0023774A"/>
    <w:rsid w:val="0024024C"/>
    <w:rsid w:val="0024032B"/>
    <w:rsid w:val="00240334"/>
    <w:rsid w:val="0024051A"/>
    <w:rsid w:val="002408A8"/>
    <w:rsid w:val="002409DC"/>
    <w:rsid w:val="00240A24"/>
    <w:rsid w:val="00240C06"/>
    <w:rsid w:val="0024186D"/>
    <w:rsid w:val="00241BAE"/>
    <w:rsid w:val="00241C1D"/>
    <w:rsid w:val="00241E59"/>
    <w:rsid w:val="00241EED"/>
    <w:rsid w:val="0024222F"/>
    <w:rsid w:val="00242CF7"/>
    <w:rsid w:val="00243C1E"/>
    <w:rsid w:val="00244663"/>
    <w:rsid w:val="00244C7F"/>
    <w:rsid w:val="00245C5A"/>
    <w:rsid w:val="00246003"/>
    <w:rsid w:val="0024648B"/>
    <w:rsid w:val="0024657B"/>
    <w:rsid w:val="0024695E"/>
    <w:rsid w:val="002469CE"/>
    <w:rsid w:val="00246B89"/>
    <w:rsid w:val="0024791E"/>
    <w:rsid w:val="00252A28"/>
    <w:rsid w:val="002532A2"/>
    <w:rsid w:val="0025330E"/>
    <w:rsid w:val="00253430"/>
    <w:rsid w:val="002554CE"/>
    <w:rsid w:val="00256140"/>
    <w:rsid w:val="00256157"/>
    <w:rsid w:val="002566EA"/>
    <w:rsid w:val="0026075D"/>
    <w:rsid w:val="00261249"/>
    <w:rsid w:val="00261458"/>
    <w:rsid w:val="00261D6E"/>
    <w:rsid w:val="002629BC"/>
    <w:rsid w:val="00262DE5"/>
    <w:rsid w:val="0026374B"/>
    <w:rsid w:val="002645B3"/>
    <w:rsid w:val="00264AA4"/>
    <w:rsid w:val="00265019"/>
    <w:rsid w:val="00265154"/>
    <w:rsid w:val="00265BB0"/>
    <w:rsid w:val="00267D12"/>
    <w:rsid w:val="00267D8A"/>
    <w:rsid w:val="00270A10"/>
    <w:rsid w:val="00271307"/>
    <w:rsid w:val="002717BD"/>
    <w:rsid w:val="00271A4A"/>
    <w:rsid w:val="00272427"/>
    <w:rsid w:val="00272798"/>
    <w:rsid w:val="002731D5"/>
    <w:rsid w:val="00273580"/>
    <w:rsid w:val="0027359F"/>
    <w:rsid w:val="0027368A"/>
    <w:rsid w:val="00273F79"/>
    <w:rsid w:val="002744E2"/>
    <w:rsid w:val="00274830"/>
    <w:rsid w:val="0027506B"/>
    <w:rsid w:val="00275BCD"/>
    <w:rsid w:val="00277238"/>
    <w:rsid w:val="00277257"/>
    <w:rsid w:val="002776A3"/>
    <w:rsid w:val="00280EB9"/>
    <w:rsid w:val="00281D82"/>
    <w:rsid w:val="0028302C"/>
    <w:rsid w:val="002835DB"/>
    <w:rsid w:val="002843F7"/>
    <w:rsid w:val="00285ACF"/>
    <w:rsid w:val="00286201"/>
    <w:rsid w:val="00286D78"/>
    <w:rsid w:val="00287D5E"/>
    <w:rsid w:val="00290704"/>
    <w:rsid w:val="00291461"/>
    <w:rsid w:val="00291840"/>
    <w:rsid w:val="00291BD1"/>
    <w:rsid w:val="00292091"/>
    <w:rsid w:val="00292536"/>
    <w:rsid w:val="002925D4"/>
    <w:rsid w:val="00292817"/>
    <w:rsid w:val="00293011"/>
    <w:rsid w:val="00294B97"/>
    <w:rsid w:val="00294C03"/>
    <w:rsid w:val="00294E63"/>
    <w:rsid w:val="00295321"/>
    <w:rsid w:val="00295390"/>
    <w:rsid w:val="00295DC7"/>
    <w:rsid w:val="00296BD2"/>
    <w:rsid w:val="00296FEF"/>
    <w:rsid w:val="00297109"/>
    <w:rsid w:val="00297411"/>
    <w:rsid w:val="002975E6"/>
    <w:rsid w:val="00297AFD"/>
    <w:rsid w:val="002A0380"/>
    <w:rsid w:val="002A098E"/>
    <w:rsid w:val="002A0EBE"/>
    <w:rsid w:val="002A108B"/>
    <w:rsid w:val="002A266B"/>
    <w:rsid w:val="002A29E7"/>
    <w:rsid w:val="002A29FA"/>
    <w:rsid w:val="002A29FE"/>
    <w:rsid w:val="002A2FBA"/>
    <w:rsid w:val="002A3A42"/>
    <w:rsid w:val="002A3F8D"/>
    <w:rsid w:val="002A432A"/>
    <w:rsid w:val="002A4EA7"/>
    <w:rsid w:val="002A4FBF"/>
    <w:rsid w:val="002A5130"/>
    <w:rsid w:val="002A5271"/>
    <w:rsid w:val="002A5626"/>
    <w:rsid w:val="002A563D"/>
    <w:rsid w:val="002A5A16"/>
    <w:rsid w:val="002A5A43"/>
    <w:rsid w:val="002A5DD6"/>
    <w:rsid w:val="002A644A"/>
    <w:rsid w:val="002A6D05"/>
    <w:rsid w:val="002A6FBC"/>
    <w:rsid w:val="002A709B"/>
    <w:rsid w:val="002A7168"/>
    <w:rsid w:val="002A75B5"/>
    <w:rsid w:val="002A7DBC"/>
    <w:rsid w:val="002A7E4F"/>
    <w:rsid w:val="002B0301"/>
    <w:rsid w:val="002B048F"/>
    <w:rsid w:val="002B0B24"/>
    <w:rsid w:val="002B0ECB"/>
    <w:rsid w:val="002B19CB"/>
    <w:rsid w:val="002B1B0E"/>
    <w:rsid w:val="002B2D51"/>
    <w:rsid w:val="002B2F1A"/>
    <w:rsid w:val="002B3F5F"/>
    <w:rsid w:val="002B42D0"/>
    <w:rsid w:val="002B47A4"/>
    <w:rsid w:val="002B4EAF"/>
    <w:rsid w:val="002B5195"/>
    <w:rsid w:val="002B5330"/>
    <w:rsid w:val="002B5694"/>
    <w:rsid w:val="002B590D"/>
    <w:rsid w:val="002B5AFC"/>
    <w:rsid w:val="002B6369"/>
    <w:rsid w:val="002B63B9"/>
    <w:rsid w:val="002B6C81"/>
    <w:rsid w:val="002B70B2"/>
    <w:rsid w:val="002B7E22"/>
    <w:rsid w:val="002C028C"/>
    <w:rsid w:val="002C15A5"/>
    <w:rsid w:val="002C20D4"/>
    <w:rsid w:val="002C2517"/>
    <w:rsid w:val="002C29EC"/>
    <w:rsid w:val="002C2A44"/>
    <w:rsid w:val="002C34B9"/>
    <w:rsid w:val="002C3AF9"/>
    <w:rsid w:val="002C3FAB"/>
    <w:rsid w:val="002C483E"/>
    <w:rsid w:val="002C4F77"/>
    <w:rsid w:val="002C5A2D"/>
    <w:rsid w:val="002C5AB0"/>
    <w:rsid w:val="002C6206"/>
    <w:rsid w:val="002C62CC"/>
    <w:rsid w:val="002C7139"/>
    <w:rsid w:val="002C785B"/>
    <w:rsid w:val="002C7C22"/>
    <w:rsid w:val="002C7C28"/>
    <w:rsid w:val="002C7CDD"/>
    <w:rsid w:val="002D03B4"/>
    <w:rsid w:val="002D0DB0"/>
    <w:rsid w:val="002D10DB"/>
    <w:rsid w:val="002D1536"/>
    <w:rsid w:val="002D18F0"/>
    <w:rsid w:val="002D194C"/>
    <w:rsid w:val="002D280C"/>
    <w:rsid w:val="002D2D07"/>
    <w:rsid w:val="002D2E85"/>
    <w:rsid w:val="002D3AE3"/>
    <w:rsid w:val="002D44BE"/>
    <w:rsid w:val="002D499D"/>
    <w:rsid w:val="002D4D42"/>
    <w:rsid w:val="002D4D58"/>
    <w:rsid w:val="002D61A1"/>
    <w:rsid w:val="002D6406"/>
    <w:rsid w:val="002D65AD"/>
    <w:rsid w:val="002D65B5"/>
    <w:rsid w:val="002D69F9"/>
    <w:rsid w:val="002D72BE"/>
    <w:rsid w:val="002D7A07"/>
    <w:rsid w:val="002D7B1A"/>
    <w:rsid w:val="002D7E81"/>
    <w:rsid w:val="002E024C"/>
    <w:rsid w:val="002E0541"/>
    <w:rsid w:val="002E0A20"/>
    <w:rsid w:val="002E0D1A"/>
    <w:rsid w:val="002E13F1"/>
    <w:rsid w:val="002E14F6"/>
    <w:rsid w:val="002E19EE"/>
    <w:rsid w:val="002E1C95"/>
    <w:rsid w:val="002E1EE4"/>
    <w:rsid w:val="002E21BD"/>
    <w:rsid w:val="002E28D8"/>
    <w:rsid w:val="002E31E0"/>
    <w:rsid w:val="002E37E6"/>
    <w:rsid w:val="002E3902"/>
    <w:rsid w:val="002E3B07"/>
    <w:rsid w:val="002E3E9A"/>
    <w:rsid w:val="002E3EB0"/>
    <w:rsid w:val="002E4285"/>
    <w:rsid w:val="002E47A3"/>
    <w:rsid w:val="002E5FF4"/>
    <w:rsid w:val="002E7114"/>
    <w:rsid w:val="002E7179"/>
    <w:rsid w:val="002E7202"/>
    <w:rsid w:val="002F1A5F"/>
    <w:rsid w:val="002F292F"/>
    <w:rsid w:val="002F2A2B"/>
    <w:rsid w:val="002F2D7E"/>
    <w:rsid w:val="002F3582"/>
    <w:rsid w:val="002F3EB7"/>
    <w:rsid w:val="002F465E"/>
    <w:rsid w:val="002F4AA2"/>
    <w:rsid w:val="002F4DBF"/>
    <w:rsid w:val="002F4F7B"/>
    <w:rsid w:val="002F52F5"/>
    <w:rsid w:val="002F5827"/>
    <w:rsid w:val="002F5A58"/>
    <w:rsid w:val="002F5AB2"/>
    <w:rsid w:val="002F5C92"/>
    <w:rsid w:val="002F6108"/>
    <w:rsid w:val="002F64A9"/>
    <w:rsid w:val="002F6C95"/>
    <w:rsid w:val="002F7AD2"/>
    <w:rsid w:val="002F7CC2"/>
    <w:rsid w:val="002F7CCF"/>
    <w:rsid w:val="002F7F16"/>
    <w:rsid w:val="00300226"/>
    <w:rsid w:val="00300562"/>
    <w:rsid w:val="00300690"/>
    <w:rsid w:val="00301716"/>
    <w:rsid w:val="003024CE"/>
    <w:rsid w:val="003025FF"/>
    <w:rsid w:val="003029A5"/>
    <w:rsid w:val="00303995"/>
    <w:rsid w:val="00304487"/>
    <w:rsid w:val="00304E6D"/>
    <w:rsid w:val="00305266"/>
    <w:rsid w:val="0030574F"/>
    <w:rsid w:val="003069FF"/>
    <w:rsid w:val="00306AAE"/>
    <w:rsid w:val="00307499"/>
    <w:rsid w:val="00307E1C"/>
    <w:rsid w:val="003102A2"/>
    <w:rsid w:val="003102D9"/>
    <w:rsid w:val="00310ECD"/>
    <w:rsid w:val="0031152A"/>
    <w:rsid w:val="0031198A"/>
    <w:rsid w:val="0031238C"/>
    <w:rsid w:val="00312663"/>
    <w:rsid w:val="00312DFC"/>
    <w:rsid w:val="003130AC"/>
    <w:rsid w:val="003131BC"/>
    <w:rsid w:val="003138BA"/>
    <w:rsid w:val="0031455B"/>
    <w:rsid w:val="00314F76"/>
    <w:rsid w:val="00315209"/>
    <w:rsid w:val="00315900"/>
    <w:rsid w:val="003167F2"/>
    <w:rsid w:val="0031699C"/>
    <w:rsid w:val="00317567"/>
    <w:rsid w:val="00317814"/>
    <w:rsid w:val="003216EA"/>
    <w:rsid w:val="00321C6D"/>
    <w:rsid w:val="00322304"/>
    <w:rsid w:val="00322B2A"/>
    <w:rsid w:val="00323360"/>
    <w:rsid w:val="00323D5F"/>
    <w:rsid w:val="00323E9D"/>
    <w:rsid w:val="0032440B"/>
    <w:rsid w:val="00327254"/>
    <w:rsid w:val="00327A62"/>
    <w:rsid w:val="0033086C"/>
    <w:rsid w:val="00330FC3"/>
    <w:rsid w:val="0033198D"/>
    <w:rsid w:val="00331EB3"/>
    <w:rsid w:val="00332926"/>
    <w:rsid w:val="00332D52"/>
    <w:rsid w:val="00334654"/>
    <w:rsid w:val="00334D6C"/>
    <w:rsid w:val="00335157"/>
    <w:rsid w:val="003353B8"/>
    <w:rsid w:val="00335528"/>
    <w:rsid w:val="00335591"/>
    <w:rsid w:val="0033592D"/>
    <w:rsid w:val="00335AFD"/>
    <w:rsid w:val="00335F73"/>
    <w:rsid w:val="003360D5"/>
    <w:rsid w:val="003364BC"/>
    <w:rsid w:val="00336933"/>
    <w:rsid w:val="00337426"/>
    <w:rsid w:val="0033742C"/>
    <w:rsid w:val="0033791F"/>
    <w:rsid w:val="0034007A"/>
    <w:rsid w:val="0034069B"/>
    <w:rsid w:val="00341446"/>
    <w:rsid w:val="003414B9"/>
    <w:rsid w:val="00341E05"/>
    <w:rsid w:val="00341FC1"/>
    <w:rsid w:val="00342482"/>
    <w:rsid w:val="00342C2E"/>
    <w:rsid w:val="00342C2F"/>
    <w:rsid w:val="00344B4D"/>
    <w:rsid w:val="00345080"/>
    <w:rsid w:val="003456D5"/>
    <w:rsid w:val="00345ED8"/>
    <w:rsid w:val="003464D9"/>
    <w:rsid w:val="00346C4D"/>
    <w:rsid w:val="00347F90"/>
    <w:rsid w:val="0035028F"/>
    <w:rsid w:val="00350DE6"/>
    <w:rsid w:val="00350E8C"/>
    <w:rsid w:val="00351431"/>
    <w:rsid w:val="0035147D"/>
    <w:rsid w:val="003521D7"/>
    <w:rsid w:val="00353549"/>
    <w:rsid w:val="00354335"/>
    <w:rsid w:val="003543FE"/>
    <w:rsid w:val="003548B8"/>
    <w:rsid w:val="00354CBC"/>
    <w:rsid w:val="00355377"/>
    <w:rsid w:val="00355535"/>
    <w:rsid w:val="003563AB"/>
    <w:rsid w:val="00356855"/>
    <w:rsid w:val="0035686B"/>
    <w:rsid w:val="00356D16"/>
    <w:rsid w:val="00360C5D"/>
    <w:rsid w:val="00360F41"/>
    <w:rsid w:val="003612A8"/>
    <w:rsid w:val="00362672"/>
    <w:rsid w:val="0036267D"/>
    <w:rsid w:val="00362A76"/>
    <w:rsid w:val="00362B92"/>
    <w:rsid w:val="00364072"/>
    <w:rsid w:val="00364596"/>
    <w:rsid w:val="00365594"/>
    <w:rsid w:val="00365FF2"/>
    <w:rsid w:val="00366D04"/>
    <w:rsid w:val="003670C5"/>
    <w:rsid w:val="00367956"/>
    <w:rsid w:val="003701D3"/>
    <w:rsid w:val="0037047C"/>
    <w:rsid w:val="00371320"/>
    <w:rsid w:val="0037141A"/>
    <w:rsid w:val="0037173E"/>
    <w:rsid w:val="003723A5"/>
    <w:rsid w:val="003725E6"/>
    <w:rsid w:val="00373892"/>
    <w:rsid w:val="00373B9D"/>
    <w:rsid w:val="00373C2F"/>
    <w:rsid w:val="00373E1B"/>
    <w:rsid w:val="00373EB6"/>
    <w:rsid w:val="00374565"/>
    <w:rsid w:val="0037456A"/>
    <w:rsid w:val="0037458F"/>
    <w:rsid w:val="003748DC"/>
    <w:rsid w:val="003748F6"/>
    <w:rsid w:val="00374D7E"/>
    <w:rsid w:val="00374E3F"/>
    <w:rsid w:val="003751C2"/>
    <w:rsid w:val="0037529C"/>
    <w:rsid w:val="0037577F"/>
    <w:rsid w:val="00375EB8"/>
    <w:rsid w:val="003777D9"/>
    <w:rsid w:val="00380371"/>
    <w:rsid w:val="00380C18"/>
    <w:rsid w:val="00380CED"/>
    <w:rsid w:val="00380E8C"/>
    <w:rsid w:val="003812C1"/>
    <w:rsid w:val="00381F95"/>
    <w:rsid w:val="0038246F"/>
    <w:rsid w:val="00382607"/>
    <w:rsid w:val="00382C38"/>
    <w:rsid w:val="0038318B"/>
    <w:rsid w:val="00383715"/>
    <w:rsid w:val="0038485F"/>
    <w:rsid w:val="00384BAF"/>
    <w:rsid w:val="00385482"/>
    <w:rsid w:val="003858E7"/>
    <w:rsid w:val="00385B2F"/>
    <w:rsid w:val="00386843"/>
    <w:rsid w:val="00386B11"/>
    <w:rsid w:val="00386B87"/>
    <w:rsid w:val="00387971"/>
    <w:rsid w:val="00387CB5"/>
    <w:rsid w:val="00387E7B"/>
    <w:rsid w:val="003905AE"/>
    <w:rsid w:val="00390EF7"/>
    <w:rsid w:val="00391282"/>
    <w:rsid w:val="00391376"/>
    <w:rsid w:val="003913F1"/>
    <w:rsid w:val="003914F8"/>
    <w:rsid w:val="003926CF"/>
    <w:rsid w:val="00392754"/>
    <w:rsid w:val="00392BFF"/>
    <w:rsid w:val="00394D0E"/>
    <w:rsid w:val="00395073"/>
    <w:rsid w:val="00395B70"/>
    <w:rsid w:val="00397165"/>
    <w:rsid w:val="003975A5"/>
    <w:rsid w:val="00397863"/>
    <w:rsid w:val="003A02A9"/>
    <w:rsid w:val="003A0AFB"/>
    <w:rsid w:val="003A0D1B"/>
    <w:rsid w:val="003A176C"/>
    <w:rsid w:val="003A19EF"/>
    <w:rsid w:val="003A23EA"/>
    <w:rsid w:val="003A25D2"/>
    <w:rsid w:val="003A6136"/>
    <w:rsid w:val="003A65A1"/>
    <w:rsid w:val="003A65B1"/>
    <w:rsid w:val="003A6697"/>
    <w:rsid w:val="003A66B3"/>
    <w:rsid w:val="003A6A91"/>
    <w:rsid w:val="003A6EFE"/>
    <w:rsid w:val="003B14A0"/>
    <w:rsid w:val="003B1973"/>
    <w:rsid w:val="003B20EC"/>
    <w:rsid w:val="003B2220"/>
    <w:rsid w:val="003B2EE9"/>
    <w:rsid w:val="003B2EF6"/>
    <w:rsid w:val="003B3AC2"/>
    <w:rsid w:val="003B4778"/>
    <w:rsid w:val="003B47C8"/>
    <w:rsid w:val="003B54C4"/>
    <w:rsid w:val="003B54F3"/>
    <w:rsid w:val="003B6652"/>
    <w:rsid w:val="003B706C"/>
    <w:rsid w:val="003C0541"/>
    <w:rsid w:val="003C076E"/>
    <w:rsid w:val="003C103D"/>
    <w:rsid w:val="003C1AA8"/>
    <w:rsid w:val="003C240D"/>
    <w:rsid w:val="003C32B3"/>
    <w:rsid w:val="003C49DA"/>
    <w:rsid w:val="003C4AAB"/>
    <w:rsid w:val="003C4AC1"/>
    <w:rsid w:val="003C5344"/>
    <w:rsid w:val="003C54B4"/>
    <w:rsid w:val="003C5692"/>
    <w:rsid w:val="003C5A3D"/>
    <w:rsid w:val="003C6948"/>
    <w:rsid w:val="003C6B85"/>
    <w:rsid w:val="003C6B9F"/>
    <w:rsid w:val="003C74B7"/>
    <w:rsid w:val="003C77EC"/>
    <w:rsid w:val="003C783D"/>
    <w:rsid w:val="003D0155"/>
    <w:rsid w:val="003D02A6"/>
    <w:rsid w:val="003D0C6B"/>
    <w:rsid w:val="003D100C"/>
    <w:rsid w:val="003D11EF"/>
    <w:rsid w:val="003D1373"/>
    <w:rsid w:val="003D15CF"/>
    <w:rsid w:val="003D1624"/>
    <w:rsid w:val="003D187D"/>
    <w:rsid w:val="003D1AF7"/>
    <w:rsid w:val="003D24CC"/>
    <w:rsid w:val="003D2A06"/>
    <w:rsid w:val="003D2C3A"/>
    <w:rsid w:val="003D3508"/>
    <w:rsid w:val="003D3B9A"/>
    <w:rsid w:val="003D3E93"/>
    <w:rsid w:val="003D50B9"/>
    <w:rsid w:val="003D6483"/>
    <w:rsid w:val="003D71A4"/>
    <w:rsid w:val="003D7224"/>
    <w:rsid w:val="003D7D01"/>
    <w:rsid w:val="003E029C"/>
    <w:rsid w:val="003E0507"/>
    <w:rsid w:val="003E05E8"/>
    <w:rsid w:val="003E08E2"/>
    <w:rsid w:val="003E0BD1"/>
    <w:rsid w:val="003E0E3C"/>
    <w:rsid w:val="003E12A8"/>
    <w:rsid w:val="003E24E9"/>
    <w:rsid w:val="003E2597"/>
    <w:rsid w:val="003E3982"/>
    <w:rsid w:val="003E479F"/>
    <w:rsid w:val="003E49FA"/>
    <w:rsid w:val="003E62EA"/>
    <w:rsid w:val="003E670C"/>
    <w:rsid w:val="003E6AE5"/>
    <w:rsid w:val="003E74E8"/>
    <w:rsid w:val="003E794A"/>
    <w:rsid w:val="003F05B5"/>
    <w:rsid w:val="003F05D8"/>
    <w:rsid w:val="003F0E67"/>
    <w:rsid w:val="003F14A8"/>
    <w:rsid w:val="003F15F3"/>
    <w:rsid w:val="003F1AA8"/>
    <w:rsid w:val="003F1C48"/>
    <w:rsid w:val="003F2072"/>
    <w:rsid w:val="003F246F"/>
    <w:rsid w:val="003F287F"/>
    <w:rsid w:val="003F2C40"/>
    <w:rsid w:val="003F3C97"/>
    <w:rsid w:val="003F3D6C"/>
    <w:rsid w:val="003F4BD8"/>
    <w:rsid w:val="003F5C91"/>
    <w:rsid w:val="003F6857"/>
    <w:rsid w:val="003F68AE"/>
    <w:rsid w:val="003F69AE"/>
    <w:rsid w:val="003F6C6C"/>
    <w:rsid w:val="003F6E10"/>
    <w:rsid w:val="003F7373"/>
    <w:rsid w:val="003F775D"/>
    <w:rsid w:val="004005BF"/>
    <w:rsid w:val="00400653"/>
    <w:rsid w:val="00400D25"/>
    <w:rsid w:val="00400D62"/>
    <w:rsid w:val="0040107C"/>
    <w:rsid w:val="00401A41"/>
    <w:rsid w:val="00401B2C"/>
    <w:rsid w:val="00401C24"/>
    <w:rsid w:val="004029E2"/>
    <w:rsid w:val="00404390"/>
    <w:rsid w:val="00404C94"/>
    <w:rsid w:val="00405240"/>
    <w:rsid w:val="00405A65"/>
    <w:rsid w:val="004071E6"/>
    <w:rsid w:val="0040757B"/>
    <w:rsid w:val="00407A13"/>
    <w:rsid w:val="00407FC5"/>
    <w:rsid w:val="004104AA"/>
    <w:rsid w:val="00410A03"/>
    <w:rsid w:val="0041216A"/>
    <w:rsid w:val="00412807"/>
    <w:rsid w:val="0041305E"/>
    <w:rsid w:val="004146E4"/>
    <w:rsid w:val="00415312"/>
    <w:rsid w:val="004154AB"/>
    <w:rsid w:val="00416074"/>
    <w:rsid w:val="004172CB"/>
    <w:rsid w:val="004173CD"/>
    <w:rsid w:val="00417635"/>
    <w:rsid w:val="0042052A"/>
    <w:rsid w:val="00420DA7"/>
    <w:rsid w:val="00421383"/>
    <w:rsid w:val="00421F67"/>
    <w:rsid w:val="00422584"/>
    <w:rsid w:val="00422B63"/>
    <w:rsid w:val="004231EB"/>
    <w:rsid w:val="004239F6"/>
    <w:rsid w:val="0042434C"/>
    <w:rsid w:val="00424B70"/>
    <w:rsid w:val="00424DE2"/>
    <w:rsid w:val="00424E9E"/>
    <w:rsid w:val="00425294"/>
    <w:rsid w:val="00425721"/>
    <w:rsid w:val="00425D57"/>
    <w:rsid w:val="00426477"/>
    <w:rsid w:val="00426CFF"/>
    <w:rsid w:val="0042784B"/>
    <w:rsid w:val="00430C3A"/>
    <w:rsid w:val="00430C73"/>
    <w:rsid w:val="00430DC1"/>
    <w:rsid w:val="00430DCC"/>
    <w:rsid w:val="00431A34"/>
    <w:rsid w:val="00431FFD"/>
    <w:rsid w:val="004321B3"/>
    <w:rsid w:val="00432425"/>
    <w:rsid w:val="00432664"/>
    <w:rsid w:val="004327EF"/>
    <w:rsid w:val="00432D4C"/>
    <w:rsid w:val="0043315C"/>
    <w:rsid w:val="004331C4"/>
    <w:rsid w:val="00433617"/>
    <w:rsid w:val="00434EA3"/>
    <w:rsid w:val="004354F9"/>
    <w:rsid w:val="00435DCC"/>
    <w:rsid w:val="00436D11"/>
    <w:rsid w:val="00437026"/>
    <w:rsid w:val="0043733E"/>
    <w:rsid w:val="0043764F"/>
    <w:rsid w:val="00437E15"/>
    <w:rsid w:val="0044000E"/>
    <w:rsid w:val="0044020E"/>
    <w:rsid w:val="00440B23"/>
    <w:rsid w:val="00441AA8"/>
    <w:rsid w:val="00441B32"/>
    <w:rsid w:val="004428CA"/>
    <w:rsid w:val="00442BC8"/>
    <w:rsid w:val="0044359D"/>
    <w:rsid w:val="00444227"/>
    <w:rsid w:val="004446A3"/>
    <w:rsid w:val="0044479A"/>
    <w:rsid w:val="00445B69"/>
    <w:rsid w:val="00445C92"/>
    <w:rsid w:val="004465EC"/>
    <w:rsid w:val="0044672A"/>
    <w:rsid w:val="00446B05"/>
    <w:rsid w:val="00446F42"/>
    <w:rsid w:val="0044718A"/>
    <w:rsid w:val="00447E30"/>
    <w:rsid w:val="00450806"/>
    <w:rsid w:val="00450E1E"/>
    <w:rsid w:val="004513E7"/>
    <w:rsid w:val="00451EE8"/>
    <w:rsid w:val="00451FDB"/>
    <w:rsid w:val="00452BE0"/>
    <w:rsid w:val="00452D0D"/>
    <w:rsid w:val="00453605"/>
    <w:rsid w:val="00453713"/>
    <w:rsid w:val="00453AE9"/>
    <w:rsid w:val="0045421A"/>
    <w:rsid w:val="00454D0E"/>
    <w:rsid w:val="00454FAF"/>
    <w:rsid w:val="00455E3F"/>
    <w:rsid w:val="00456154"/>
    <w:rsid w:val="004562A6"/>
    <w:rsid w:val="00456B75"/>
    <w:rsid w:val="004572B0"/>
    <w:rsid w:val="004572B6"/>
    <w:rsid w:val="004573AD"/>
    <w:rsid w:val="00460459"/>
    <w:rsid w:val="004604DA"/>
    <w:rsid w:val="004609C8"/>
    <w:rsid w:val="0046107E"/>
    <w:rsid w:val="004612AE"/>
    <w:rsid w:val="00461408"/>
    <w:rsid w:val="004618D7"/>
    <w:rsid w:val="00462A86"/>
    <w:rsid w:val="00462D53"/>
    <w:rsid w:val="00463052"/>
    <w:rsid w:val="0046314F"/>
    <w:rsid w:val="00463F26"/>
    <w:rsid w:val="00464C71"/>
    <w:rsid w:val="00464E88"/>
    <w:rsid w:val="00465BD8"/>
    <w:rsid w:val="00466D56"/>
    <w:rsid w:val="004672BB"/>
    <w:rsid w:val="004675C1"/>
    <w:rsid w:val="00467E9A"/>
    <w:rsid w:val="00470B60"/>
    <w:rsid w:val="00471B21"/>
    <w:rsid w:val="004724A0"/>
    <w:rsid w:val="00472BB9"/>
    <w:rsid w:val="004739FB"/>
    <w:rsid w:val="00473DCD"/>
    <w:rsid w:val="0047442C"/>
    <w:rsid w:val="0047443C"/>
    <w:rsid w:val="004750D1"/>
    <w:rsid w:val="00475E14"/>
    <w:rsid w:val="00475ED5"/>
    <w:rsid w:val="00476635"/>
    <w:rsid w:val="004772FB"/>
    <w:rsid w:val="00480C16"/>
    <w:rsid w:val="004811AF"/>
    <w:rsid w:val="0048183C"/>
    <w:rsid w:val="0048310F"/>
    <w:rsid w:val="0048389F"/>
    <w:rsid w:val="00483BED"/>
    <w:rsid w:val="00484077"/>
    <w:rsid w:val="004845A5"/>
    <w:rsid w:val="00484DC5"/>
    <w:rsid w:val="00485634"/>
    <w:rsid w:val="00485C7F"/>
    <w:rsid w:val="00485CE4"/>
    <w:rsid w:val="00485D47"/>
    <w:rsid w:val="00486240"/>
    <w:rsid w:val="00486F0E"/>
    <w:rsid w:val="00487CE2"/>
    <w:rsid w:val="004907BE"/>
    <w:rsid w:val="004908B1"/>
    <w:rsid w:val="004911C3"/>
    <w:rsid w:val="00491395"/>
    <w:rsid w:val="00491B84"/>
    <w:rsid w:val="00491C85"/>
    <w:rsid w:val="004920DC"/>
    <w:rsid w:val="00492D68"/>
    <w:rsid w:val="00493FD3"/>
    <w:rsid w:val="00494027"/>
    <w:rsid w:val="004945DB"/>
    <w:rsid w:val="0049491D"/>
    <w:rsid w:val="0049568A"/>
    <w:rsid w:val="00495738"/>
    <w:rsid w:val="00495F46"/>
    <w:rsid w:val="004963CE"/>
    <w:rsid w:val="0049661F"/>
    <w:rsid w:val="004A060B"/>
    <w:rsid w:val="004A16F2"/>
    <w:rsid w:val="004A1AC5"/>
    <w:rsid w:val="004A1F54"/>
    <w:rsid w:val="004A2846"/>
    <w:rsid w:val="004A3BC2"/>
    <w:rsid w:val="004A4498"/>
    <w:rsid w:val="004A5439"/>
    <w:rsid w:val="004A6F66"/>
    <w:rsid w:val="004A7137"/>
    <w:rsid w:val="004A79F7"/>
    <w:rsid w:val="004B09D2"/>
    <w:rsid w:val="004B0D64"/>
    <w:rsid w:val="004B10F0"/>
    <w:rsid w:val="004B110E"/>
    <w:rsid w:val="004B1A71"/>
    <w:rsid w:val="004B2131"/>
    <w:rsid w:val="004B2922"/>
    <w:rsid w:val="004B2D53"/>
    <w:rsid w:val="004B3F69"/>
    <w:rsid w:val="004B4914"/>
    <w:rsid w:val="004B5ED1"/>
    <w:rsid w:val="004B62F0"/>
    <w:rsid w:val="004B6A7C"/>
    <w:rsid w:val="004B6A84"/>
    <w:rsid w:val="004B73AF"/>
    <w:rsid w:val="004C0206"/>
    <w:rsid w:val="004C0A01"/>
    <w:rsid w:val="004C0D05"/>
    <w:rsid w:val="004C0F84"/>
    <w:rsid w:val="004C1370"/>
    <w:rsid w:val="004C1D2A"/>
    <w:rsid w:val="004C1F01"/>
    <w:rsid w:val="004C22E8"/>
    <w:rsid w:val="004C452A"/>
    <w:rsid w:val="004C568E"/>
    <w:rsid w:val="004C6E68"/>
    <w:rsid w:val="004C700B"/>
    <w:rsid w:val="004C7DBC"/>
    <w:rsid w:val="004D01B1"/>
    <w:rsid w:val="004D0A69"/>
    <w:rsid w:val="004D0B76"/>
    <w:rsid w:val="004D14E6"/>
    <w:rsid w:val="004D1A53"/>
    <w:rsid w:val="004D2C3E"/>
    <w:rsid w:val="004D3087"/>
    <w:rsid w:val="004D346A"/>
    <w:rsid w:val="004D393F"/>
    <w:rsid w:val="004D3A65"/>
    <w:rsid w:val="004D43D7"/>
    <w:rsid w:val="004D4CDF"/>
    <w:rsid w:val="004D5A73"/>
    <w:rsid w:val="004D5FF6"/>
    <w:rsid w:val="004D76AC"/>
    <w:rsid w:val="004E0299"/>
    <w:rsid w:val="004E041E"/>
    <w:rsid w:val="004E10BA"/>
    <w:rsid w:val="004E1383"/>
    <w:rsid w:val="004E13EA"/>
    <w:rsid w:val="004E1483"/>
    <w:rsid w:val="004E17B9"/>
    <w:rsid w:val="004E1D80"/>
    <w:rsid w:val="004E1DE8"/>
    <w:rsid w:val="004E258E"/>
    <w:rsid w:val="004E30EA"/>
    <w:rsid w:val="004E3513"/>
    <w:rsid w:val="004E389B"/>
    <w:rsid w:val="004E47F9"/>
    <w:rsid w:val="004E4831"/>
    <w:rsid w:val="004E4B15"/>
    <w:rsid w:val="004E508A"/>
    <w:rsid w:val="004E56E7"/>
    <w:rsid w:val="004E5B31"/>
    <w:rsid w:val="004E6163"/>
    <w:rsid w:val="004E6352"/>
    <w:rsid w:val="004E66AF"/>
    <w:rsid w:val="004E75DC"/>
    <w:rsid w:val="004E79AA"/>
    <w:rsid w:val="004F0588"/>
    <w:rsid w:val="004F0C59"/>
    <w:rsid w:val="004F1401"/>
    <w:rsid w:val="004F17BE"/>
    <w:rsid w:val="004F1AF6"/>
    <w:rsid w:val="004F1BE7"/>
    <w:rsid w:val="004F1C1A"/>
    <w:rsid w:val="004F1C8E"/>
    <w:rsid w:val="004F1D31"/>
    <w:rsid w:val="004F2B7C"/>
    <w:rsid w:val="004F2CA2"/>
    <w:rsid w:val="004F30FD"/>
    <w:rsid w:val="004F3E62"/>
    <w:rsid w:val="004F449D"/>
    <w:rsid w:val="004F5164"/>
    <w:rsid w:val="004F531F"/>
    <w:rsid w:val="004F5320"/>
    <w:rsid w:val="004F6728"/>
    <w:rsid w:val="004F6933"/>
    <w:rsid w:val="004F6ABF"/>
    <w:rsid w:val="004F6AE5"/>
    <w:rsid w:val="004F6BBA"/>
    <w:rsid w:val="004F73C3"/>
    <w:rsid w:val="004F7574"/>
    <w:rsid w:val="004F7BC8"/>
    <w:rsid w:val="00500716"/>
    <w:rsid w:val="00501BF9"/>
    <w:rsid w:val="00501CCE"/>
    <w:rsid w:val="00502223"/>
    <w:rsid w:val="005030AE"/>
    <w:rsid w:val="0050416D"/>
    <w:rsid w:val="005047D0"/>
    <w:rsid w:val="00504D5C"/>
    <w:rsid w:val="005065A8"/>
    <w:rsid w:val="005100FD"/>
    <w:rsid w:val="00510CA9"/>
    <w:rsid w:val="00510F3F"/>
    <w:rsid w:val="00511556"/>
    <w:rsid w:val="00511F71"/>
    <w:rsid w:val="0051290E"/>
    <w:rsid w:val="00512CA4"/>
    <w:rsid w:val="00513112"/>
    <w:rsid w:val="00513298"/>
    <w:rsid w:val="005133E7"/>
    <w:rsid w:val="005138A7"/>
    <w:rsid w:val="00513997"/>
    <w:rsid w:val="005140B3"/>
    <w:rsid w:val="005142FB"/>
    <w:rsid w:val="005143F4"/>
    <w:rsid w:val="005147E1"/>
    <w:rsid w:val="0051537F"/>
    <w:rsid w:val="005154D7"/>
    <w:rsid w:val="0051637A"/>
    <w:rsid w:val="00517529"/>
    <w:rsid w:val="00517BF9"/>
    <w:rsid w:val="00517D5F"/>
    <w:rsid w:val="00517F7B"/>
    <w:rsid w:val="00520C57"/>
    <w:rsid w:val="0052119C"/>
    <w:rsid w:val="0052156A"/>
    <w:rsid w:val="005217DD"/>
    <w:rsid w:val="005224AE"/>
    <w:rsid w:val="00522C5D"/>
    <w:rsid w:val="00524DA3"/>
    <w:rsid w:val="00525950"/>
    <w:rsid w:val="005259BB"/>
    <w:rsid w:val="00527471"/>
    <w:rsid w:val="00527A4A"/>
    <w:rsid w:val="00527ACF"/>
    <w:rsid w:val="00527E66"/>
    <w:rsid w:val="00530607"/>
    <w:rsid w:val="005319AE"/>
    <w:rsid w:val="005319B9"/>
    <w:rsid w:val="0053205D"/>
    <w:rsid w:val="005329B8"/>
    <w:rsid w:val="005334EC"/>
    <w:rsid w:val="005337B1"/>
    <w:rsid w:val="005342C1"/>
    <w:rsid w:val="00534333"/>
    <w:rsid w:val="005345BF"/>
    <w:rsid w:val="0053733A"/>
    <w:rsid w:val="00540C1D"/>
    <w:rsid w:val="00540E0F"/>
    <w:rsid w:val="005410E4"/>
    <w:rsid w:val="00541CAB"/>
    <w:rsid w:val="00541E4D"/>
    <w:rsid w:val="0054248B"/>
    <w:rsid w:val="005429B1"/>
    <w:rsid w:val="00542EE3"/>
    <w:rsid w:val="00543079"/>
    <w:rsid w:val="0054355E"/>
    <w:rsid w:val="00543713"/>
    <w:rsid w:val="00543822"/>
    <w:rsid w:val="0054409C"/>
    <w:rsid w:val="00544126"/>
    <w:rsid w:val="00544376"/>
    <w:rsid w:val="0054502C"/>
    <w:rsid w:val="0054550E"/>
    <w:rsid w:val="00545BAB"/>
    <w:rsid w:val="00545D81"/>
    <w:rsid w:val="005470F9"/>
    <w:rsid w:val="0054768E"/>
    <w:rsid w:val="00547C5C"/>
    <w:rsid w:val="00547E6A"/>
    <w:rsid w:val="00550567"/>
    <w:rsid w:val="00550A56"/>
    <w:rsid w:val="00550BC9"/>
    <w:rsid w:val="00551AEB"/>
    <w:rsid w:val="00551DD5"/>
    <w:rsid w:val="00552526"/>
    <w:rsid w:val="0055284F"/>
    <w:rsid w:val="00552BC0"/>
    <w:rsid w:val="0055315E"/>
    <w:rsid w:val="00553D93"/>
    <w:rsid w:val="00554283"/>
    <w:rsid w:val="00554306"/>
    <w:rsid w:val="00554411"/>
    <w:rsid w:val="005544E8"/>
    <w:rsid w:val="00554B9C"/>
    <w:rsid w:val="0055507C"/>
    <w:rsid w:val="00555CE9"/>
    <w:rsid w:val="005564A9"/>
    <w:rsid w:val="00556740"/>
    <w:rsid w:val="00556C8A"/>
    <w:rsid w:val="00556D21"/>
    <w:rsid w:val="00556F31"/>
    <w:rsid w:val="00556FD1"/>
    <w:rsid w:val="0055777E"/>
    <w:rsid w:val="00561858"/>
    <w:rsid w:val="0056190C"/>
    <w:rsid w:val="00561ABF"/>
    <w:rsid w:val="00561B38"/>
    <w:rsid w:val="00561FE1"/>
    <w:rsid w:val="00562015"/>
    <w:rsid w:val="00562AEA"/>
    <w:rsid w:val="005639FF"/>
    <w:rsid w:val="00564A02"/>
    <w:rsid w:val="00565192"/>
    <w:rsid w:val="00565246"/>
    <w:rsid w:val="00565367"/>
    <w:rsid w:val="00565FFA"/>
    <w:rsid w:val="00566601"/>
    <w:rsid w:val="00566DBF"/>
    <w:rsid w:val="00566EFA"/>
    <w:rsid w:val="00567335"/>
    <w:rsid w:val="00567764"/>
    <w:rsid w:val="00567B96"/>
    <w:rsid w:val="00567BC0"/>
    <w:rsid w:val="00570296"/>
    <w:rsid w:val="00570B3B"/>
    <w:rsid w:val="0057252E"/>
    <w:rsid w:val="00572881"/>
    <w:rsid w:val="00572DDF"/>
    <w:rsid w:val="005734AA"/>
    <w:rsid w:val="00575901"/>
    <w:rsid w:val="00575ABA"/>
    <w:rsid w:val="00575C6B"/>
    <w:rsid w:val="00575FE9"/>
    <w:rsid w:val="00576002"/>
    <w:rsid w:val="0057611E"/>
    <w:rsid w:val="005763BE"/>
    <w:rsid w:val="00576669"/>
    <w:rsid w:val="005768DD"/>
    <w:rsid w:val="005768F3"/>
    <w:rsid w:val="00577205"/>
    <w:rsid w:val="005772A6"/>
    <w:rsid w:val="00577D9C"/>
    <w:rsid w:val="00580B55"/>
    <w:rsid w:val="00580C5F"/>
    <w:rsid w:val="00581026"/>
    <w:rsid w:val="00581160"/>
    <w:rsid w:val="00581531"/>
    <w:rsid w:val="00582FC0"/>
    <w:rsid w:val="0058306F"/>
    <w:rsid w:val="005849BA"/>
    <w:rsid w:val="00585804"/>
    <w:rsid w:val="00585AD5"/>
    <w:rsid w:val="005871E6"/>
    <w:rsid w:val="005901B0"/>
    <w:rsid w:val="00590408"/>
    <w:rsid w:val="00590799"/>
    <w:rsid w:val="00590D14"/>
    <w:rsid w:val="0059199B"/>
    <w:rsid w:val="00591CC0"/>
    <w:rsid w:val="00592309"/>
    <w:rsid w:val="00592397"/>
    <w:rsid w:val="00593720"/>
    <w:rsid w:val="00593A31"/>
    <w:rsid w:val="00595335"/>
    <w:rsid w:val="00595D0C"/>
    <w:rsid w:val="0059768A"/>
    <w:rsid w:val="00597E7D"/>
    <w:rsid w:val="005A033D"/>
    <w:rsid w:val="005A049D"/>
    <w:rsid w:val="005A0660"/>
    <w:rsid w:val="005A1F21"/>
    <w:rsid w:val="005A33E3"/>
    <w:rsid w:val="005A3749"/>
    <w:rsid w:val="005A3836"/>
    <w:rsid w:val="005A440A"/>
    <w:rsid w:val="005A46A7"/>
    <w:rsid w:val="005A4831"/>
    <w:rsid w:val="005A555C"/>
    <w:rsid w:val="005A573A"/>
    <w:rsid w:val="005A64BC"/>
    <w:rsid w:val="005A670A"/>
    <w:rsid w:val="005A6822"/>
    <w:rsid w:val="005A6F1E"/>
    <w:rsid w:val="005A705A"/>
    <w:rsid w:val="005A7D69"/>
    <w:rsid w:val="005B0177"/>
    <w:rsid w:val="005B08EA"/>
    <w:rsid w:val="005B092A"/>
    <w:rsid w:val="005B099E"/>
    <w:rsid w:val="005B0AAA"/>
    <w:rsid w:val="005B1E77"/>
    <w:rsid w:val="005B2483"/>
    <w:rsid w:val="005B3503"/>
    <w:rsid w:val="005B353B"/>
    <w:rsid w:val="005B3578"/>
    <w:rsid w:val="005B53A8"/>
    <w:rsid w:val="005B57EB"/>
    <w:rsid w:val="005B64CE"/>
    <w:rsid w:val="005B6646"/>
    <w:rsid w:val="005B6DBB"/>
    <w:rsid w:val="005B6EF0"/>
    <w:rsid w:val="005B706F"/>
    <w:rsid w:val="005B748F"/>
    <w:rsid w:val="005B7A42"/>
    <w:rsid w:val="005B7B3E"/>
    <w:rsid w:val="005B7EBC"/>
    <w:rsid w:val="005C0198"/>
    <w:rsid w:val="005C0CA3"/>
    <w:rsid w:val="005C25FA"/>
    <w:rsid w:val="005C2663"/>
    <w:rsid w:val="005C277B"/>
    <w:rsid w:val="005C4009"/>
    <w:rsid w:val="005C49F0"/>
    <w:rsid w:val="005C51D2"/>
    <w:rsid w:val="005C51DA"/>
    <w:rsid w:val="005C57A0"/>
    <w:rsid w:val="005C5B2C"/>
    <w:rsid w:val="005C5D85"/>
    <w:rsid w:val="005C6423"/>
    <w:rsid w:val="005C6A76"/>
    <w:rsid w:val="005C6FC8"/>
    <w:rsid w:val="005C763C"/>
    <w:rsid w:val="005C7704"/>
    <w:rsid w:val="005C78CD"/>
    <w:rsid w:val="005C7AC3"/>
    <w:rsid w:val="005D044D"/>
    <w:rsid w:val="005D0702"/>
    <w:rsid w:val="005D0FD6"/>
    <w:rsid w:val="005D154E"/>
    <w:rsid w:val="005D17C4"/>
    <w:rsid w:val="005D1D80"/>
    <w:rsid w:val="005D291F"/>
    <w:rsid w:val="005D2D9D"/>
    <w:rsid w:val="005D34C3"/>
    <w:rsid w:val="005D35D9"/>
    <w:rsid w:val="005D3A01"/>
    <w:rsid w:val="005D5930"/>
    <w:rsid w:val="005D59AF"/>
    <w:rsid w:val="005D7C7F"/>
    <w:rsid w:val="005D7F79"/>
    <w:rsid w:val="005E0021"/>
    <w:rsid w:val="005E0AE3"/>
    <w:rsid w:val="005E1FE7"/>
    <w:rsid w:val="005E2A43"/>
    <w:rsid w:val="005E2D7E"/>
    <w:rsid w:val="005E366F"/>
    <w:rsid w:val="005E3769"/>
    <w:rsid w:val="005E454F"/>
    <w:rsid w:val="005E47A1"/>
    <w:rsid w:val="005E4AEA"/>
    <w:rsid w:val="005E5236"/>
    <w:rsid w:val="005E5FF3"/>
    <w:rsid w:val="005E6DEA"/>
    <w:rsid w:val="005E71D6"/>
    <w:rsid w:val="005E7E28"/>
    <w:rsid w:val="005F0676"/>
    <w:rsid w:val="005F06BF"/>
    <w:rsid w:val="005F08D6"/>
    <w:rsid w:val="005F1019"/>
    <w:rsid w:val="005F16D7"/>
    <w:rsid w:val="005F1FC6"/>
    <w:rsid w:val="005F217C"/>
    <w:rsid w:val="005F21AC"/>
    <w:rsid w:val="005F2757"/>
    <w:rsid w:val="005F3F31"/>
    <w:rsid w:val="005F4482"/>
    <w:rsid w:val="005F44E7"/>
    <w:rsid w:val="005F4A89"/>
    <w:rsid w:val="005F523A"/>
    <w:rsid w:val="005F5559"/>
    <w:rsid w:val="005F5CDD"/>
    <w:rsid w:val="005F5DD5"/>
    <w:rsid w:val="005F5DE0"/>
    <w:rsid w:val="005F62CB"/>
    <w:rsid w:val="005F6F5F"/>
    <w:rsid w:val="005F700F"/>
    <w:rsid w:val="005F7333"/>
    <w:rsid w:val="005F78E4"/>
    <w:rsid w:val="00600DF7"/>
    <w:rsid w:val="00601386"/>
    <w:rsid w:val="00601F31"/>
    <w:rsid w:val="006028EE"/>
    <w:rsid w:val="006036DD"/>
    <w:rsid w:val="0060372A"/>
    <w:rsid w:val="00603FB3"/>
    <w:rsid w:val="0060480C"/>
    <w:rsid w:val="00604857"/>
    <w:rsid w:val="00604F37"/>
    <w:rsid w:val="006057F7"/>
    <w:rsid w:val="00605B5E"/>
    <w:rsid w:val="00605C1D"/>
    <w:rsid w:val="006069F3"/>
    <w:rsid w:val="006079A2"/>
    <w:rsid w:val="006107F1"/>
    <w:rsid w:val="00610E4D"/>
    <w:rsid w:val="006111AE"/>
    <w:rsid w:val="00611444"/>
    <w:rsid w:val="00611752"/>
    <w:rsid w:val="0061197A"/>
    <w:rsid w:val="00611DAA"/>
    <w:rsid w:val="00611E87"/>
    <w:rsid w:val="00612353"/>
    <w:rsid w:val="0061293E"/>
    <w:rsid w:val="00612AB9"/>
    <w:rsid w:val="00612F8F"/>
    <w:rsid w:val="00613235"/>
    <w:rsid w:val="00613995"/>
    <w:rsid w:val="00613CA9"/>
    <w:rsid w:val="00614372"/>
    <w:rsid w:val="006144B0"/>
    <w:rsid w:val="006149CE"/>
    <w:rsid w:val="00614AC3"/>
    <w:rsid w:val="0061596D"/>
    <w:rsid w:val="0061629B"/>
    <w:rsid w:val="00616FDC"/>
    <w:rsid w:val="0061730B"/>
    <w:rsid w:val="0061766E"/>
    <w:rsid w:val="0062000C"/>
    <w:rsid w:val="006212D8"/>
    <w:rsid w:val="00621965"/>
    <w:rsid w:val="00621C4F"/>
    <w:rsid w:val="00622886"/>
    <w:rsid w:val="00622A0C"/>
    <w:rsid w:val="006232B3"/>
    <w:rsid w:val="0062333E"/>
    <w:rsid w:val="006237CC"/>
    <w:rsid w:val="00623F98"/>
    <w:rsid w:val="00624B7F"/>
    <w:rsid w:val="006251FE"/>
    <w:rsid w:val="00626980"/>
    <w:rsid w:val="006272A6"/>
    <w:rsid w:val="00627AEF"/>
    <w:rsid w:val="00627D38"/>
    <w:rsid w:val="00630B1B"/>
    <w:rsid w:val="00631265"/>
    <w:rsid w:val="0063175D"/>
    <w:rsid w:val="0063177C"/>
    <w:rsid w:val="00631B18"/>
    <w:rsid w:val="0063307C"/>
    <w:rsid w:val="006334AB"/>
    <w:rsid w:val="0063379F"/>
    <w:rsid w:val="00633FB3"/>
    <w:rsid w:val="006348D9"/>
    <w:rsid w:val="00635770"/>
    <w:rsid w:val="00635912"/>
    <w:rsid w:val="00636401"/>
    <w:rsid w:val="00636AC2"/>
    <w:rsid w:val="00636B40"/>
    <w:rsid w:val="0063774D"/>
    <w:rsid w:val="00637B0A"/>
    <w:rsid w:val="00637E0A"/>
    <w:rsid w:val="00637EEE"/>
    <w:rsid w:val="0064002B"/>
    <w:rsid w:val="00640036"/>
    <w:rsid w:val="006403B7"/>
    <w:rsid w:val="0064051D"/>
    <w:rsid w:val="006406FE"/>
    <w:rsid w:val="00640992"/>
    <w:rsid w:val="00640D37"/>
    <w:rsid w:val="00641065"/>
    <w:rsid w:val="00641CEB"/>
    <w:rsid w:val="00641F21"/>
    <w:rsid w:val="00641FC0"/>
    <w:rsid w:val="00642241"/>
    <w:rsid w:val="006422BE"/>
    <w:rsid w:val="006426E6"/>
    <w:rsid w:val="00642922"/>
    <w:rsid w:val="00642DDB"/>
    <w:rsid w:val="00643340"/>
    <w:rsid w:val="00643415"/>
    <w:rsid w:val="00643760"/>
    <w:rsid w:val="006442E3"/>
    <w:rsid w:val="00644C3B"/>
    <w:rsid w:val="00644DB2"/>
    <w:rsid w:val="00644F6E"/>
    <w:rsid w:val="00645375"/>
    <w:rsid w:val="00645A70"/>
    <w:rsid w:val="00645D37"/>
    <w:rsid w:val="00646804"/>
    <w:rsid w:val="00646920"/>
    <w:rsid w:val="00646B27"/>
    <w:rsid w:val="00646E17"/>
    <w:rsid w:val="00650FE2"/>
    <w:rsid w:val="00651C27"/>
    <w:rsid w:val="00651C7F"/>
    <w:rsid w:val="00651E35"/>
    <w:rsid w:val="0065351E"/>
    <w:rsid w:val="00653A76"/>
    <w:rsid w:val="00653B89"/>
    <w:rsid w:val="00653E15"/>
    <w:rsid w:val="00653EF5"/>
    <w:rsid w:val="00654F50"/>
    <w:rsid w:val="006555DC"/>
    <w:rsid w:val="00655A26"/>
    <w:rsid w:val="00655C9E"/>
    <w:rsid w:val="00656329"/>
    <w:rsid w:val="0065640C"/>
    <w:rsid w:val="006564B8"/>
    <w:rsid w:val="00656547"/>
    <w:rsid w:val="00657CD8"/>
    <w:rsid w:val="00657D2E"/>
    <w:rsid w:val="00660668"/>
    <w:rsid w:val="00661085"/>
    <w:rsid w:val="00662202"/>
    <w:rsid w:val="00662CA3"/>
    <w:rsid w:val="00662F60"/>
    <w:rsid w:val="00663089"/>
    <w:rsid w:val="006630AA"/>
    <w:rsid w:val="0066332D"/>
    <w:rsid w:val="00663E8F"/>
    <w:rsid w:val="00664779"/>
    <w:rsid w:val="0066484C"/>
    <w:rsid w:val="0066489F"/>
    <w:rsid w:val="006654CA"/>
    <w:rsid w:val="00665A37"/>
    <w:rsid w:val="0066620F"/>
    <w:rsid w:val="006662B3"/>
    <w:rsid w:val="006662F0"/>
    <w:rsid w:val="0066646F"/>
    <w:rsid w:val="00666569"/>
    <w:rsid w:val="006670D0"/>
    <w:rsid w:val="00667DE5"/>
    <w:rsid w:val="00670C1C"/>
    <w:rsid w:val="00670DFA"/>
    <w:rsid w:val="006720AA"/>
    <w:rsid w:val="00672305"/>
    <w:rsid w:val="00672DFE"/>
    <w:rsid w:val="00673490"/>
    <w:rsid w:val="00673532"/>
    <w:rsid w:val="0067374C"/>
    <w:rsid w:val="00674E20"/>
    <w:rsid w:val="0067608F"/>
    <w:rsid w:val="00676996"/>
    <w:rsid w:val="0067745E"/>
    <w:rsid w:val="0067777F"/>
    <w:rsid w:val="00677AC6"/>
    <w:rsid w:val="00677F8E"/>
    <w:rsid w:val="00681045"/>
    <w:rsid w:val="00681358"/>
    <w:rsid w:val="00681B69"/>
    <w:rsid w:val="00681DED"/>
    <w:rsid w:val="006821CF"/>
    <w:rsid w:val="00682E64"/>
    <w:rsid w:val="006834F5"/>
    <w:rsid w:val="00683B60"/>
    <w:rsid w:val="00683F95"/>
    <w:rsid w:val="006843E4"/>
    <w:rsid w:val="006849DB"/>
    <w:rsid w:val="0068592E"/>
    <w:rsid w:val="006859FC"/>
    <w:rsid w:val="00685B92"/>
    <w:rsid w:val="00685C38"/>
    <w:rsid w:val="00686158"/>
    <w:rsid w:val="00686193"/>
    <w:rsid w:val="006865FF"/>
    <w:rsid w:val="0068672B"/>
    <w:rsid w:val="00686731"/>
    <w:rsid w:val="00686A3C"/>
    <w:rsid w:val="00687FAD"/>
    <w:rsid w:val="00690139"/>
    <w:rsid w:val="00691698"/>
    <w:rsid w:val="00691B9D"/>
    <w:rsid w:val="006921CD"/>
    <w:rsid w:val="0069273E"/>
    <w:rsid w:val="0069298D"/>
    <w:rsid w:val="00692E2B"/>
    <w:rsid w:val="006936D7"/>
    <w:rsid w:val="0069398A"/>
    <w:rsid w:val="00693CB8"/>
    <w:rsid w:val="0069447A"/>
    <w:rsid w:val="006960B4"/>
    <w:rsid w:val="0069644B"/>
    <w:rsid w:val="00696B36"/>
    <w:rsid w:val="00696D7C"/>
    <w:rsid w:val="00697324"/>
    <w:rsid w:val="00697AF8"/>
    <w:rsid w:val="00697E01"/>
    <w:rsid w:val="006A013C"/>
    <w:rsid w:val="006A0312"/>
    <w:rsid w:val="006A0D83"/>
    <w:rsid w:val="006A145B"/>
    <w:rsid w:val="006A17F0"/>
    <w:rsid w:val="006A19AE"/>
    <w:rsid w:val="006A19DE"/>
    <w:rsid w:val="006A222A"/>
    <w:rsid w:val="006A2F8D"/>
    <w:rsid w:val="006A3C7F"/>
    <w:rsid w:val="006A413F"/>
    <w:rsid w:val="006A52DE"/>
    <w:rsid w:val="006A7430"/>
    <w:rsid w:val="006A7AE9"/>
    <w:rsid w:val="006A7B8F"/>
    <w:rsid w:val="006A7E57"/>
    <w:rsid w:val="006A7E66"/>
    <w:rsid w:val="006B005D"/>
    <w:rsid w:val="006B0415"/>
    <w:rsid w:val="006B1FC0"/>
    <w:rsid w:val="006B2A6F"/>
    <w:rsid w:val="006B2AA4"/>
    <w:rsid w:val="006B2B07"/>
    <w:rsid w:val="006B2C85"/>
    <w:rsid w:val="006B2D52"/>
    <w:rsid w:val="006B3BE5"/>
    <w:rsid w:val="006B3CE1"/>
    <w:rsid w:val="006B46DA"/>
    <w:rsid w:val="006B49A6"/>
    <w:rsid w:val="006B6B16"/>
    <w:rsid w:val="006B7112"/>
    <w:rsid w:val="006B79C2"/>
    <w:rsid w:val="006B7A79"/>
    <w:rsid w:val="006C00AD"/>
    <w:rsid w:val="006C0148"/>
    <w:rsid w:val="006C09EE"/>
    <w:rsid w:val="006C2613"/>
    <w:rsid w:val="006C2645"/>
    <w:rsid w:val="006C2813"/>
    <w:rsid w:val="006C46BB"/>
    <w:rsid w:val="006C48E7"/>
    <w:rsid w:val="006C508A"/>
    <w:rsid w:val="006C5451"/>
    <w:rsid w:val="006C5B8F"/>
    <w:rsid w:val="006C5C33"/>
    <w:rsid w:val="006C5F22"/>
    <w:rsid w:val="006C6C59"/>
    <w:rsid w:val="006C6ED1"/>
    <w:rsid w:val="006C700A"/>
    <w:rsid w:val="006D1190"/>
    <w:rsid w:val="006D1484"/>
    <w:rsid w:val="006D17E8"/>
    <w:rsid w:val="006D27B8"/>
    <w:rsid w:val="006D2859"/>
    <w:rsid w:val="006D2D64"/>
    <w:rsid w:val="006D3269"/>
    <w:rsid w:val="006D463C"/>
    <w:rsid w:val="006D4656"/>
    <w:rsid w:val="006D5506"/>
    <w:rsid w:val="006D5A3F"/>
    <w:rsid w:val="006D5C12"/>
    <w:rsid w:val="006D637B"/>
    <w:rsid w:val="006D646A"/>
    <w:rsid w:val="006D6E29"/>
    <w:rsid w:val="006D75D0"/>
    <w:rsid w:val="006D77F6"/>
    <w:rsid w:val="006D7D90"/>
    <w:rsid w:val="006D7F2B"/>
    <w:rsid w:val="006E045F"/>
    <w:rsid w:val="006E08A6"/>
    <w:rsid w:val="006E0FFD"/>
    <w:rsid w:val="006E1B2B"/>
    <w:rsid w:val="006E1DCE"/>
    <w:rsid w:val="006E1E87"/>
    <w:rsid w:val="006E1F7F"/>
    <w:rsid w:val="006E2112"/>
    <w:rsid w:val="006E2C7C"/>
    <w:rsid w:val="006E31D5"/>
    <w:rsid w:val="006E32C2"/>
    <w:rsid w:val="006E3E51"/>
    <w:rsid w:val="006E4C16"/>
    <w:rsid w:val="006E5919"/>
    <w:rsid w:val="006E68E7"/>
    <w:rsid w:val="006E6B94"/>
    <w:rsid w:val="006E6EAD"/>
    <w:rsid w:val="006E6F24"/>
    <w:rsid w:val="006E76FD"/>
    <w:rsid w:val="006F185F"/>
    <w:rsid w:val="006F1A38"/>
    <w:rsid w:val="006F1B0E"/>
    <w:rsid w:val="006F1BDF"/>
    <w:rsid w:val="006F2C26"/>
    <w:rsid w:val="006F33B7"/>
    <w:rsid w:val="006F36B8"/>
    <w:rsid w:val="006F37BC"/>
    <w:rsid w:val="006F46EB"/>
    <w:rsid w:val="006F4A5D"/>
    <w:rsid w:val="006F56E1"/>
    <w:rsid w:val="006F5D0D"/>
    <w:rsid w:val="006F66E7"/>
    <w:rsid w:val="006F68A3"/>
    <w:rsid w:val="006F6AC4"/>
    <w:rsid w:val="006F6D57"/>
    <w:rsid w:val="006F7926"/>
    <w:rsid w:val="006F7D33"/>
    <w:rsid w:val="00700126"/>
    <w:rsid w:val="007004D1"/>
    <w:rsid w:val="00700BC4"/>
    <w:rsid w:val="00701190"/>
    <w:rsid w:val="007017CD"/>
    <w:rsid w:val="00701B40"/>
    <w:rsid w:val="00701DC1"/>
    <w:rsid w:val="00701DE0"/>
    <w:rsid w:val="007037C8"/>
    <w:rsid w:val="00703EF6"/>
    <w:rsid w:val="00704A12"/>
    <w:rsid w:val="00705B74"/>
    <w:rsid w:val="0070627B"/>
    <w:rsid w:val="007071C5"/>
    <w:rsid w:val="00707261"/>
    <w:rsid w:val="00707EC6"/>
    <w:rsid w:val="007104FE"/>
    <w:rsid w:val="007109A5"/>
    <w:rsid w:val="00711627"/>
    <w:rsid w:val="00712629"/>
    <w:rsid w:val="00712CC1"/>
    <w:rsid w:val="00713162"/>
    <w:rsid w:val="00713725"/>
    <w:rsid w:val="00713A50"/>
    <w:rsid w:val="00713E2E"/>
    <w:rsid w:val="00714713"/>
    <w:rsid w:val="00714F31"/>
    <w:rsid w:val="007163C9"/>
    <w:rsid w:val="00716CFA"/>
    <w:rsid w:val="007174EA"/>
    <w:rsid w:val="00720206"/>
    <w:rsid w:val="00720356"/>
    <w:rsid w:val="00720FBF"/>
    <w:rsid w:val="0072180E"/>
    <w:rsid w:val="00721841"/>
    <w:rsid w:val="00722289"/>
    <w:rsid w:val="00722577"/>
    <w:rsid w:val="0072275A"/>
    <w:rsid w:val="00722A2A"/>
    <w:rsid w:val="00722D6C"/>
    <w:rsid w:val="007231A3"/>
    <w:rsid w:val="0072357F"/>
    <w:rsid w:val="0072399C"/>
    <w:rsid w:val="00723CC8"/>
    <w:rsid w:val="00723D58"/>
    <w:rsid w:val="00723FFB"/>
    <w:rsid w:val="00724397"/>
    <w:rsid w:val="007244F5"/>
    <w:rsid w:val="00724647"/>
    <w:rsid w:val="007248F0"/>
    <w:rsid w:val="00725FC7"/>
    <w:rsid w:val="0072628A"/>
    <w:rsid w:val="007264B1"/>
    <w:rsid w:val="007265E3"/>
    <w:rsid w:val="007269CF"/>
    <w:rsid w:val="00726C1E"/>
    <w:rsid w:val="00727C50"/>
    <w:rsid w:val="007309FC"/>
    <w:rsid w:val="007329BE"/>
    <w:rsid w:val="00733844"/>
    <w:rsid w:val="007341D7"/>
    <w:rsid w:val="0073449A"/>
    <w:rsid w:val="00734754"/>
    <w:rsid w:val="007349A7"/>
    <w:rsid w:val="00734D4C"/>
    <w:rsid w:val="0073562B"/>
    <w:rsid w:val="0073620C"/>
    <w:rsid w:val="00736322"/>
    <w:rsid w:val="007370B5"/>
    <w:rsid w:val="0073714D"/>
    <w:rsid w:val="0073729C"/>
    <w:rsid w:val="00737BAA"/>
    <w:rsid w:val="00740512"/>
    <w:rsid w:val="007405DE"/>
    <w:rsid w:val="00740824"/>
    <w:rsid w:val="00740947"/>
    <w:rsid w:val="00740AD0"/>
    <w:rsid w:val="007412BF"/>
    <w:rsid w:val="00741C86"/>
    <w:rsid w:val="00741FDC"/>
    <w:rsid w:val="007420BC"/>
    <w:rsid w:val="00742211"/>
    <w:rsid w:val="00742837"/>
    <w:rsid w:val="00742AC5"/>
    <w:rsid w:val="007432D0"/>
    <w:rsid w:val="00743A9F"/>
    <w:rsid w:val="007443A2"/>
    <w:rsid w:val="00744A51"/>
    <w:rsid w:val="00745610"/>
    <w:rsid w:val="00745C0C"/>
    <w:rsid w:val="00746336"/>
    <w:rsid w:val="00746870"/>
    <w:rsid w:val="00746D10"/>
    <w:rsid w:val="00746E03"/>
    <w:rsid w:val="0074720F"/>
    <w:rsid w:val="007476DF"/>
    <w:rsid w:val="007477B4"/>
    <w:rsid w:val="007506F9"/>
    <w:rsid w:val="0075088F"/>
    <w:rsid w:val="00750F3C"/>
    <w:rsid w:val="00751015"/>
    <w:rsid w:val="00752630"/>
    <w:rsid w:val="007530FB"/>
    <w:rsid w:val="007531E9"/>
    <w:rsid w:val="00753769"/>
    <w:rsid w:val="00754292"/>
    <w:rsid w:val="007544F0"/>
    <w:rsid w:val="00754947"/>
    <w:rsid w:val="007549E6"/>
    <w:rsid w:val="00754BE2"/>
    <w:rsid w:val="00755B8C"/>
    <w:rsid w:val="00755CFC"/>
    <w:rsid w:val="00756113"/>
    <w:rsid w:val="0075623B"/>
    <w:rsid w:val="00756508"/>
    <w:rsid w:val="00756738"/>
    <w:rsid w:val="0075685D"/>
    <w:rsid w:val="0075704B"/>
    <w:rsid w:val="00757806"/>
    <w:rsid w:val="0075787F"/>
    <w:rsid w:val="0075789A"/>
    <w:rsid w:val="00757FFC"/>
    <w:rsid w:val="00760076"/>
    <w:rsid w:val="007611C4"/>
    <w:rsid w:val="00761403"/>
    <w:rsid w:val="007615CE"/>
    <w:rsid w:val="00761981"/>
    <w:rsid w:val="00761CCC"/>
    <w:rsid w:val="007620BA"/>
    <w:rsid w:val="0076227D"/>
    <w:rsid w:val="0076292F"/>
    <w:rsid w:val="00763359"/>
    <w:rsid w:val="00763465"/>
    <w:rsid w:val="0076355A"/>
    <w:rsid w:val="00763B60"/>
    <w:rsid w:val="00763E49"/>
    <w:rsid w:val="007640BF"/>
    <w:rsid w:val="00764BD3"/>
    <w:rsid w:val="00764D12"/>
    <w:rsid w:val="00765205"/>
    <w:rsid w:val="00765E41"/>
    <w:rsid w:val="00766958"/>
    <w:rsid w:val="007711D8"/>
    <w:rsid w:val="00771E74"/>
    <w:rsid w:val="007721E6"/>
    <w:rsid w:val="00773069"/>
    <w:rsid w:val="0077306F"/>
    <w:rsid w:val="00773D5D"/>
    <w:rsid w:val="00774019"/>
    <w:rsid w:val="0077474F"/>
    <w:rsid w:val="0077484B"/>
    <w:rsid w:val="00774D5C"/>
    <w:rsid w:val="00774DCE"/>
    <w:rsid w:val="0077530D"/>
    <w:rsid w:val="00775335"/>
    <w:rsid w:val="007754FC"/>
    <w:rsid w:val="00775D86"/>
    <w:rsid w:val="00776532"/>
    <w:rsid w:val="007766C6"/>
    <w:rsid w:val="00777056"/>
    <w:rsid w:val="00777217"/>
    <w:rsid w:val="00780554"/>
    <w:rsid w:val="007818B3"/>
    <w:rsid w:val="007820BF"/>
    <w:rsid w:val="00782743"/>
    <w:rsid w:val="007828B6"/>
    <w:rsid w:val="00782BD4"/>
    <w:rsid w:val="00782C55"/>
    <w:rsid w:val="00783949"/>
    <w:rsid w:val="00783B29"/>
    <w:rsid w:val="007848E8"/>
    <w:rsid w:val="00784E03"/>
    <w:rsid w:val="00787ED5"/>
    <w:rsid w:val="00790340"/>
    <w:rsid w:val="00790413"/>
    <w:rsid w:val="0079078A"/>
    <w:rsid w:val="00790A7E"/>
    <w:rsid w:val="00790DA4"/>
    <w:rsid w:val="00790EE3"/>
    <w:rsid w:val="00790FCB"/>
    <w:rsid w:val="007910E0"/>
    <w:rsid w:val="00791119"/>
    <w:rsid w:val="007917A9"/>
    <w:rsid w:val="0079205A"/>
    <w:rsid w:val="00792530"/>
    <w:rsid w:val="00792761"/>
    <w:rsid w:val="007932AF"/>
    <w:rsid w:val="00793911"/>
    <w:rsid w:val="007944DF"/>
    <w:rsid w:val="00795358"/>
    <w:rsid w:val="00795C76"/>
    <w:rsid w:val="00795DE4"/>
    <w:rsid w:val="00795EDF"/>
    <w:rsid w:val="007962ED"/>
    <w:rsid w:val="00796733"/>
    <w:rsid w:val="00796740"/>
    <w:rsid w:val="00796BB3"/>
    <w:rsid w:val="007979DF"/>
    <w:rsid w:val="00797A7A"/>
    <w:rsid w:val="007A0B64"/>
    <w:rsid w:val="007A15F2"/>
    <w:rsid w:val="007A1663"/>
    <w:rsid w:val="007A1F07"/>
    <w:rsid w:val="007A2B16"/>
    <w:rsid w:val="007A2CB4"/>
    <w:rsid w:val="007A2D57"/>
    <w:rsid w:val="007A3711"/>
    <w:rsid w:val="007A3CCF"/>
    <w:rsid w:val="007A4946"/>
    <w:rsid w:val="007A4EC2"/>
    <w:rsid w:val="007A51FF"/>
    <w:rsid w:val="007A532E"/>
    <w:rsid w:val="007A5A16"/>
    <w:rsid w:val="007A5BDB"/>
    <w:rsid w:val="007A5F0E"/>
    <w:rsid w:val="007A6D0C"/>
    <w:rsid w:val="007A7536"/>
    <w:rsid w:val="007B0B99"/>
    <w:rsid w:val="007B10F9"/>
    <w:rsid w:val="007B2369"/>
    <w:rsid w:val="007B2D55"/>
    <w:rsid w:val="007B2E76"/>
    <w:rsid w:val="007B3153"/>
    <w:rsid w:val="007B3C69"/>
    <w:rsid w:val="007B42BA"/>
    <w:rsid w:val="007B4E59"/>
    <w:rsid w:val="007B555A"/>
    <w:rsid w:val="007B5F1A"/>
    <w:rsid w:val="007B6337"/>
    <w:rsid w:val="007B667E"/>
    <w:rsid w:val="007B70AF"/>
    <w:rsid w:val="007C068B"/>
    <w:rsid w:val="007C0801"/>
    <w:rsid w:val="007C0C6E"/>
    <w:rsid w:val="007C0F0A"/>
    <w:rsid w:val="007C189B"/>
    <w:rsid w:val="007C23F3"/>
    <w:rsid w:val="007C260B"/>
    <w:rsid w:val="007C2D99"/>
    <w:rsid w:val="007C3760"/>
    <w:rsid w:val="007C3B39"/>
    <w:rsid w:val="007C479C"/>
    <w:rsid w:val="007C4846"/>
    <w:rsid w:val="007C4851"/>
    <w:rsid w:val="007C4CCE"/>
    <w:rsid w:val="007C51D0"/>
    <w:rsid w:val="007C5643"/>
    <w:rsid w:val="007C5A31"/>
    <w:rsid w:val="007C5D45"/>
    <w:rsid w:val="007C62A6"/>
    <w:rsid w:val="007C7B38"/>
    <w:rsid w:val="007D063C"/>
    <w:rsid w:val="007D06CD"/>
    <w:rsid w:val="007D0A67"/>
    <w:rsid w:val="007D1564"/>
    <w:rsid w:val="007D1761"/>
    <w:rsid w:val="007D2521"/>
    <w:rsid w:val="007D266E"/>
    <w:rsid w:val="007D26F4"/>
    <w:rsid w:val="007D2710"/>
    <w:rsid w:val="007D31D1"/>
    <w:rsid w:val="007D33AC"/>
    <w:rsid w:val="007D34D9"/>
    <w:rsid w:val="007D3540"/>
    <w:rsid w:val="007D3B16"/>
    <w:rsid w:val="007D421A"/>
    <w:rsid w:val="007D44A6"/>
    <w:rsid w:val="007D4B72"/>
    <w:rsid w:val="007D4B8A"/>
    <w:rsid w:val="007D553C"/>
    <w:rsid w:val="007D5641"/>
    <w:rsid w:val="007D564C"/>
    <w:rsid w:val="007D5C00"/>
    <w:rsid w:val="007D6890"/>
    <w:rsid w:val="007D7507"/>
    <w:rsid w:val="007D7845"/>
    <w:rsid w:val="007E006E"/>
    <w:rsid w:val="007E00B9"/>
    <w:rsid w:val="007E0464"/>
    <w:rsid w:val="007E166F"/>
    <w:rsid w:val="007E23A5"/>
    <w:rsid w:val="007E24EF"/>
    <w:rsid w:val="007E27E5"/>
    <w:rsid w:val="007E37CD"/>
    <w:rsid w:val="007E440C"/>
    <w:rsid w:val="007E5AA5"/>
    <w:rsid w:val="007E6AA8"/>
    <w:rsid w:val="007E7032"/>
    <w:rsid w:val="007E7EA1"/>
    <w:rsid w:val="007F0349"/>
    <w:rsid w:val="007F0EA4"/>
    <w:rsid w:val="007F0EAD"/>
    <w:rsid w:val="007F1580"/>
    <w:rsid w:val="007F19F3"/>
    <w:rsid w:val="007F1B04"/>
    <w:rsid w:val="007F2064"/>
    <w:rsid w:val="007F2B93"/>
    <w:rsid w:val="007F3A17"/>
    <w:rsid w:val="007F3D99"/>
    <w:rsid w:val="007F41F6"/>
    <w:rsid w:val="007F45CF"/>
    <w:rsid w:val="007F4EEE"/>
    <w:rsid w:val="007F53C2"/>
    <w:rsid w:val="007F6014"/>
    <w:rsid w:val="007F6186"/>
    <w:rsid w:val="007F6500"/>
    <w:rsid w:val="007F7D23"/>
    <w:rsid w:val="007F7FA6"/>
    <w:rsid w:val="00800C14"/>
    <w:rsid w:val="00800C43"/>
    <w:rsid w:val="008013CE"/>
    <w:rsid w:val="0080355A"/>
    <w:rsid w:val="008039BE"/>
    <w:rsid w:val="00804F33"/>
    <w:rsid w:val="008054C9"/>
    <w:rsid w:val="00805C96"/>
    <w:rsid w:val="008061EB"/>
    <w:rsid w:val="008064D7"/>
    <w:rsid w:val="008067A1"/>
    <w:rsid w:val="00806A56"/>
    <w:rsid w:val="0080731F"/>
    <w:rsid w:val="00807588"/>
    <w:rsid w:val="0080772E"/>
    <w:rsid w:val="00807B45"/>
    <w:rsid w:val="008101B1"/>
    <w:rsid w:val="008102DB"/>
    <w:rsid w:val="008107E7"/>
    <w:rsid w:val="00811538"/>
    <w:rsid w:val="00811C42"/>
    <w:rsid w:val="00811CCE"/>
    <w:rsid w:val="00811DA3"/>
    <w:rsid w:val="00811ED6"/>
    <w:rsid w:val="008126B1"/>
    <w:rsid w:val="00812749"/>
    <w:rsid w:val="00812D95"/>
    <w:rsid w:val="008131F7"/>
    <w:rsid w:val="00813AFB"/>
    <w:rsid w:val="00813BE8"/>
    <w:rsid w:val="00813C34"/>
    <w:rsid w:val="00813C8D"/>
    <w:rsid w:val="00813F97"/>
    <w:rsid w:val="00813FC6"/>
    <w:rsid w:val="00814D9C"/>
    <w:rsid w:val="00815102"/>
    <w:rsid w:val="008152A5"/>
    <w:rsid w:val="00816217"/>
    <w:rsid w:val="0081746A"/>
    <w:rsid w:val="00817FC7"/>
    <w:rsid w:val="008202E3"/>
    <w:rsid w:val="00820759"/>
    <w:rsid w:val="00820B72"/>
    <w:rsid w:val="00820D40"/>
    <w:rsid w:val="00820D6E"/>
    <w:rsid w:val="00820DCA"/>
    <w:rsid w:val="008218B3"/>
    <w:rsid w:val="0082234B"/>
    <w:rsid w:val="00822B1B"/>
    <w:rsid w:val="00822BC4"/>
    <w:rsid w:val="0082301B"/>
    <w:rsid w:val="00823198"/>
    <w:rsid w:val="008239C0"/>
    <w:rsid w:val="00824AC2"/>
    <w:rsid w:val="008256B4"/>
    <w:rsid w:val="0082613B"/>
    <w:rsid w:val="0082659C"/>
    <w:rsid w:val="00826D64"/>
    <w:rsid w:val="00827030"/>
    <w:rsid w:val="008270C8"/>
    <w:rsid w:val="00827BE7"/>
    <w:rsid w:val="00827C2A"/>
    <w:rsid w:val="00827C8C"/>
    <w:rsid w:val="008306A6"/>
    <w:rsid w:val="00830F22"/>
    <w:rsid w:val="0083193C"/>
    <w:rsid w:val="00831A77"/>
    <w:rsid w:val="00832840"/>
    <w:rsid w:val="00833564"/>
    <w:rsid w:val="008335EA"/>
    <w:rsid w:val="00833A13"/>
    <w:rsid w:val="00833F1B"/>
    <w:rsid w:val="0083430C"/>
    <w:rsid w:val="00834F0E"/>
    <w:rsid w:val="00834FF6"/>
    <w:rsid w:val="00835551"/>
    <w:rsid w:val="00835C87"/>
    <w:rsid w:val="00837821"/>
    <w:rsid w:val="0083792C"/>
    <w:rsid w:val="00837AE0"/>
    <w:rsid w:val="00840057"/>
    <w:rsid w:val="00840339"/>
    <w:rsid w:val="00841013"/>
    <w:rsid w:val="00841E5D"/>
    <w:rsid w:val="00842EE6"/>
    <w:rsid w:val="008438E7"/>
    <w:rsid w:val="00843968"/>
    <w:rsid w:val="008456C8"/>
    <w:rsid w:val="00845DF7"/>
    <w:rsid w:val="008476B9"/>
    <w:rsid w:val="00847DF9"/>
    <w:rsid w:val="00850C5D"/>
    <w:rsid w:val="0085132B"/>
    <w:rsid w:val="008518F7"/>
    <w:rsid w:val="00851B59"/>
    <w:rsid w:val="00851DF6"/>
    <w:rsid w:val="00851F93"/>
    <w:rsid w:val="00851FAC"/>
    <w:rsid w:val="00852185"/>
    <w:rsid w:val="00852BC0"/>
    <w:rsid w:val="008531F7"/>
    <w:rsid w:val="00853580"/>
    <w:rsid w:val="00853A6B"/>
    <w:rsid w:val="00854177"/>
    <w:rsid w:val="008542F5"/>
    <w:rsid w:val="008545C4"/>
    <w:rsid w:val="00854E6A"/>
    <w:rsid w:val="0085566F"/>
    <w:rsid w:val="00856A2E"/>
    <w:rsid w:val="00856B4B"/>
    <w:rsid w:val="00856CD1"/>
    <w:rsid w:val="008571EF"/>
    <w:rsid w:val="0085747B"/>
    <w:rsid w:val="00857B33"/>
    <w:rsid w:val="00860302"/>
    <w:rsid w:val="00860985"/>
    <w:rsid w:val="00861041"/>
    <w:rsid w:val="00861103"/>
    <w:rsid w:val="00861C26"/>
    <w:rsid w:val="00861DD2"/>
    <w:rsid w:val="0086265E"/>
    <w:rsid w:val="008630FD"/>
    <w:rsid w:val="00863FB1"/>
    <w:rsid w:val="00864BD4"/>
    <w:rsid w:val="008654CE"/>
    <w:rsid w:val="0086556E"/>
    <w:rsid w:val="008655D9"/>
    <w:rsid w:val="008668D5"/>
    <w:rsid w:val="00866DB4"/>
    <w:rsid w:val="00866EE7"/>
    <w:rsid w:val="00867818"/>
    <w:rsid w:val="00867E4F"/>
    <w:rsid w:val="00871DE1"/>
    <w:rsid w:val="00872C75"/>
    <w:rsid w:val="0087473C"/>
    <w:rsid w:val="00874D7C"/>
    <w:rsid w:val="00875A98"/>
    <w:rsid w:val="0087645E"/>
    <w:rsid w:val="00876914"/>
    <w:rsid w:val="00876D49"/>
    <w:rsid w:val="0087741A"/>
    <w:rsid w:val="00877E56"/>
    <w:rsid w:val="00881997"/>
    <w:rsid w:val="00881DDB"/>
    <w:rsid w:val="0088254C"/>
    <w:rsid w:val="008826DA"/>
    <w:rsid w:val="00882C93"/>
    <w:rsid w:val="00883159"/>
    <w:rsid w:val="008836FA"/>
    <w:rsid w:val="008837C7"/>
    <w:rsid w:val="00883933"/>
    <w:rsid w:val="008841EB"/>
    <w:rsid w:val="008845DE"/>
    <w:rsid w:val="00884615"/>
    <w:rsid w:val="008846D7"/>
    <w:rsid w:val="00885300"/>
    <w:rsid w:val="00886359"/>
    <w:rsid w:val="00886A81"/>
    <w:rsid w:val="00886F9B"/>
    <w:rsid w:val="008870D9"/>
    <w:rsid w:val="00887471"/>
    <w:rsid w:val="008902BD"/>
    <w:rsid w:val="00890A2E"/>
    <w:rsid w:val="00891CC1"/>
    <w:rsid w:val="008927F2"/>
    <w:rsid w:val="00892D5B"/>
    <w:rsid w:val="008932AE"/>
    <w:rsid w:val="008936DB"/>
    <w:rsid w:val="00893E22"/>
    <w:rsid w:val="00894F7B"/>
    <w:rsid w:val="00895423"/>
    <w:rsid w:val="0089682B"/>
    <w:rsid w:val="008969A9"/>
    <w:rsid w:val="00896B4C"/>
    <w:rsid w:val="00897060"/>
    <w:rsid w:val="0089726C"/>
    <w:rsid w:val="008972D5"/>
    <w:rsid w:val="00897715"/>
    <w:rsid w:val="00897AD3"/>
    <w:rsid w:val="00897DB6"/>
    <w:rsid w:val="008A0A25"/>
    <w:rsid w:val="008A1288"/>
    <w:rsid w:val="008A12B9"/>
    <w:rsid w:val="008A134E"/>
    <w:rsid w:val="008A1979"/>
    <w:rsid w:val="008A1AB3"/>
    <w:rsid w:val="008A21F7"/>
    <w:rsid w:val="008A2725"/>
    <w:rsid w:val="008A2C05"/>
    <w:rsid w:val="008A3582"/>
    <w:rsid w:val="008A3E8A"/>
    <w:rsid w:val="008A419D"/>
    <w:rsid w:val="008A4460"/>
    <w:rsid w:val="008A453E"/>
    <w:rsid w:val="008A4897"/>
    <w:rsid w:val="008A4F4F"/>
    <w:rsid w:val="008A54AA"/>
    <w:rsid w:val="008A56BA"/>
    <w:rsid w:val="008A5C23"/>
    <w:rsid w:val="008A5EE9"/>
    <w:rsid w:val="008A64DA"/>
    <w:rsid w:val="008A67B6"/>
    <w:rsid w:val="008A69E4"/>
    <w:rsid w:val="008A6AFC"/>
    <w:rsid w:val="008A7C3E"/>
    <w:rsid w:val="008A7FBA"/>
    <w:rsid w:val="008B0C9E"/>
    <w:rsid w:val="008B2567"/>
    <w:rsid w:val="008B27FF"/>
    <w:rsid w:val="008B31EC"/>
    <w:rsid w:val="008B38DC"/>
    <w:rsid w:val="008B4F0D"/>
    <w:rsid w:val="008B5805"/>
    <w:rsid w:val="008B6445"/>
    <w:rsid w:val="008B6767"/>
    <w:rsid w:val="008B6C57"/>
    <w:rsid w:val="008B75C2"/>
    <w:rsid w:val="008B77C6"/>
    <w:rsid w:val="008B7CF7"/>
    <w:rsid w:val="008B7E1C"/>
    <w:rsid w:val="008C1968"/>
    <w:rsid w:val="008C19FC"/>
    <w:rsid w:val="008C1C70"/>
    <w:rsid w:val="008C2771"/>
    <w:rsid w:val="008C2B75"/>
    <w:rsid w:val="008C49B4"/>
    <w:rsid w:val="008C56CE"/>
    <w:rsid w:val="008C6314"/>
    <w:rsid w:val="008C6610"/>
    <w:rsid w:val="008C6792"/>
    <w:rsid w:val="008C7049"/>
    <w:rsid w:val="008C766B"/>
    <w:rsid w:val="008C7898"/>
    <w:rsid w:val="008C7E97"/>
    <w:rsid w:val="008D0D80"/>
    <w:rsid w:val="008D0E4B"/>
    <w:rsid w:val="008D0E80"/>
    <w:rsid w:val="008D1B39"/>
    <w:rsid w:val="008D3731"/>
    <w:rsid w:val="008D38A8"/>
    <w:rsid w:val="008D441B"/>
    <w:rsid w:val="008D494B"/>
    <w:rsid w:val="008D59F7"/>
    <w:rsid w:val="008D5B23"/>
    <w:rsid w:val="008D60E9"/>
    <w:rsid w:val="008D619C"/>
    <w:rsid w:val="008D67AF"/>
    <w:rsid w:val="008D6AA6"/>
    <w:rsid w:val="008D7014"/>
    <w:rsid w:val="008D7057"/>
    <w:rsid w:val="008D7354"/>
    <w:rsid w:val="008D7D09"/>
    <w:rsid w:val="008D7D42"/>
    <w:rsid w:val="008E0727"/>
    <w:rsid w:val="008E0FAF"/>
    <w:rsid w:val="008E12F2"/>
    <w:rsid w:val="008E13FF"/>
    <w:rsid w:val="008E1E21"/>
    <w:rsid w:val="008E2DEC"/>
    <w:rsid w:val="008E2EC0"/>
    <w:rsid w:val="008E36A6"/>
    <w:rsid w:val="008E4FDA"/>
    <w:rsid w:val="008E5610"/>
    <w:rsid w:val="008E584B"/>
    <w:rsid w:val="008E5DA7"/>
    <w:rsid w:val="008E6FE9"/>
    <w:rsid w:val="008E7C38"/>
    <w:rsid w:val="008E7DE8"/>
    <w:rsid w:val="008E7F9B"/>
    <w:rsid w:val="008F16DD"/>
    <w:rsid w:val="008F1C05"/>
    <w:rsid w:val="008F1ED3"/>
    <w:rsid w:val="008F2098"/>
    <w:rsid w:val="008F24C1"/>
    <w:rsid w:val="008F3A50"/>
    <w:rsid w:val="008F3B33"/>
    <w:rsid w:val="008F40D8"/>
    <w:rsid w:val="008F476C"/>
    <w:rsid w:val="008F53D4"/>
    <w:rsid w:val="008F5AE3"/>
    <w:rsid w:val="008F5F32"/>
    <w:rsid w:val="008F6593"/>
    <w:rsid w:val="008F69BA"/>
    <w:rsid w:val="008F6FD5"/>
    <w:rsid w:val="008F75B5"/>
    <w:rsid w:val="008F779B"/>
    <w:rsid w:val="008F7A64"/>
    <w:rsid w:val="008F7C49"/>
    <w:rsid w:val="0090007F"/>
    <w:rsid w:val="0090032E"/>
    <w:rsid w:val="009007A9"/>
    <w:rsid w:val="00901047"/>
    <w:rsid w:val="00901193"/>
    <w:rsid w:val="009023F3"/>
    <w:rsid w:val="009025C6"/>
    <w:rsid w:val="00902B08"/>
    <w:rsid w:val="00902B3A"/>
    <w:rsid w:val="0090382B"/>
    <w:rsid w:val="00903E87"/>
    <w:rsid w:val="009041C3"/>
    <w:rsid w:val="0090486C"/>
    <w:rsid w:val="00904ECF"/>
    <w:rsid w:val="0090516D"/>
    <w:rsid w:val="00905567"/>
    <w:rsid w:val="00905632"/>
    <w:rsid w:val="00906525"/>
    <w:rsid w:val="00910A8B"/>
    <w:rsid w:val="00910E77"/>
    <w:rsid w:val="009110D6"/>
    <w:rsid w:val="00911700"/>
    <w:rsid w:val="0091177D"/>
    <w:rsid w:val="009126EF"/>
    <w:rsid w:val="00912A13"/>
    <w:rsid w:val="00912A29"/>
    <w:rsid w:val="00912DFD"/>
    <w:rsid w:val="00912FFC"/>
    <w:rsid w:val="009131BA"/>
    <w:rsid w:val="0091371E"/>
    <w:rsid w:val="00913A6C"/>
    <w:rsid w:val="00914140"/>
    <w:rsid w:val="009142D3"/>
    <w:rsid w:val="00914B38"/>
    <w:rsid w:val="0091569B"/>
    <w:rsid w:val="00915FEC"/>
    <w:rsid w:val="009163BD"/>
    <w:rsid w:val="00916865"/>
    <w:rsid w:val="00917371"/>
    <w:rsid w:val="009173F3"/>
    <w:rsid w:val="0091778A"/>
    <w:rsid w:val="00917B73"/>
    <w:rsid w:val="00917CAE"/>
    <w:rsid w:val="009200AF"/>
    <w:rsid w:val="00920F88"/>
    <w:rsid w:val="00921B63"/>
    <w:rsid w:val="00922872"/>
    <w:rsid w:val="00923216"/>
    <w:rsid w:val="0092338C"/>
    <w:rsid w:val="00923978"/>
    <w:rsid w:val="00923AF0"/>
    <w:rsid w:val="00923B30"/>
    <w:rsid w:val="00924B4E"/>
    <w:rsid w:val="00924EF9"/>
    <w:rsid w:val="0092578F"/>
    <w:rsid w:val="00925ED5"/>
    <w:rsid w:val="0092631F"/>
    <w:rsid w:val="009267BC"/>
    <w:rsid w:val="0092682E"/>
    <w:rsid w:val="009268EC"/>
    <w:rsid w:val="009270C2"/>
    <w:rsid w:val="0092734A"/>
    <w:rsid w:val="009274D6"/>
    <w:rsid w:val="00927905"/>
    <w:rsid w:val="00930390"/>
    <w:rsid w:val="009308A8"/>
    <w:rsid w:val="009319DA"/>
    <w:rsid w:val="009327BE"/>
    <w:rsid w:val="00933A5F"/>
    <w:rsid w:val="00934030"/>
    <w:rsid w:val="0093420F"/>
    <w:rsid w:val="00934376"/>
    <w:rsid w:val="00934CBC"/>
    <w:rsid w:val="0093503E"/>
    <w:rsid w:val="009353FE"/>
    <w:rsid w:val="009354B8"/>
    <w:rsid w:val="0093602C"/>
    <w:rsid w:val="009367B0"/>
    <w:rsid w:val="00936C06"/>
    <w:rsid w:val="00936D11"/>
    <w:rsid w:val="009371DA"/>
    <w:rsid w:val="0093758D"/>
    <w:rsid w:val="009377B5"/>
    <w:rsid w:val="00937AEA"/>
    <w:rsid w:val="00937F00"/>
    <w:rsid w:val="00937F32"/>
    <w:rsid w:val="00940794"/>
    <w:rsid w:val="00942715"/>
    <w:rsid w:val="00944AAA"/>
    <w:rsid w:val="00945C0D"/>
    <w:rsid w:val="00946514"/>
    <w:rsid w:val="00946831"/>
    <w:rsid w:val="00946E07"/>
    <w:rsid w:val="0095021C"/>
    <w:rsid w:val="00951346"/>
    <w:rsid w:val="00951953"/>
    <w:rsid w:val="00951DCA"/>
    <w:rsid w:val="009521CD"/>
    <w:rsid w:val="00952277"/>
    <w:rsid w:val="00952B71"/>
    <w:rsid w:val="00953391"/>
    <w:rsid w:val="00953564"/>
    <w:rsid w:val="00953702"/>
    <w:rsid w:val="00953978"/>
    <w:rsid w:val="00953B65"/>
    <w:rsid w:val="0095470B"/>
    <w:rsid w:val="00954B2B"/>
    <w:rsid w:val="00955D82"/>
    <w:rsid w:val="009565E1"/>
    <w:rsid w:val="00956814"/>
    <w:rsid w:val="00957AE8"/>
    <w:rsid w:val="00957D11"/>
    <w:rsid w:val="00960A56"/>
    <w:rsid w:val="00960F3D"/>
    <w:rsid w:val="00961172"/>
    <w:rsid w:val="00961948"/>
    <w:rsid w:val="00961F53"/>
    <w:rsid w:val="009628E1"/>
    <w:rsid w:val="00963EB3"/>
    <w:rsid w:val="00964291"/>
    <w:rsid w:val="00964460"/>
    <w:rsid w:val="009646C6"/>
    <w:rsid w:val="009648A3"/>
    <w:rsid w:val="009649FF"/>
    <w:rsid w:val="00964A35"/>
    <w:rsid w:val="00965495"/>
    <w:rsid w:val="009659C3"/>
    <w:rsid w:val="00965E68"/>
    <w:rsid w:val="00965F59"/>
    <w:rsid w:val="00965FB5"/>
    <w:rsid w:val="00966031"/>
    <w:rsid w:val="00966555"/>
    <w:rsid w:val="00966EF8"/>
    <w:rsid w:val="00967251"/>
    <w:rsid w:val="00967C9E"/>
    <w:rsid w:val="00967E25"/>
    <w:rsid w:val="00967EB5"/>
    <w:rsid w:val="00970943"/>
    <w:rsid w:val="009710FE"/>
    <w:rsid w:val="009718D3"/>
    <w:rsid w:val="00972153"/>
    <w:rsid w:val="00973112"/>
    <w:rsid w:val="00973B5D"/>
    <w:rsid w:val="00974FC8"/>
    <w:rsid w:val="00975224"/>
    <w:rsid w:val="0097596C"/>
    <w:rsid w:val="00976C22"/>
    <w:rsid w:val="00976EAA"/>
    <w:rsid w:val="009775A3"/>
    <w:rsid w:val="00977764"/>
    <w:rsid w:val="009779E3"/>
    <w:rsid w:val="00977C73"/>
    <w:rsid w:val="009803C5"/>
    <w:rsid w:val="00980547"/>
    <w:rsid w:val="009805A6"/>
    <w:rsid w:val="00980A33"/>
    <w:rsid w:val="00980E96"/>
    <w:rsid w:val="00980FB4"/>
    <w:rsid w:val="00981ABE"/>
    <w:rsid w:val="00981BCC"/>
    <w:rsid w:val="00982512"/>
    <w:rsid w:val="009834DF"/>
    <w:rsid w:val="0098396C"/>
    <w:rsid w:val="00983ADC"/>
    <w:rsid w:val="009846DA"/>
    <w:rsid w:val="00985C41"/>
    <w:rsid w:val="00985D39"/>
    <w:rsid w:val="00986423"/>
    <w:rsid w:val="009869F2"/>
    <w:rsid w:val="00986EB2"/>
    <w:rsid w:val="009871BD"/>
    <w:rsid w:val="00987B18"/>
    <w:rsid w:val="00990909"/>
    <w:rsid w:val="00991230"/>
    <w:rsid w:val="009917A3"/>
    <w:rsid w:val="0099248F"/>
    <w:rsid w:val="00993621"/>
    <w:rsid w:val="00993D43"/>
    <w:rsid w:val="00993D78"/>
    <w:rsid w:val="00994B46"/>
    <w:rsid w:val="00994F1D"/>
    <w:rsid w:val="009954D6"/>
    <w:rsid w:val="00995A57"/>
    <w:rsid w:val="00996098"/>
    <w:rsid w:val="00996CD1"/>
    <w:rsid w:val="009977B5"/>
    <w:rsid w:val="00997A65"/>
    <w:rsid w:val="00997D91"/>
    <w:rsid w:val="009A0178"/>
    <w:rsid w:val="009A07E3"/>
    <w:rsid w:val="009A0857"/>
    <w:rsid w:val="009A0DC2"/>
    <w:rsid w:val="009A19E1"/>
    <w:rsid w:val="009A39C4"/>
    <w:rsid w:val="009A3C19"/>
    <w:rsid w:val="009A3FCC"/>
    <w:rsid w:val="009A454B"/>
    <w:rsid w:val="009A486E"/>
    <w:rsid w:val="009A4992"/>
    <w:rsid w:val="009A4FEB"/>
    <w:rsid w:val="009A5723"/>
    <w:rsid w:val="009A5959"/>
    <w:rsid w:val="009A6A82"/>
    <w:rsid w:val="009A76E0"/>
    <w:rsid w:val="009A7715"/>
    <w:rsid w:val="009A7F69"/>
    <w:rsid w:val="009B03F9"/>
    <w:rsid w:val="009B05F5"/>
    <w:rsid w:val="009B071F"/>
    <w:rsid w:val="009B1E93"/>
    <w:rsid w:val="009B39B8"/>
    <w:rsid w:val="009B3A02"/>
    <w:rsid w:val="009B4074"/>
    <w:rsid w:val="009B40B1"/>
    <w:rsid w:val="009B41AA"/>
    <w:rsid w:val="009B4A18"/>
    <w:rsid w:val="009B4B3F"/>
    <w:rsid w:val="009B4EDE"/>
    <w:rsid w:val="009B500B"/>
    <w:rsid w:val="009B5539"/>
    <w:rsid w:val="009B5B0E"/>
    <w:rsid w:val="009B5CCB"/>
    <w:rsid w:val="009B5F27"/>
    <w:rsid w:val="009B694A"/>
    <w:rsid w:val="009B6D7C"/>
    <w:rsid w:val="009B71E7"/>
    <w:rsid w:val="009B73B8"/>
    <w:rsid w:val="009B7825"/>
    <w:rsid w:val="009C0082"/>
    <w:rsid w:val="009C1625"/>
    <w:rsid w:val="009C1E63"/>
    <w:rsid w:val="009C217F"/>
    <w:rsid w:val="009C22FA"/>
    <w:rsid w:val="009C2A2D"/>
    <w:rsid w:val="009C315A"/>
    <w:rsid w:val="009C3E2A"/>
    <w:rsid w:val="009C4501"/>
    <w:rsid w:val="009C48D9"/>
    <w:rsid w:val="009C5018"/>
    <w:rsid w:val="009C531E"/>
    <w:rsid w:val="009C5629"/>
    <w:rsid w:val="009C575E"/>
    <w:rsid w:val="009C5AF2"/>
    <w:rsid w:val="009C65B7"/>
    <w:rsid w:val="009C668B"/>
    <w:rsid w:val="009C6C23"/>
    <w:rsid w:val="009C772B"/>
    <w:rsid w:val="009C78C6"/>
    <w:rsid w:val="009D0DDF"/>
    <w:rsid w:val="009D13D3"/>
    <w:rsid w:val="009D1655"/>
    <w:rsid w:val="009D1A6D"/>
    <w:rsid w:val="009D1ABD"/>
    <w:rsid w:val="009D209D"/>
    <w:rsid w:val="009D3210"/>
    <w:rsid w:val="009D4080"/>
    <w:rsid w:val="009D43E3"/>
    <w:rsid w:val="009D5523"/>
    <w:rsid w:val="009D648F"/>
    <w:rsid w:val="009D6BB5"/>
    <w:rsid w:val="009D7523"/>
    <w:rsid w:val="009D7C31"/>
    <w:rsid w:val="009E0890"/>
    <w:rsid w:val="009E090A"/>
    <w:rsid w:val="009E0A8C"/>
    <w:rsid w:val="009E106B"/>
    <w:rsid w:val="009E1BE5"/>
    <w:rsid w:val="009E1CDC"/>
    <w:rsid w:val="009E1EB2"/>
    <w:rsid w:val="009E20DD"/>
    <w:rsid w:val="009E2660"/>
    <w:rsid w:val="009E286D"/>
    <w:rsid w:val="009E30D6"/>
    <w:rsid w:val="009E3C86"/>
    <w:rsid w:val="009E479E"/>
    <w:rsid w:val="009E47C8"/>
    <w:rsid w:val="009E5687"/>
    <w:rsid w:val="009E5825"/>
    <w:rsid w:val="009E62DD"/>
    <w:rsid w:val="009E63D1"/>
    <w:rsid w:val="009E69A7"/>
    <w:rsid w:val="009E7F82"/>
    <w:rsid w:val="009F11EC"/>
    <w:rsid w:val="009F22E0"/>
    <w:rsid w:val="009F26DF"/>
    <w:rsid w:val="009F2B03"/>
    <w:rsid w:val="009F2B13"/>
    <w:rsid w:val="009F3484"/>
    <w:rsid w:val="009F358B"/>
    <w:rsid w:val="009F4068"/>
    <w:rsid w:val="009F4791"/>
    <w:rsid w:val="009F4DF6"/>
    <w:rsid w:val="009F536B"/>
    <w:rsid w:val="009F668C"/>
    <w:rsid w:val="009F6D50"/>
    <w:rsid w:val="009F7658"/>
    <w:rsid w:val="00A004A5"/>
    <w:rsid w:val="00A00C9D"/>
    <w:rsid w:val="00A00ED4"/>
    <w:rsid w:val="00A01712"/>
    <w:rsid w:val="00A01E9F"/>
    <w:rsid w:val="00A025AE"/>
    <w:rsid w:val="00A0294E"/>
    <w:rsid w:val="00A02CC6"/>
    <w:rsid w:val="00A02D7C"/>
    <w:rsid w:val="00A02FB4"/>
    <w:rsid w:val="00A04487"/>
    <w:rsid w:val="00A04885"/>
    <w:rsid w:val="00A05814"/>
    <w:rsid w:val="00A05843"/>
    <w:rsid w:val="00A05B82"/>
    <w:rsid w:val="00A05E0C"/>
    <w:rsid w:val="00A06AA8"/>
    <w:rsid w:val="00A06AEB"/>
    <w:rsid w:val="00A06D3F"/>
    <w:rsid w:val="00A06FF3"/>
    <w:rsid w:val="00A07375"/>
    <w:rsid w:val="00A075EE"/>
    <w:rsid w:val="00A0795E"/>
    <w:rsid w:val="00A10270"/>
    <w:rsid w:val="00A11209"/>
    <w:rsid w:val="00A114C2"/>
    <w:rsid w:val="00A11674"/>
    <w:rsid w:val="00A11698"/>
    <w:rsid w:val="00A116E5"/>
    <w:rsid w:val="00A11EF9"/>
    <w:rsid w:val="00A12614"/>
    <w:rsid w:val="00A12A2E"/>
    <w:rsid w:val="00A12B1F"/>
    <w:rsid w:val="00A12EC6"/>
    <w:rsid w:val="00A1307F"/>
    <w:rsid w:val="00A13882"/>
    <w:rsid w:val="00A13B01"/>
    <w:rsid w:val="00A147DB"/>
    <w:rsid w:val="00A15FEF"/>
    <w:rsid w:val="00A160BB"/>
    <w:rsid w:val="00A166AB"/>
    <w:rsid w:val="00A16AD2"/>
    <w:rsid w:val="00A16D2A"/>
    <w:rsid w:val="00A17E84"/>
    <w:rsid w:val="00A17EC0"/>
    <w:rsid w:val="00A20965"/>
    <w:rsid w:val="00A20D1C"/>
    <w:rsid w:val="00A2144B"/>
    <w:rsid w:val="00A21566"/>
    <w:rsid w:val="00A216AA"/>
    <w:rsid w:val="00A21EAA"/>
    <w:rsid w:val="00A22AF9"/>
    <w:rsid w:val="00A2360D"/>
    <w:rsid w:val="00A23989"/>
    <w:rsid w:val="00A24D6F"/>
    <w:rsid w:val="00A253BC"/>
    <w:rsid w:val="00A2548F"/>
    <w:rsid w:val="00A262EA"/>
    <w:rsid w:val="00A2672B"/>
    <w:rsid w:val="00A26A4F"/>
    <w:rsid w:val="00A27C55"/>
    <w:rsid w:val="00A30750"/>
    <w:rsid w:val="00A30DBD"/>
    <w:rsid w:val="00A31A0D"/>
    <w:rsid w:val="00A31A15"/>
    <w:rsid w:val="00A324EC"/>
    <w:rsid w:val="00A3266C"/>
    <w:rsid w:val="00A336A7"/>
    <w:rsid w:val="00A34127"/>
    <w:rsid w:val="00A349E4"/>
    <w:rsid w:val="00A35008"/>
    <w:rsid w:val="00A363D7"/>
    <w:rsid w:val="00A36685"/>
    <w:rsid w:val="00A368DD"/>
    <w:rsid w:val="00A36C4E"/>
    <w:rsid w:val="00A3725F"/>
    <w:rsid w:val="00A37A30"/>
    <w:rsid w:val="00A37A9F"/>
    <w:rsid w:val="00A37DFA"/>
    <w:rsid w:val="00A37EEA"/>
    <w:rsid w:val="00A40594"/>
    <w:rsid w:val="00A40675"/>
    <w:rsid w:val="00A40ADE"/>
    <w:rsid w:val="00A40B60"/>
    <w:rsid w:val="00A41D13"/>
    <w:rsid w:val="00A41D1A"/>
    <w:rsid w:val="00A422F8"/>
    <w:rsid w:val="00A42343"/>
    <w:rsid w:val="00A4240E"/>
    <w:rsid w:val="00A424BD"/>
    <w:rsid w:val="00A4273D"/>
    <w:rsid w:val="00A43BE5"/>
    <w:rsid w:val="00A43F14"/>
    <w:rsid w:val="00A4464D"/>
    <w:rsid w:val="00A44897"/>
    <w:rsid w:val="00A44CF4"/>
    <w:rsid w:val="00A44D56"/>
    <w:rsid w:val="00A4532E"/>
    <w:rsid w:val="00A4594A"/>
    <w:rsid w:val="00A45F65"/>
    <w:rsid w:val="00A4730A"/>
    <w:rsid w:val="00A504F8"/>
    <w:rsid w:val="00A5060E"/>
    <w:rsid w:val="00A5073C"/>
    <w:rsid w:val="00A50F9E"/>
    <w:rsid w:val="00A51692"/>
    <w:rsid w:val="00A52B12"/>
    <w:rsid w:val="00A52C03"/>
    <w:rsid w:val="00A53069"/>
    <w:rsid w:val="00A531E5"/>
    <w:rsid w:val="00A53940"/>
    <w:rsid w:val="00A54073"/>
    <w:rsid w:val="00A54E66"/>
    <w:rsid w:val="00A56FAB"/>
    <w:rsid w:val="00A57154"/>
    <w:rsid w:val="00A575D5"/>
    <w:rsid w:val="00A57AF8"/>
    <w:rsid w:val="00A6105E"/>
    <w:rsid w:val="00A6124C"/>
    <w:rsid w:val="00A621FB"/>
    <w:rsid w:val="00A625D1"/>
    <w:rsid w:val="00A63D85"/>
    <w:rsid w:val="00A63EBF"/>
    <w:rsid w:val="00A64E26"/>
    <w:rsid w:val="00A65109"/>
    <w:rsid w:val="00A6611B"/>
    <w:rsid w:val="00A66739"/>
    <w:rsid w:val="00A668DB"/>
    <w:rsid w:val="00A670BF"/>
    <w:rsid w:val="00A676FD"/>
    <w:rsid w:val="00A67DFD"/>
    <w:rsid w:val="00A7087E"/>
    <w:rsid w:val="00A71474"/>
    <w:rsid w:val="00A7159D"/>
    <w:rsid w:val="00A720E6"/>
    <w:rsid w:val="00A72630"/>
    <w:rsid w:val="00A72777"/>
    <w:rsid w:val="00A72D8D"/>
    <w:rsid w:val="00A72FC3"/>
    <w:rsid w:val="00A74352"/>
    <w:rsid w:val="00A74402"/>
    <w:rsid w:val="00A74952"/>
    <w:rsid w:val="00A74B5F"/>
    <w:rsid w:val="00A75269"/>
    <w:rsid w:val="00A753DC"/>
    <w:rsid w:val="00A756E4"/>
    <w:rsid w:val="00A75991"/>
    <w:rsid w:val="00A75A2A"/>
    <w:rsid w:val="00A80908"/>
    <w:rsid w:val="00A80BC6"/>
    <w:rsid w:val="00A80CEA"/>
    <w:rsid w:val="00A81635"/>
    <w:rsid w:val="00A81E45"/>
    <w:rsid w:val="00A829CB"/>
    <w:rsid w:val="00A82BD5"/>
    <w:rsid w:val="00A82DC5"/>
    <w:rsid w:val="00A83022"/>
    <w:rsid w:val="00A83429"/>
    <w:rsid w:val="00A838EA"/>
    <w:rsid w:val="00A83DB0"/>
    <w:rsid w:val="00A8461E"/>
    <w:rsid w:val="00A84A4C"/>
    <w:rsid w:val="00A85F62"/>
    <w:rsid w:val="00A8604B"/>
    <w:rsid w:val="00A86D4C"/>
    <w:rsid w:val="00A905DF"/>
    <w:rsid w:val="00A90CEB"/>
    <w:rsid w:val="00A90E1A"/>
    <w:rsid w:val="00A91EB3"/>
    <w:rsid w:val="00A92030"/>
    <w:rsid w:val="00A9497D"/>
    <w:rsid w:val="00A94F85"/>
    <w:rsid w:val="00A9542F"/>
    <w:rsid w:val="00A969F5"/>
    <w:rsid w:val="00A9744C"/>
    <w:rsid w:val="00A9765F"/>
    <w:rsid w:val="00A97E06"/>
    <w:rsid w:val="00A97EA6"/>
    <w:rsid w:val="00A97FE4"/>
    <w:rsid w:val="00AA0656"/>
    <w:rsid w:val="00AA0E15"/>
    <w:rsid w:val="00AA1C2B"/>
    <w:rsid w:val="00AA1E4F"/>
    <w:rsid w:val="00AA2498"/>
    <w:rsid w:val="00AA29B8"/>
    <w:rsid w:val="00AA3069"/>
    <w:rsid w:val="00AA376E"/>
    <w:rsid w:val="00AA3B7E"/>
    <w:rsid w:val="00AA3BC1"/>
    <w:rsid w:val="00AA5687"/>
    <w:rsid w:val="00AA5E0E"/>
    <w:rsid w:val="00AA5FDF"/>
    <w:rsid w:val="00AA7705"/>
    <w:rsid w:val="00AA7DD4"/>
    <w:rsid w:val="00AB012A"/>
    <w:rsid w:val="00AB05CB"/>
    <w:rsid w:val="00AB1C33"/>
    <w:rsid w:val="00AB22EB"/>
    <w:rsid w:val="00AB2ECB"/>
    <w:rsid w:val="00AB3438"/>
    <w:rsid w:val="00AB36DC"/>
    <w:rsid w:val="00AB37E3"/>
    <w:rsid w:val="00AB4300"/>
    <w:rsid w:val="00AB5D72"/>
    <w:rsid w:val="00AB5FC6"/>
    <w:rsid w:val="00AB64E4"/>
    <w:rsid w:val="00AB711A"/>
    <w:rsid w:val="00AB786E"/>
    <w:rsid w:val="00AC03DE"/>
    <w:rsid w:val="00AC08DC"/>
    <w:rsid w:val="00AC0E8C"/>
    <w:rsid w:val="00AC1454"/>
    <w:rsid w:val="00AC1B19"/>
    <w:rsid w:val="00AC1FB9"/>
    <w:rsid w:val="00AC21DE"/>
    <w:rsid w:val="00AC2276"/>
    <w:rsid w:val="00AC25DB"/>
    <w:rsid w:val="00AC2614"/>
    <w:rsid w:val="00AC2A6B"/>
    <w:rsid w:val="00AC346C"/>
    <w:rsid w:val="00AC379A"/>
    <w:rsid w:val="00AC45AF"/>
    <w:rsid w:val="00AC4DB3"/>
    <w:rsid w:val="00AC51BA"/>
    <w:rsid w:val="00AC584D"/>
    <w:rsid w:val="00AC609D"/>
    <w:rsid w:val="00AC698F"/>
    <w:rsid w:val="00AC6F7E"/>
    <w:rsid w:val="00AC779C"/>
    <w:rsid w:val="00AC788F"/>
    <w:rsid w:val="00AC7AA9"/>
    <w:rsid w:val="00AC7DD4"/>
    <w:rsid w:val="00AC7F85"/>
    <w:rsid w:val="00AD02C0"/>
    <w:rsid w:val="00AD0DDD"/>
    <w:rsid w:val="00AD19EA"/>
    <w:rsid w:val="00AD2140"/>
    <w:rsid w:val="00AD2423"/>
    <w:rsid w:val="00AD27ED"/>
    <w:rsid w:val="00AD287A"/>
    <w:rsid w:val="00AD2CF3"/>
    <w:rsid w:val="00AD2EF3"/>
    <w:rsid w:val="00AD3B17"/>
    <w:rsid w:val="00AD3E0E"/>
    <w:rsid w:val="00AD3F16"/>
    <w:rsid w:val="00AD42A2"/>
    <w:rsid w:val="00AD5909"/>
    <w:rsid w:val="00AD5C55"/>
    <w:rsid w:val="00AD5E83"/>
    <w:rsid w:val="00AD6862"/>
    <w:rsid w:val="00AD6B7A"/>
    <w:rsid w:val="00AD70AB"/>
    <w:rsid w:val="00AD73BC"/>
    <w:rsid w:val="00AD7BF7"/>
    <w:rsid w:val="00AE015C"/>
    <w:rsid w:val="00AE0B06"/>
    <w:rsid w:val="00AE1683"/>
    <w:rsid w:val="00AE1C8F"/>
    <w:rsid w:val="00AE2372"/>
    <w:rsid w:val="00AE24CE"/>
    <w:rsid w:val="00AE2566"/>
    <w:rsid w:val="00AE2655"/>
    <w:rsid w:val="00AE2891"/>
    <w:rsid w:val="00AE2FFA"/>
    <w:rsid w:val="00AE36B2"/>
    <w:rsid w:val="00AE44E8"/>
    <w:rsid w:val="00AE4602"/>
    <w:rsid w:val="00AE46DE"/>
    <w:rsid w:val="00AE526E"/>
    <w:rsid w:val="00AE56C2"/>
    <w:rsid w:val="00AE575F"/>
    <w:rsid w:val="00AE7750"/>
    <w:rsid w:val="00AF0310"/>
    <w:rsid w:val="00AF0427"/>
    <w:rsid w:val="00AF06BB"/>
    <w:rsid w:val="00AF1072"/>
    <w:rsid w:val="00AF1074"/>
    <w:rsid w:val="00AF1C11"/>
    <w:rsid w:val="00AF23AC"/>
    <w:rsid w:val="00AF253B"/>
    <w:rsid w:val="00AF2BD6"/>
    <w:rsid w:val="00AF2C19"/>
    <w:rsid w:val="00AF3A22"/>
    <w:rsid w:val="00AF3EDB"/>
    <w:rsid w:val="00AF582B"/>
    <w:rsid w:val="00AF5ED4"/>
    <w:rsid w:val="00AF6108"/>
    <w:rsid w:val="00AF69D7"/>
    <w:rsid w:val="00AF6FF2"/>
    <w:rsid w:val="00AF7589"/>
    <w:rsid w:val="00AF77A7"/>
    <w:rsid w:val="00AF7CFD"/>
    <w:rsid w:val="00AF7E8E"/>
    <w:rsid w:val="00B002A2"/>
    <w:rsid w:val="00B003A1"/>
    <w:rsid w:val="00B006F1"/>
    <w:rsid w:val="00B00929"/>
    <w:rsid w:val="00B00BF1"/>
    <w:rsid w:val="00B015A9"/>
    <w:rsid w:val="00B019B5"/>
    <w:rsid w:val="00B01AAF"/>
    <w:rsid w:val="00B01B97"/>
    <w:rsid w:val="00B01D60"/>
    <w:rsid w:val="00B01DEC"/>
    <w:rsid w:val="00B02BC5"/>
    <w:rsid w:val="00B03197"/>
    <w:rsid w:val="00B04564"/>
    <w:rsid w:val="00B049E8"/>
    <w:rsid w:val="00B04A6E"/>
    <w:rsid w:val="00B04D94"/>
    <w:rsid w:val="00B04E1A"/>
    <w:rsid w:val="00B055EC"/>
    <w:rsid w:val="00B05729"/>
    <w:rsid w:val="00B059BE"/>
    <w:rsid w:val="00B062CB"/>
    <w:rsid w:val="00B06C13"/>
    <w:rsid w:val="00B0719A"/>
    <w:rsid w:val="00B0728F"/>
    <w:rsid w:val="00B07523"/>
    <w:rsid w:val="00B07BBF"/>
    <w:rsid w:val="00B10E70"/>
    <w:rsid w:val="00B11042"/>
    <w:rsid w:val="00B111F3"/>
    <w:rsid w:val="00B1194A"/>
    <w:rsid w:val="00B11AC5"/>
    <w:rsid w:val="00B1292D"/>
    <w:rsid w:val="00B1396D"/>
    <w:rsid w:val="00B147D6"/>
    <w:rsid w:val="00B14949"/>
    <w:rsid w:val="00B158D1"/>
    <w:rsid w:val="00B15AF1"/>
    <w:rsid w:val="00B17439"/>
    <w:rsid w:val="00B17615"/>
    <w:rsid w:val="00B1766E"/>
    <w:rsid w:val="00B1775D"/>
    <w:rsid w:val="00B2036F"/>
    <w:rsid w:val="00B2166E"/>
    <w:rsid w:val="00B21BA9"/>
    <w:rsid w:val="00B21E26"/>
    <w:rsid w:val="00B2211A"/>
    <w:rsid w:val="00B22BC8"/>
    <w:rsid w:val="00B26612"/>
    <w:rsid w:val="00B26E69"/>
    <w:rsid w:val="00B27584"/>
    <w:rsid w:val="00B3003E"/>
    <w:rsid w:val="00B305ED"/>
    <w:rsid w:val="00B32517"/>
    <w:rsid w:val="00B32AD4"/>
    <w:rsid w:val="00B338C3"/>
    <w:rsid w:val="00B33D32"/>
    <w:rsid w:val="00B34D8F"/>
    <w:rsid w:val="00B34DF0"/>
    <w:rsid w:val="00B34EF9"/>
    <w:rsid w:val="00B34F02"/>
    <w:rsid w:val="00B36115"/>
    <w:rsid w:val="00B36217"/>
    <w:rsid w:val="00B3743F"/>
    <w:rsid w:val="00B374FA"/>
    <w:rsid w:val="00B379B7"/>
    <w:rsid w:val="00B37E28"/>
    <w:rsid w:val="00B37FC1"/>
    <w:rsid w:val="00B40CF5"/>
    <w:rsid w:val="00B40F85"/>
    <w:rsid w:val="00B411AD"/>
    <w:rsid w:val="00B412C5"/>
    <w:rsid w:val="00B4199E"/>
    <w:rsid w:val="00B41A1F"/>
    <w:rsid w:val="00B42499"/>
    <w:rsid w:val="00B42F59"/>
    <w:rsid w:val="00B435F9"/>
    <w:rsid w:val="00B44715"/>
    <w:rsid w:val="00B44DFF"/>
    <w:rsid w:val="00B453C4"/>
    <w:rsid w:val="00B458BF"/>
    <w:rsid w:val="00B45FF3"/>
    <w:rsid w:val="00B4675A"/>
    <w:rsid w:val="00B467C9"/>
    <w:rsid w:val="00B46A38"/>
    <w:rsid w:val="00B46E00"/>
    <w:rsid w:val="00B46EF2"/>
    <w:rsid w:val="00B473DD"/>
    <w:rsid w:val="00B47878"/>
    <w:rsid w:val="00B47BC7"/>
    <w:rsid w:val="00B47E6D"/>
    <w:rsid w:val="00B509AA"/>
    <w:rsid w:val="00B50D07"/>
    <w:rsid w:val="00B50FAF"/>
    <w:rsid w:val="00B518A2"/>
    <w:rsid w:val="00B52366"/>
    <w:rsid w:val="00B5287D"/>
    <w:rsid w:val="00B528B1"/>
    <w:rsid w:val="00B52CC9"/>
    <w:rsid w:val="00B53144"/>
    <w:rsid w:val="00B53881"/>
    <w:rsid w:val="00B53D12"/>
    <w:rsid w:val="00B53F00"/>
    <w:rsid w:val="00B545C9"/>
    <w:rsid w:val="00B56434"/>
    <w:rsid w:val="00B56A03"/>
    <w:rsid w:val="00B56A50"/>
    <w:rsid w:val="00B56F29"/>
    <w:rsid w:val="00B57939"/>
    <w:rsid w:val="00B604E1"/>
    <w:rsid w:val="00B605A4"/>
    <w:rsid w:val="00B6148D"/>
    <w:rsid w:val="00B61BAF"/>
    <w:rsid w:val="00B61F1E"/>
    <w:rsid w:val="00B637F2"/>
    <w:rsid w:val="00B6380A"/>
    <w:rsid w:val="00B63B11"/>
    <w:rsid w:val="00B64339"/>
    <w:rsid w:val="00B645EF"/>
    <w:rsid w:val="00B649AA"/>
    <w:rsid w:val="00B64A85"/>
    <w:rsid w:val="00B64BB3"/>
    <w:rsid w:val="00B64E30"/>
    <w:rsid w:val="00B65081"/>
    <w:rsid w:val="00B65898"/>
    <w:rsid w:val="00B65AB2"/>
    <w:rsid w:val="00B65C23"/>
    <w:rsid w:val="00B6630A"/>
    <w:rsid w:val="00B66930"/>
    <w:rsid w:val="00B66C93"/>
    <w:rsid w:val="00B671AC"/>
    <w:rsid w:val="00B673CE"/>
    <w:rsid w:val="00B67432"/>
    <w:rsid w:val="00B6762B"/>
    <w:rsid w:val="00B7005A"/>
    <w:rsid w:val="00B70140"/>
    <w:rsid w:val="00B705C6"/>
    <w:rsid w:val="00B70CCE"/>
    <w:rsid w:val="00B7158B"/>
    <w:rsid w:val="00B718E0"/>
    <w:rsid w:val="00B71A7E"/>
    <w:rsid w:val="00B71D01"/>
    <w:rsid w:val="00B722C5"/>
    <w:rsid w:val="00B72398"/>
    <w:rsid w:val="00B7253B"/>
    <w:rsid w:val="00B729B3"/>
    <w:rsid w:val="00B73CAE"/>
    <w:rsid w:val="00B740E8"/>
    <w:rsid w:val="00B750D2"/>
    <w:rsid w:val="00B7627A"/>
    <w:rsid w:val="00B76669"/>
    <w:rsid w:val="00B767F2"/>
    <w:rsid w:val="00B77ED5"/>
    <w:rsid w:val="00B77F48"/>
    <w:rsid w:val="00B80034"/>
    <w:rsid w:val="00B80A35"/>
    <w:rsid w:val="00B8136B"/>
    <w:rsid w:val="00B8196C"/>
    <w:rsid w:val="00B81AB8"/>
    <w:rsid w:val="00B81BEC"/>
    <w:rsid w:val="00B81F1F"/>
    <w:rsid w:val="00B82875"/>
    <w:rsid w:val="00B8356F"/>
    <w:rsid w:val="00B83679"/>
    <w:rsid w:val="00B84751"/>
    <w:rsid w:val="00B84A87"/>
    <w:rsid w:val="00B851BB"/>
    <w:rsid w:val="00B853D6"/>
    <w:rsid w:val="00B85498"/>
    <w:rsid w:val="00B85945"/>
    <w:rsid w:val="00B859C9"/>
    <w:rsid w:val="00B85A0B"/>
    <w:rsid w:val="00B87261"/>
    <w:rsid w:val="00B878BD"/>
    <w:rsid w:val="00B87DF0"/>
    <w:rsid w:val="00B90617"/>
    <w:rsid w:val="00B90662"/>
    <w:rsid w:val="00B90665"/>
    <w:rsid w:val="00B90AA2"/>
    <w:rsid w:val="00B90F17"/>
    <w:rsid w:val="00B91FA5"/>
    <w:rsid w:val="00B92781"/>
    <w:rsid w:val="00B9309A"/>
    <w:rsid w:val="00B94B02"/>
    <w:rsid w:val="00B94C66"/>
    <w:rsid w:val="00B96062"/>
    <w:rsid w:val="00B960CA"/>
    <w:rsid w:val="00B967DB"/>
    <w:rsid w:val="00B96F7A"/>
    <w:rsid w:val="00BA0359"/>
    <w:rsid w:val="00BA0433"/>
    <w:rsid w:val="00BA0E78"/>
    <w:rsid w:val="00BA10BD"/>
    <w:rsid w:val="00BA120F"/>
    <w:rsid w:val="00BA1EE7"/>
    <w:rsid w:val="00BA220B"/>
    <w:rsid w:val="00BA344B"/>
    <w:rsid w:val="00BA3793"/>
    <w:rsid w:val="00BA3C86"/>
    <w:rsid w:val="00BA4587"/>
    <w:rsid w:val="00BA4AA0"/>
    <w:rsid w:val="00BA59DE"/>
    <w:rsid w:val="00BA6325"/>
    <w:rsid w:val="00BA79A9"/>
    <w:rsid w:val="00BB0245"/>
    <w:rsid w:val="00BB0EE8"/>
    <w:rsid w:val="00BB1310"/>
    <w:rsid w:val="00BB15B9"/>
    <w:rsid w:val="00BB1796"/>
    <w:rsid w:val="00BB1F85"/>
    <w:rsid w:val="00BB2044"/>
    <w:rsid w:val="00BB2652"/>
    <w:rsid w:val="00BB275E"/>
    <w:rsid w:val="00BB29F5"/>
    <w:rsid w:val="00BB321A"/>
    <w:rsid w:val="00BB377E"/>
    <w:rsid w:val="00BB536C"/>
    <w:rsid w:val="00BB5F02"/>
    <w:rsid w:val="00BB62B4"/>
    <w:rsid w:val="00BB67F8"/>
    <w:rsid w:val="00BB77F5"/>
    <w:rsid w:val="00BC0793"/>
    <w:rsid w:val="00BC161F"/>
    <w:rsid w:val="00BC28CF"/>
    <w:rsid w:val="00BC324B"/>
    <w:rsid w:val="00BC3920"/>
    <w:rsid w:val="00BC3B9B"/>
    <w:rsid w:val="00BC48CD"/>
    <w:rsid w:val="00BC50E5"/>
    <w:rsid w:val="00BC5F65"/>
    <w:rsid w:val="00BC6BEB"/>
    <w:rsid w:val="00BC6F19"/>
    <w:rsid w:val="00BC7063"/>
    <w:rsid w:val="00BC72CC"/>
    <w:rsid w:val="00BC7746"/>
    <w:rsid w:val="00BD03A4"/>
    <w:rsid w:val="00BD0646"/>
    <w:rsid w:val="00BD07E6"/>
    <w:rsid w:val="00BD09DC"/>
    <w:rsid w:val="00BD0D96"/>
    <w:rsid w:val="00BD1418"/>
    <w:rsid w:val="00BD1550"/>
    <w:rsid w:val="00BD170C"/>
    <w:rsid w:val="00BD1D78"/>
    <w:rsid w:val="00BD21DF"/>
    <w:rsid w:val="00BD2989"/>
    <w:rsid w:val="00BD2E00"/>
    <w:rsid w:val="00BD348C"/>
    <w:rsid w:val="00BD3F8C"/>
    <w:rsid w:val="00BD4057"/>
    <w:rsid w:val="00BD4272"/>
    <w:rsid w:val="00BD462E"/>
    <w:rsid w:val="00BD580D"/>
    <w:rsid w:val="00BD65C4"/>
    <w:rsid w:val="00BD6940"/>
    <w:rsid w:val="00BD6B17"/>
    <w:rsid w:val="00BD6B6C"/>
    <w:rsid w:val="00BD7319"/>
    <w:rsid w:val="00BD79A8"/>
    <w:rsid w:val="00BD7F0E"/>
    <w:rsid w:val="00BE006C"/>
    <w:rsid w:val="00BE00C6"/>
    <w:rsid w:val="00BE0958"/>
    <w:rsid w:val="00BE0A2F"/>
    <w:rsid w:val="00BE0F52"/>
    <w:rsid w:val="00BE1515"/>
    <w:rsid w:val="00BE2116"/>
    <w:rsid w:val="00BE22F3"/>
    <w:rsid w:val="00BE2674"/>
    <w:rsid w:val="00BE26AD"/>
    <w:rsid w:val="00BE27D1"/>
    <w:rsid w:val="00BE343D"/>
    <w:rsid w:val="00BE3C0E"/>
    <w:rsid w:val="00BE4120"/>
    <w:rsid w:val="00BE497A"/>
    <w:rsid w:val="00BE4A54"/>
    <w:rsid w:val="00BE4ED6"/>
    <w:rsid w:val="00BE575C"/>
    <w:rsid w:val="00BE594C"/>
    <w:rsid w:val="00BE5D5E"/>
    <w:rsid w:val="00BE66CD"/>
    <w:rsid w:val="00BE6705"/>
    <w:rsid w:val="00BE69F7"/>
    <w:rsid w:val="00BE6C56"/>
    <w:rsid w:val="00BE6D5B"/>
    <w:rsid w:val="00BE7451"/>
    <w:rsid w:val="00BE7633"/>
    <w:rsid w:val="00BE79DB"/>
    <w:rsid w:val="00BE7A83"/>
    <w:rsid w:val="00BF1563"/>
    <w:rsid w:val="00BF1821"/>
    <w:rsid w:val="00BF1A1F"/>
    <w:rsid w:val="00BF1C94"/>
    <w:rsid w:val="00BF288D"/>
    <w:rsid w:val="00BF349C"/>
    <w:rsid w:val="00BF3C21"/>
    <w:rsid w:val="00BF3FDD"/>
    <w:rsid w:val="00BF4CFE"/>
    <w:rsid w:val="00BF4FA4"/>
    <w:rsid w:val="00BF54D3"/>
    <w:rsid w:val="00BF5E0C"/>
    <w:rsid w:val="00BF667F"/>
    <w:rsid w:val="00BF68DC"/>
    <w:rsid w:val="00BF6A37"/>
    <w:rsid w:val="00BF6EBC"/>
    <w:rsid w:val="00BF71FF"/>
    <w:rsid w:val="00C00498"/>
    <w:rsid w:val="00C0152E"/>
    <w:rsid w:val="00C01E9E"/>
    <w:rsid w:val="00C021A5"/>
    <w:rsid w:val="00C02280"/>
    <w:rsid w:val="00C03884"/>
    <w:rsid w:val="00C03A0D"/>
    <w:rsid w:val="00C04366"/>
    <w:rsid w:val="00C043A8"/>
    <w:rsid w:val="00C04AF3"/>
    <w:rsid w:val="00C0564F"/>
    <w:rsid w:val="00C05679"/>
    <w:rsid w:val="00C0602C"/>
    <w:rsid w:val="00C064C9"/>
    <w:rsid w:val="00C06C6C"/>
    <w:rsid w:val="00C071E7"/>
    <w:rsid w:val="00C0725B"/>
    <w:rsid w:val="00C076EF"/>
    <w:rsid w:val="00C07FBE"/>
    <w:rsid w:val="00C1086B"/>
    <w:rsid w:val="00C10BA8"/>
    <w:rsid w:val="00C11699"/>
    <w:rsid w:val="00C11E04"/>
    <w:rsid w:val="00C11E2C"/>
    <w:rsid w:val="00C12B68"/>
    <w:rsid w:val="00C12C28"/>
    <w:rsid w:val="00C133C2"/>
    <w:rsid w:val="00C13798"/>
    <w:rsid w:val="00C137A1"/>
    <w:rsid w:val="00C13B78"/>
    <w:rsid w:val="00C13CA7"/>
    <w:rsid w:val="00C14F06"/>
    <w:rsid w:val="00C15E70"/>
    <w:rsid w:val="00C1612A"/>
    <w:rsid w:val="00C1619A"/>
    <w:rsid w:val="00C17566"/>
    <w:rsid w:val="00C17D24"/>
    <w:rsid w:val="00C17E72"/>
    <w:rsid w:val="00C20C2E"/>
    <w:rsid w:val="00C215FE"/>
    <w:rsid w:val="00C21CB1"/>
    <w:rsid w:val="00C22617"/>
    <w:rsid w:val="00C22B72"/>
    <w:rsid w:val="00C22B85"/>
    <w:rsid w:val="00C237AB"/>
    <w:rsid w:val="00C23E46"/>
    <w:rsid w:val="00C23E58"/>
    <w:rsid w:val="00C23E85"/>
    <w:rsid w:val="00C25035"/>
    <w:rsid w:val="00C2554B"/>
    <w:rsid w:val="00C26254"/>
    <w:rsid w:val="00C2679C"/>
    <w:rsid w:val="00C26FD5"/>
    <w:rsid w:val="00C27A25"/>
    <w:rsid w:val="00C27F08"/>
    <w:rsid w:val="00C30743"/>
    <w:rsid w:val="00C30838"/>
    <w:rsid w:val="00C309FB"/>
    <w:rsid w:val="00C311E3"/>
    <w:rsid w:val="00C31837"/>
    <w:rsid w:val="00C31ECF"/>
    <w:rsid w:val="00C32181"/>
    <w:rsid w:val="00C32ABD"/>
    <w:rsid w:val="00C32BDD"/>
    <w:rsid w:val="00C32ED0"/>
    <w:rsid w:val="00C32FDF"/>
    <w:rsid w:val="00C330FB"/>
    <w:rsid w:val="00C3336D"/>
    <w:rsid w:val="00C33A87"/>
    <w:rsid w:val="00C33C83"/>
    <w:rsid w:val="00C34268"/>
    <w:rsid w:val="00C345F5"/>
    <w:rsid w:val="00C35584"/>
    <w:rsid w:val="00C35A8B"/>
    <w:rsid w:val="00C36A3D"/>
    <w:rsid w:val="00C41227"/>
    <w:rsid w:val="00C414B7"/>
    <w:rsid w:val="00C4153B"/>
    <w:rsid w:val="00C41995"/>
    <w:rsid w:val="00C42257"/>
    <w:rsid w:val="00C426D0"/>
    <w:rsid w:val="00C42C8B"/>
    <w:rsid w:val="00C42DEA"/>
    <w:rsid w:val="00C42E0F"/>
    <w:rsid w:val="00C42E17"/>
    <w:rsid w:val="00C43A93"/>
    <w:rsid w:val="00C43AD5"/>
    <w:rsid w:val="00C443B8"/>
    <w:rsid w:val="00C445BA"/>
    <w:rsid w:val="00C44A9B"/>
    <w:rsid w:val="00C44D44"/>
    <w:rsid w:val="00C4504E"/>
    <w:rsid w:val="00C4592B"/>
    <w:rsid w:val="00C45D4B"/>
    <w:rsid w:val="00C45DF8"/>
    <w:rsid w:val="00C463B1"/>
    <w:rsid w:val="00C46480"/>
    <w:rsid w:val="00C464C0"/>
    <w:rsid w:val="00C46B85"/>
    <w:rsid w:val="00C46C69"/>
    <w:rsid w:val="00C5032A"/>
    <w:rsid w:val="00C50B28"/>
    <w:rsid w:val="00C5140A"/>
    <w:rsid w:val="00C51B0E"/>
    <w:rsid w:val="00C52535"/>
    <w:rsid w:val="00C53476"/>
    <w:rsid w:val="00C53817"/>
    <w:rsid w:val="00C542D9"/>
    <w:rsid w:val="00C54B02"/>
    <w:rsid w:val="00C55283"/>
    <w:rsid w:val="00C553C4"/>
    <w:rsid w:val="00C554BF"/>
    <w:rsid w:val="00C55D60"/>
    <w:rsid w:val="00C55EF0"/>
    <w:rsid w:val="00C5681F"/>
    <w:rsid w:val="00C57F90"/>
    <w:rsid w:val="00C6048C"/>
    <w:rsid w:val="00C61188"/>
    <w:rsid w:val="00C61962"/>
    <w:rsid w:val="00C61D43"/>
    <w:rsid w:val="00C62076"/>
    <w:rsid w:val="00C622F1"/>
    <w:rsid w:val="00C623F1"/>
    <w:rsid w:val="00C62662"/>
    <w:rsid w:val="00C62894"/>
    <w:rsid w:val="00C629AC"/>
    <w:rsid w:val="00C6318F"/>
    <w:rsid w:val="00C63250"/>
    <w:rsid w:val="00C640A6"/>
    <w:rsid w:val="00C6452B"/>
    <w:rsid w:val="00C646CB"/>
    <w:rsid w:val="00C64986"/>
    <w:rsid w:val="00C6520E"/>
    <w:rsid w:val="00C655D9"/>
    <w:rsid w:val="00C6703B"/>
    <w:rsid w:val="00C67752"/>
    <w:rsid w:val="00C67915"/>
    <w:rsid w:val="00C67ADE"/>
    <w:rsid w:val="00C67E89"/>
    <w:rsid w:val="00C67ECE"/>
    <w:rsid w:val="00C707B5"/>
    <w:rsid w:val="00C708D6"/>
    <w:rsid w:val="00C71065"/>
    <w:rsid w:val="00C72F38"/>
    <w:rsid w:val="00C73582"/>
    <w:rsid w:val="00C74164"/>
    <w:rsid w:val="00C7417F"/>
    <w:rsid w:val="00C74342"/>
    <w:rsid w:val="00C74E50"/>
    <w:rsid w:val="00C75824"/>
    <w:rsid w:val="00C7654E"/>
    <w:rsid w:val="00C76602"/>
    <w:rsid w:val="00C76770"/>
    <w:rsid w:val="00C76CBD"/>
    <w:rsid w:val="00C77866"/>
    <w:rsid w:val="00C8008E"/>
    <w:rsid w:val="00C80816"/>
    <w:rsid w:val="00C80DC9"/>
    <w:rsid w:val="00C813A2"/>
    <w:rsid w:val="00C820FF"/>
    <w:rsid w:val="00C8218D"/>
    <w:rsid w:val="00C825A7"/>
    <w:rsid w:val="00C82984"/>
    <w:rsid w:val="00C82996"/>
    <w:rsid w:val="00C82BEE"/>
    <w:rsid w:val="00C83665"/>
    <w:rsid w:val="00C83A6C"/>
    <w:rsid w:val="00C85428"/>
    <w:rsid w:val="00C85926"/>
    <w:rsid w:val="00C85BD9"/>
    <w:rsid w:val="00C85C26"/>
    <w:rsid w:val="00C85C6C"/>
    <w:rsid w:val="00C8656A"/>
    <w:rsid w:val="00C86731"/>
    <w:rsid w:val="00C867D3"/>
    <w:rsid w:val="00C86B3A"/>
    <w:rsid w:val="00C86E9B"/>
    <w:rsid w:val="00C87A93"/>
    <w:rsid w:val="00C90EA5"/>
    <w:rsid w:val="00C91217"/>
    <w:rsid w:val="00C91796"/>
    <w:rsid w:val="00C923B4"/>
    <w:rsid w:val="00C92524"/>
    <w:rsid w:val="00C9271D"/>
    <w:rsid w:val="00C9308A"/>
    <w:rsid w:val="00C94A50"/>
    <w:rsid w:val="00C94EB7"/>
    <w:rsid w:val="00C96171"/>
    <w:rsid w:val="00C9667C"/>
    <w:rsid w:val="00C97B1D"/>
    <w:rsid w:val="00CA0A09"/>
    <w:rsid w:val="00CA1556"/>
    <w:rsid w:val="00CA1FD6"/>
    <w:rsid w:val="00CA2362"/>
    <w:rsid w:val="00CA31EC"/>
    <w:rsid w:val="00CA378F"/>
    <w:rsid w:val="00CA3B1A"/>
    <w:rsid w:val="00CA3FC7"/>
    <w:rsid w:val="00CA45C9"/>
    <w:rsid w:val="00CA4640"/>
    <w:rsid w:val="00CA479B"/>
    <w:rsid w:val="00CA4FEF"/>
    <w:rsid w:val="00CA5019"/>
    <w:rsid w:val="00CA52BE"/>
    <w:rsid w:val="00CA5CFD"/>
    <w:rsid w:val="00CA5D99"/>
    <w:rsid w:val="00CA5F94"/>
    <w:rsid w:val="00CA64C8"/>
    <w:rsid w:val="00CA6AEA"/>
    <w:rsid w:val="00CA6CF3"/>
    <w:rsid w:val="00CA70BB"/>
    <w:rsid w:val="00CA79A6"/>
    <w:rsid w:val="00CA7BD0"/>
    <w:rsid w:val="00CA7C14"/>
    <w:rsid w:val="00CB0494"/>
    <w:rsid w:val="00CB0A93"/>
    <w:rsid w:val="00CB1126"/>
    <w:rsid w:val="00CB13AE"/>
    <w:rsid w:val="00CB21AE"/>
    <w:rsid w:val="00CB2C6D"/>
    <w:rsid w:val="00CB2EF1"/>
    <w:rsid w:val="00CB35F0"/>
    <w:rsid w:val="00CB3CC2"/>
    <w:rsid w:val="00CB3D18"/>
    <w:rsid w:val="00CB4350"/>
    <w:rsid w:val="00CB487B"/>
    <w:rsid w:val="00CB49B4"/>
    <w:rsid w:val="00CB56B6"/>
    <w:rsid w:val="00CB5D9D"/>
    <w:rsid w:val="00CB5DE2"/>
    <w:rsid w:val="00CB5FFE"/>
    <w:rsid w:val="00CB6403"/>
    <w:rsid w:val="00CB6B44"/>
    <w:rsid w:val="00CB6EC6"/>
    <w:rsid w:val="00CB7006"/>
    <w:rsid w:val="00CC015C"/>
    <w:rsid w:val="00CC09AF"/>
    <w:rsid w:val="00CC0ACE"/>
    <w:rsid w:val="00CC110A"/>
    <w:rsid w:val="00CC156E"/>
    <w:rsid w:val="00CC1D4C"/>
    <w:rsid w:val="00CC22C3"/>
    <w:rsid w:val="00CC34E9"/>
    <w:rsid w:val="00CC3EF8"/>
    <w:rsid w:val="00CC41D0"/>
    <w:rsid w:val="00CC4230"/>
    <w:rsid w:val="00CC4BC1"/>
    <w:rsid w:val="00CC4EB2"/>
    <w:rsid w:val="00CC51E3"/>
    <w:rsid w:val="00CC592C"/>
    <w:rsid w:val="00CC5A7D"/>
    <w:rsid w:val="00CC6204"/>
    <w:rsid w:val="00CC642C"/>
    <w:rsid w:val="00CC732F"/>
    <w:rsid w:val="00CC7C80"/>
    <w:rsid w:val="00CD08A4"/>
    <w:rsid w:val="00CD0922"/>
    <w:rsid w:val="00CD0D6A"/>
    <w:rsid w:val="00CD0DA8"/>
    <w:rsid w:val="00CD0E9A"/>
    <w:rsid w:val="00CD1A55"/>
    <w:rsid w:val="00CD1C2A"/>
    <w:rsid w:val="00CD271F"/>
    <w:rsid w:val="00CD2DC3"/>
    <w:rsid w:val="00CD365D"/>
    <w:rsid w:val="00CD36B6"/>
    <w:rsid w:val="00CD3CCE"/>
    <w:rsid w:val="00CD3EB1"/>
    <w:rsid w:val="00CD4791"/>
    <w:rsid w:val="00CD507A"/>
    <w:rsid w:val="00CD5445"/>
    <w:rsid w:val="00CD589F"/>
    <w:rsid w:val="00CD5C80"/>
    <w:rsid w:val="00CD636E"/>
    <w:rsid w:val="00CD6639"/>
    <w:rsid w:val="00CD6CAD"/>
    <w:rsid w:val="00CD6CDB"/>
    <w:rsid w:val="00CE00D0"/>
    <w:rsid w:val="00CE0775"/>
    <w:rsid w:val="00CE0F21"/>
    <w:rsid w:val="00CE172F"/>
    <w:rsid w:val="00CE1B6B"/>
    <w:rsid w:val="00CE1E9E"/>
    <w:rsid w:val="00CE2899"/>
    <w:rsid w:val="00CE2F8C"/>
    <w:rsid w:val="00CE3013"/>
    <w:rsid w:val="00CE3103"/>
    <w:rsid w:val="00CE327E"/>
    <w:rsid w:val="00CE35A8"/>
    <w:rsid w:val="00CE380C"/>
    <w:rsid w:val="00CE39EE"/>
    <w:rsid w:val="00CE4213"/>
    <w:rsid w:val="00CE463C"/>
    <w:rsid w:val="00CE4E95"/>
    <w:rsid w:val="00CE599E"/>
    <w:rsid w:val="00CE5AD2"/>
    <w:rsid w:val="00CE645C"/>
    <w:rsid w:val="00CE7215"/>
    <w:rsid w:val="00CE7E12"/>
    <w:rsid w:val="00CF011D"/>
    <w:rsid w:val="00CF17F2"/>
    <w:rsid w:val="00CF192C"/>
    <w:rsid w:val="00CF2C5A"/>
    <w:rsid w:val="00CF31A2"/>
    <w:rsid w:val="00CF31C1"/>
    <w:rsid w:val="00CF31D5"/>
    <w:rsid w:val="00CF33E3"/>
    <w:rsid w:val="00CF394E"/>
    <w:rsid w:val="00CF3A02"/>
    <w:rsid w:val="00CF3F87"/>
    <w:rsid w:val="00CF4E24"/>
    <w:rsid w:val="00CF55AB"/>
    <w:rsid w:val="00CF6586"/>
    <w:rsid w:val="00CF7796"/>
    <w:rsid w:val="00CF7BD7"/>
    <w:rsid w:val="00D001D3"/>
    <w:rsid w:val="00D00D70"/>
    <w:rsid w:val="00D01558"/>
    <w:rsid w:val="00D0161E"/>
    <w:rsid w:val="00D01795"/>
    <w:rsid w:val="00D01C69"/>
    <w:rsid w:val="00D01DA2"/>
    <w:rsid w:val="00D02072"/>
    <w:rsid w:val="00D0268B"/>
    <w:rsid w:val="00D03563"/>
    <w:rsid w:val="00D035DD"/>
    <w:rsid w:val="00D04D5C"/>
    <w:rsid w:val="00D052F0"/>
    <w:rsid w:val="00D05529"/>
    <w:rsid w:val="00D05D79"/>
    <w:rsid w:val="00D06154"/>
    <w:rsid w:val="00D0616F"/>
    <w:rsid w:val="00D06572"/>
    <w:rsid w:val="00D06A94"/>
    <w:rsid w:val="00D06B79"/>
    <w:rsid w:val="00D06EE5"/>
    <w:rsid w:val="00D06FD0"/>
    <w:rsid w:val="00D0705D"/>
    <w:rsid w:val="00D07A4F"/>
    <w:rsid w:val="00D07B43"/>
    <w:rsid w:val="00D07E16"/>
    <w:rsid w:val="00D10681"/>
    <w:rsid w:val="00D11544"/>
    <w:rsid w:val="00D11A07"/>
    <w:rsid w:val="00D11CA5"/>
    <w:rsid w:val="00D123D0"/>
    <w:rsid w:val="00D12BB1"/>
    <w:rsid w:val="00D131DA"/>
    <w:rsid w:val="00D1381A"/>
    <w:rsid w:val="00D139A7"/>
    <w:rsid w:val="00D13BD1"/>
    <w:rsid w:val="00D14270"/>
    <w:rsid w:val="00D145A6"/>
    <w:rsid w:val="00D14DF2"/>
    <w:rsid w:val="00D15797"/>
    <w:rsid w:val="00D16395"/>
    <w:rsid w:val="00D16CC9"/>
    <w:rsid w:val="00D16CF9"/>
    <w:rsid w:val="00D16F71"/>
    <w:rsid w:val="00D17C60"/>
    <w:rsid w:val="00D20302"/>
    <w:rsid w:val="00D21C5E"/>
    <w:rsid w:val="00D223DC"/>
    <w:rsid w:val="00D227AD"/>
    <w:rsid w:val="00D228ED"/>
    <w:rsid w:val="00D2295E"/>
    <w:rsid w:val="00D22CCF"/>
    <w:rsid w:val="00D23430"/>
    <w:rsid w:val="00D23E8C"/>
    <w:rsid w:val="00D24163"/>
    <w:rsid w:val="00D24A03"/>
    <w:rsid w:val="00D25267"/>
    <w:rsid w:val="00D25688"/>
    <w:rsid w:val="00D256FD"/>
    <w:rsid w:val="00D259E6"/>
    <w:rsid w:val="00D25D4D"/>
    <w:rsid w:val="00D2653A"/>
    <w:rsid w:val="00D26B7F"/>
    <w:rsid w:val="00D26CF2"/>
    <w:rsid w:val="00D273AA"/>
    <w:rsid w:val="00D3230B"/>
    <w:rsid w:val="00D3233F"/>
    <w:rsid w:val="00D32CFA"/>
    <w:rsid w:val="00D333B7"/>
    <w:rsid w:val="00D33973"/>
    <w:rsid w:val="00D33FCC"/>
    <w:rsid w:val="00D33FE5"/>
    <w:rsid w:val="00D34A42"/>
    <w:rsid w:val="00D34C76"/>
    <w:rsid w:val="00D35515"/>
    <w:rsid w:val="00D35EB9"/>
    <w:rsid w:val="00D3658F"/>
    <w:rsid w:val="00D36BC9"/>
    <w:rsid w:val="00D401DF"/>
    <w:rsid w:val="00D405A4"/>
    <w:rsid w:val="00D40D54"/>
    <w:rsid w:val="00D40F0A"/>
    <w:rsid w:val="00D418B2"/>
    <w:rsid w:val="00D420AF"/>
    <w:rsid w:val="00D4251C"/>
    <w:rsid w:val="00D438CD"/>
    <w:rsid w:val="00D43927"/>
    <w:rsid w:val="00D4397E"/>
    <w:rsid w:val="00D43BAA"/>
    <w:rsid w:val="00D43E83"/>
    <w:rsid w:val="00D44E15"/>
    <w:rsid w:val="00D454D5"/>
    <w:rsid w:val="00D459D1"/>
    <w:rsid w:val="00D46C3B"/>
    <w:rsid w:val="00D47CB0"/>
    <w:rsid w:val="00D47DE4"/>
    <w:rsid w:val="00D50051"/>
    <w:rsid w:val="00D50773"/>
    <w:rsid w:val="00D50927"/>
    <w:rsid w:val="00D50A08"/>
    <w:rsid w:val="00D50E06"/>
    <w:rsid w:val="00D513B5"/>
    <w:rsid w:val="00D515C5"/>
    <w:rsid w:val="00D51E8F"/>
    <w:rsid w:val="00D52123"/>
    <w:rsid w:val="00D521AA"/>
    <w:rsid w:val="00D54244"/>
    <w:rsid w:val="00D54478"/>
    <w:rsid w:val="00D54BF5"/>
    <w:rsid w:val="00D54C35"/>
    <w:rsid w:val="00D55D43"/>
    <w:rsid w:val="00D563D5"/>
    <w:rsid w:val="00D57C3F"/>
    <w:rsid w:val="00D57D6D"/>
    <w:rsid w:val="00D57EAB"/>
    <w:rsid w:val="00D60208"/>
    <w:rsid w:val="00D60281"/>
    <w:rsid w:val="00D614CB"/>
    <w:rsid w:val="00D61670"/>
    <w:rsid w:val="00D61FE6"/>
    <w:rsid w:val="00D62064"/>
    <w:rsid w:val="00D62160"/>
    <w:rsid w:val="00D6217D"/>
    <w:rsid w:val="00D62396"/>
    <w:rsid w:val="00D62B70"/>
    <w:rsid w:val="00D62E3F"/>
    <w:rsid w:val="00D63103"/>
    <w:rsid w:val="00D63793"/>
    <w:rsid w:val="00D6427D"/>
    <w:rsid w:val="00D642F5"/>
    <w:rsid w:val="00D643F3"/>
    <w:rsid w:val="00D649A3"/>
    <w:rsid w:val="00D64EDB"/>
    <w:rsid w:val="00D6527D"/>
    <w:rsid w:val="00D65429"/>
    <w:rsid w:val="00D65E35"/>
    <w:rsid w:val="00D6702C"/>
    <w:rsid w:val="00D676CF"/>
    <w:rsid w:val="00D704FF"/>
    <w:rsid w:val="00D70C63"/>
    <w:rsid w:val="00D718AB"/>
    <w:rsid w:val="00D720D6"/>
    <w:rsid w:val="00D72131"/>
    <w:rsid w:val="00D7291A"/>
    <w:rsid w:val="00D73084"/>
    <w:rsid w:val="00D7313D"/>
    <w:rsid w:val="00D7398B"/>
    <w:rsid w:val="00D74231"/>
    <w:rsid w:val="00D7445A"/>
    <w:rsid w:val="00D7470A"/>
    <w:rsid w:val="00D74744"/>
    <w:rsid w:val="00D74D67"/>
    <w:rsid w:val="00D74E71"/>
    <w:rsid w:val="00D74FFE"/>
    <w:rsid w:val="00D75085"/>
    <w:rsid w:val="00D7510B"/>
    <w:rsid w:val="00D7520D"/>
    <w:rsid w:val="00D75ADF"/>
    <w:rsid w:val="00D760DE"/>
    <w:rsid w:val="00D763C7"/>
    <w:rsid w:val="00D7649C"/>
    <w:rsid w:val="00D76522"/>
    <w:rsid w:val="00D7697E"/>
    <w:rsid w:val="00D77668"/>
    <w:rsid w:val="00D77CF9"/>
    <w:rsid w:val="00D8139D"/>
    <w:rsid w:val="00D8142C"/>
    <w:rsid w:val="00D82359"/>
    <w:rsid w:val="00D82C98"/>
    <w:rsid w:val="00D847F5"/>
    <w:rsid w:val="00D84830"/>
    <w:rsid w:val="00D85312"/>
    <w:rsid w:val="00D85717"/>
    <w:rsid w:val="00D859E7"/>
    <w:rsid w:val="00D8614B"/>
    <w:rsid w:val="00D86B96"/>
    <w:rsid w:val="00D8707C"/>
    <w:rsid w:val="00D874BF"/>
    <w:rsid w:val="00D87D1B"/>
    <w:rsid w:val="00D87E5E"/>
    <w:rsid w:val="00D90E61"/>
    <w:rsid w:val="00D91152"/>
    <w:rsid w:val="00D917B0"/>
    <w:rsid w:val="00D91A1F"/>
    <w:rsid w:val="00D9272C"/>
    <w:rsid w:val="00D92940"/>
    <w:rsid w:val="00D931F9"/>
    <w:rsid w:val="00D932B9"/>
    <w:rsid w:val="00D9348D"/>
    <w:rsid w:val="00D93761"/>
    <w:rsid w:val="00D937C5"/>
    <w:rsid w:val="00D938D9"/>
    <w:rsid w:val="00D938E7"/>
    <w:rsid w:val="00D940C6"/>
    <w:rsid w:val="00D94F95"/>
    <w:rsid w:val="00D96787"/>
    <w:rsid w:val="00D97065"/>
    <w:rsid w:val="00D9714B"/>
    <w:rsid w:val="00D97F4F"/>
    <w:rsid w:val="00DA0A32"/>
    <w:rsid w:val="00DA10BD"/>
    <w:rsid w:val="00DA1415"/>
    <w:rsid w:val="00DA1D11"/>
    <w:rsid w:val="00DA21E1"/>
    <w:rsid w:val="00DA3202"/>
    <w:rsid w:val="00DA3439"/>
    <w:rsid w:val="00DA3A2D"/>
    <w:rsid w:val="00DA3A62"/>
    <w:rsid w:val="00DA3D56"/>
    <w:rsid w:val="00DA43BE"/>
    <w:rsid w:val="00DA50BE"/>
    <w:rsid w:val="00DA58E3"/>
    <w:rsid w:val="00DA62C5"/>
    <w:rsid w:val="00DA6A46"/>
    <w:rsid w:val="00DA6BEC"/>
    <w:rsid w:val="00DA6F14"/>
    <w:rsid w:val="00DA7ABF"/>
    <w:rsid w:val="00DB03ED"/>
    <w:rsid w:val="00DB0D5E"/>
    <w:rsid w:val="00DB14E7"/>
    <w:rsid w:val="00DB2882"/>
    <w:rsid w:val="00DB35BA"/>
    <w:rsid w:val="00DB35BC"/>
    <w:rsid w:val="00DB39A9"/>
    <w:rsid w:val="00DB3FF7"/>
    <w:rsid w:val="00DB4361"/>
    <w:rsid w:val="00DB5BFA"/>
    <w:rsid w:val="00DB5F23"/>
    <w:rsid w:val="00DB643B"/>
    <w:rsid w:val="00DB65AF"/>
    <w:rsid w:val="00DB7E97"/>
    <w:rsid w:val="00DC1350"/>
    <w:rsid w:val="00DC1EBB"/>
    <w:rsid w:val="00DC1FA1"/>
    <w:rsid w:val="00DC26C6"/>
    <w:rsid w:val="00DC3C65"/>
    <w:rsid w:val="00DC3D2F"/>
    <w:rsid w:val="00DC3D7E"/>
    <w:rsid w:val="00DC419C"/>
    <w:rsid w:val="00DC46EC"/>
    <w:rsid w:val="00DC4783"/>
    <w:rsid w:val="00DC4F1D"/>
    <w:rsid w:val="00DC54E9"/>
    <w:rsid w:val="00DC5ADD"/>
    <w:rsid w:val="00DC676E"/>
    <w:rsid w:val="00DC6814"/>
    <w:rsid w:val="00DC6887"/>
    <w:rsid w:val="00DC6B8D"/>
    <w:rsid w:val="00DC7177"/>
    <w:rsid w:val="00DD002B"/>
    <w:rsid w:val="00DD0CDA"/>
    <w:rsid w:val="00DD0FE8"/>
    <w:rsid w:val="00DD1881"/>
    <w:rsid w:val="00DD1BEC"/>
    <w:rsid w:val="00DD21A2"/>
    <w:rsid w:val="00DD254D"/>
    <w:rsid w:val="00DD261B"/>
    <w:rsid w:val="00DD2A14"/>
    <w:rsid w:val="00DD3846"/>
    <w:rsid w:val="00DD397D"/>
    <w:rsid w:val="00DD4888"/>
    <w:rsid w:val="00DD4FF6"/>
    <w:rsid w:val="00DD5323"/>
    <w:rsid w:val="00DD588A"/>
    <w:rsid w:val="00DD59D0"/>
    <w:rsid w:val="00DD6C5F"/>
    <w:rsid w:val="00DD6CBB"/>
    <w:rsid w:val="00DD6D24"/>
    <w:rsid w:val="00DD758F"/>
    <w:rsid w:val="00DD7702"/>
    <w:rsid w:val="00DE07B8"/>
    <w:rsid w:val="00DE0901"/>
    <w:rsid w:val="00DE09D1"/>
    <w:rsid w:val="00DE0DA5"/>
    <w:rsid w:val="00DE1BAD"/>
    <w:rsid w:val="00DE1EF3"/>
    <w:rsid w:val="00DE2284"/>
    <w:rsid w:val="00DE23DA"/>
    <w:rsid w:val="00DE24D2"/>
    <w:rsid w:val="00DE2D01"/>
    <w:rsid w:val="00DE3625"/>
    <w:rsid w:val="00DE370E"/>
    <w:rsid w:val="00DE3A0F"/>
    <w:rsid w:val="00DE3C03"/>
    <w:rsid w:val="00DE3E96"/>
    <w:rsid w:val="00DE4362"/>
    <w:rsid w:val="00DE46D2"/>
    <w:rsid w:val="00DE4DE9"/>
    <w:rsid w:val="00DE5D94"/>
    <w:rsid w:val="00DE63B9"/>
    <w:rsid w:val="00DE64B9"/>
    <w:rsid w:val="00DE692F"/>
    <w:rsid w:val="00DE725E"/>
    <w:rsid w:val="00DE7465"/>
    <w:rsid w:val="00DE79D1"/>
    <w:rsid w:val="00DE7DA6"/>
    <w:rsid w:val="00DE7E63"/>
    <w:rsid w:val="00DF05F1"/>
    <w:rsid w:val="00DF0FFB"/>
    <w:rsid w:val="00DF2252"/>
    <w:rsid w:val="00DF2613"/>
    <w:rsid w:val="00DF3197"/>
    <w:rsid w:val="00DF3C99"/>
    <w:rsid w:val="00DF3F6E"/>
    <w:rsid w:val="00DF4A24"/>
    <w:rsid w:val="00DF4DB3"/>
    <w:rsid w:val="00DF5E4F"/>
    <w:rsid w:val="00DF61D7"/>
    <w:rsid w:val="00DF6968"/>
    <w:rsid w:val="00DF6AC7"/>
    <w:rsid w:val="00DF735C"/>
    <w:rsid w:val="00DF746C"/>
    <w:rsid w:val="00DF7785"/>
    <w:rsid w:val="00DF7A96"/>
    <w:rsid w:val="00DF7BF0"/>
    <w:rsid w:val="00E006EB"/>
    <w:rsid w:val="00E00F39"/>
    <w:rsid w:val="00E01759"/>
    <w:rsid w:val="00E03499"/>
    <w:rsid w:val="00E035C1"/>
    <w:rsid w:val="00E038CC"/>
    <w:rsid w:val="00E03B40"/>
    <w:rsid w:val="00E0487B"/>
    <w:rsid w:val="00E057C4"/>
    <w:rsid w:val="00E06166"/>
    <w:rsid w:val="00E06C60"/>
    <w:rsid w:val="00E07021"/>
    <w:rsid w:val="00E07BFF"/>
    <w:rsid w:val="00E100E5"/>
    <w:rsid w:val="00E10999"/>
    <w:rsid w:val="00E10A5F"/>
    <w:rsid w:val="00E10B4F"/>
    <w:rsid w:val="00E1274E"/>
    <w:rsid w:val="00E12E4A"/>
    <w:rsid w:val="00E130FC"/>
    <w:rsid w:val="00E13BFD"/>
    <w:rsid w:val="00E13CAA"/>
    <w:rsid w:val="00E14715"/>
    <w:rsid w:val="00E148F7"/>
    <w:rsid w:val="00E154DB"/>
    <w:rsid w:val="00E1613F"/>
    <w:rsid w:val="00E170E2"/>
    <w:rsid w:val="00E170FA"/>
    <w:rsid w:val="00E173F6"/>
    <w:rsid w:val="00E17FBE"/>
    <w:rsid w:val="00E20C07"/>
    <w:rsid w:val="00E21161"/>
    <w:rsid w:val="00E21674"/>
    <w:rsid w:val="00E21B55"/>
    <w:rsid w:val="00E21E00"/>
    <w:rsid w:val="00E21FB3"/>
    <w:rsid w:val="00E223E9"/>
    <w:rsid w:val="00E22834"/>
    <w:rsid w:val="00E23158"/>
    <w:rsid w:val="00E232DA"/>
    <w:rsid w:val="00E244EB"/>
    <w:rsid w:val="00E252E2"/>
    <w:rsid w:val="00E259E0"/>
    <w:rsid w:val="00E26010"/>
    <w:rsid w:val="00E26BC7"/>
    <w:rsid w:val="00E26C92"/>
    <w:rsid w:val="00E26E4B"/>
    <w:rsid w:val="00E27124"/>
    <w:rsid w:val="00E27959"/>
    <w:rsid w:val="00E27E85"/>
    <w:rsid w:val="00E27ED0"/>
    <w:rsid w:val="00E3079A"/>
    <w:rsid w:val="00E30B8C"/>
    <w:rsid w:val="00E314B5"/>
    <w:rsid w:val="00E31549"/>
    <w:rsid w:val="00E31A97"/>
    <w:rsid w:val="00E321F9"/>
    <w:rsid w:val="00E323EC"/>
    <w:rsid w:val="00E328D5"/>
    <w:rsid w:val="00E3312A"/>
    <w:rsid w:val="00E34359"/>
    <w:rsid w:val="00E34959"/>
    <w:rsid w:val="00E3546E"/>
    <w:rsid w:val="00E361EA"/>
    <w:rsid w:val="00E367AF"/>
    <w:rsid w:val="00E3711D"/>
    <w:rsid w:val="00E3730F"/>
    <w:rsid w:val="00E40231"/>
    <w:rsid w:val="00E407C1"/>
    <w:rsid w:val="00E409D1"/>
    <w:rsid w:val="00E416F5"/>
    <w:rsid w:val="00E42680"/>
    <w:rsid w:val="00E42A0B"/>
    <w:rsid w:val="00E42CEE"/>
    <w:rsid w:val="00E4368B"/>
    <w:rsid w:val="00E43B8E"/>
    <w:rsid w:val="00E43CF1"/>
    <w:rsid w:val="00E44797"/>
    <w:rsid w:val="00E447BA"/>
    <w:rsid w:val="00E448D7"/>
    <w:rsid w:val="00E44C81"/>
    <w:rsid w:val="00E44CF4"/>
    <w:rsid w:val="00E44DC9"/>
    <w:rsid w:val="00E45550"/>
    <w:rsid w:val="00E458CB"/>
    <w:rsid w:val="00E4597E"/>
    <w:rsid w:val="00E45D80"/>
    <w:rsid w:val="00E46280"/>
    <w:rsid w:val="00E5059B"/>
    <w:rsid w:val="00E50F6B"/>
    <w:rsid w:val="00E513AC"/>
    <w:rsid w:val="00E513D2"/>
    <w:rsid w:val="00E51902"/>
    <w:rsid w:val="00E522AE"/>
    <w:rsid w:val="00E52680"/>
    <w:rsid w:val="00E52821"/>
    <w:rsid w:val="00E5317D"/>
    <w:rsid w:val="00E535D9"/>
    <w:rsid w:val="00E53AE6"/>
    <w:rsid w:val="00E54460"/>
    <w:rsid w:val="00E547D7"/>
    <w:rsid w:val="00E5484E"/>
    <w:rsid w:val="00E54C0D"/>
    <w:rsid w:val="00E5661C"/>
    <w:rsid w:val="00E573FB"/>
    <w:rsid w:val="00E5756D"/>
    <w:rsid w:val="00E5768A"/>
    <w:rsid w:val="00E578A8"/>
    <w:rsid w:val="00E61695"/>
    <w:rsid w:val="00E61BB2"/>
    <w:rsid w:val="00E61F80"/>
    <w:rsid w:val="00E62392"/>
    <w:rsid w:val="00E627AE"/>
    <w:rsid w:val="00E62F8E"/>
    <w:rsid w:val="00E63848"/>
    <w:rsid w:val="00E63E24"/>
    <w:rsid w:val="00E64375"/>
    <w:rsid w:val="00E64422"/>
    <w:rsid w:val="00E644D5"/>
    <w:rsid w:val="00E6590D"/>
    <w:rsid w:val="00E65E6F"/>
    <w:rsid w:val="00E66983"/>
    <w:rsid w:val="00E66DE5"/>
    <w:rsid w:val="00E67692"/>
    <w:rsid w:val="00E67760"/>
    <w:rsid w:val="00E67A23"/>
    <w:rsid w:val="00E7019C"/>
    <w:rsid w:val="00E70A1D"/>
    <w:rsid w:val="00E710A1"/>
    <w:rsid w:val="00E720C2"/>
    <w:rsid w:val="00E723E7"/>
    <w:rsid w:val="00E72404"/>
    <w:rsid w:val="00E732CB"/>
    <w:rsid w:val="00E73BE9"/>
    <w:rsid w:val="00E7418B"/>
    <w:rsid w:val="00E746E9"/>
    <w:rsid w:val="00E74F6A"/>
    <w:rsid w:val="00E75432"/>
    <w:rsid w:val="00E75DB2"/>
    <w:rsid w:val="00E7623E"/>
    <w:rsid w:val="00E7645B"/>
    <w:rsid w:val="00E76ECA"/>
    <w:rsid w:val="00E77B5C"/>
    <w:rsid w:val="00E8007A"/>
    <w:rsid w:val="00E8159F"/>
    <w:rsid w:val="00E817CA"/>
    <w:rsid w:val="00E81AAA"/>
    <w:rsid w:val="00E82377"/>
    <w:rsid w:val="00E82643"/>
    <w:rsid w:val="00E827CA"/>
    <w:rsid w:val="00E82D15"/>
    <w:rsid w:val="00E82ECF"/>
    <w:rsid w:val="00E832B8"/>
    <w:rsid w:val="00E834F3"/>
    <w:rsid w:val="00E8396D"/>
    <w:rsid w:val="00E83D7D"/>
    <w:rsid w:val="00E84146"/>
    <w:rsid w:val="00E84FAA"/>
    <w:rsid w:val="00E85A42"/>
    <w:rsid w:val="00E85D96"/>
    <w:rsid w:val="00E861A0"/>
    <w:rsid w:val="00E86886"/>
    <w:rsid w:val="00E86D12"/>
    <w:rsid w:val="00E86E21"/>
    <w:rsid w:val="00E87BEF"/>
    <w:rsid w:val="00E87D5D"/>
    <w:rsid w:val="00E90531"/>
    <w:rsid w:val="00E91286"/>
    <w:rsid w:val="00E913C2"/>
    <w:rsid w:val="00E91EFA"/>
    <w:rsid w:val="00E928C1"/>
    <w:rsid w:val="00E9322F"/>
    <w:rsid w:val="00E93D5D"/>
    <w:rsid w:val="00E93E3B"/>
    <w:rsid w:val="00E9406A"/>
    <w:rsid w:val="00E94BE1"/>
    <w:rsid w:val="00E950A2"/>
    <w:rsid w:val="00E95117"/>
    <w:rsid w:val="00E95C92"/>
    <w:rsid w:val="00E965D6"/>
    <w:rsid w:val="00E975C4"/>
    <w:rsid w:val="00E97633"/>
    <w:rsid w:val="00E97C63"/>
    <w:rsid w:val="00E97FE4"/>
    <w:rsid w:val="00EA0940"/>
    <w:rsid w:val="00EA11AE"/>
    <w:rsid w:val="00EA15D3"/>
    <w:rsid w:val="00EA1C42"/>
    <w:rsid w:val="00EA2964"/>
    <w:rsid w:val="00EA2A12"/>
    <w:rsid w:val="00EA334A"/>
    <w:rsid w:val="00EA3811"/>
    <w:rsid w:val="00EA38CB"/>
    <w:rsid w:val="00EA3B01"/>
    <w:rsid w:val="00EA3D2F"/>
    <w:rsid w:val="00EA415E"/>
    <w:rsid w:val="00EA46F8"/>
    <w:rsid w:val="00EA4A48"/>
    <w:rsid w:val="00EA6DB4"/>
    <w:rsid w:val="00EA6E13"/>
    <w:rsid w:val="00EA6EF2"/>
    <w:rsid w:val="00EB0477"/>
    <w:rsid w:val="00EB15E2"/>
    <w:rsid w:val="00EB19D5"/>
    <w:rsid w:val="00EB1A59"/>
    <w:rsid w:val="00EB2B06"/>
    <w:rsid w:val="00EB2BF2"/>
    <w:rsid w:val="00EB303A"/>
    <w:rsid w:val="00EB326D"/>
    <w:rsid w:val="00EB43F2"/>
    <w:rsid w:val="00EB475D"/>
    <w:rsid w:val="00EB4DF8"/>
    <w:rsid w:val="00EB4E4B"/>
    <w:rsid w:val="00EB5B0B"/>
    <w:rsid w:val="00EB5B9B"/>
    <w:rsid w:val="00EB63D8"/>
    <w:rsid w:val="00EB68F2"/>
    <w:rsid w:val="00EB6D06"/>
    <w:rsid w:val="00EB70F7"/>
    <w:rsid w:val="00EB73C9"/>
    <w:rsid w:val="00EB7449"/>
    <w:rsid w:val="00EB77E4"/>
    <w:rsid w:val="00EC011F"/>
    <w:rsid w:val="00EC0836"/>
    <w:rsid w:val="00EC26A0"/>
    <w:rsid w:val="00EC285D"/>
    <w:rsid w:val="00EC2C2B"/>
    <w:rsid w:val="00EC35D4"/>
    <w:rsid w:val="00EC3AEA"/>
    <w:rsid w:val="00EC47B2"/>
    <w:rsid w:val="00EC60F1"/>
    <w:rsid w:val="00EC7365"/>
    <w:rsid w:val="00EC75F5"/>
    <w:rsid w:val="00ED08EC"/>
    <w:rsid w:val="00ED0D85"/>
    <w:rsid w:val="00ED1455"/>
    <w:rsid w:val="00ED1ED0"/>
    <w:rsid w:val="00ED29F4"/>
    <w:rsid w:val="00ED2AC7"/>
    <w:rsid w:val="00ED2B58"/>
    <w:rsid w:val="00ED2FF8"/>
    <w:rsid w:val="00ED313B"/>
    <w:rsid w:val="00ED32FF"/>
    <w:rsid w:val="00ED395E"/>
    <w:rsid w:val="00ED3CD7"/>
    <w:rsid w:val="00ED408E"/>
    <w:rsid w:val="00ED4199"/>
    <w:rsid w:val="00ED5500"/>
    <w:rsid w:val="00ED55DF"/>
    <w:rsid w:val="00ED5DFC"/>
    <w:rsid w:val="00ED6ED1"/>
    <w:rsid w:val="00ED700B"/>
    <w:rsid w:val="00ED73A8"/>
    <w:rsid w:val="00ED7627"/>
    <w:rsid w:val="00ED78F2"/>
    <w:rsid w:val="00ED7CF1"/>
    <w:rsid w:val="00EE003C"/>
    <w:rsid w:val="00EE00E0"/>
    <w:rsid w:val="00EE0128"/>
    <w:rsid w:val="00EE0654"/>
    <w:rsid w:val="00EE07A9"/>
    <w:rsid w:val="00EE0DB0"/>
    <w:rsid w:val="00EE0F0A"/>
    <w:rsid w:val="00EE1678"/>
    <w:rsid w:val="00EE1D1A"/>
    <w:rsid w:val="00EE2D1D"/>
    <w:rsid w:val="00EE38CD"/>
    <w:rsid w:val="00EE3C74"/>
    <w:rsid w:val="00EE3C94"/>
    <w:rsid w:val="00EE54EE"/>
    <w:rsid w:val="00EE7980"/>
    <w:rsid w:val="00EF01BE"/>
    <w:rsid w:val="00EF10C5"/>
    <w:rsid w:val="00EF264C"/>
    <w:rsid w:val="00EF3190"/>
    <w:rsid w:val="00EF32EB"/>
    <w:rsid w:val="00EF3462"/>
    <w:rsid w:val="00EF3CC9"/>
    <w:rsid w:val="00EF59B2"/>
    <w:rsid w:val="00EF59CB"/>
    <w:rsid w:val="00EF5E32"/>
    <w:rsid w:val="00EF648E"/>
    <w:rsid w:val="00EF6509"/>
    <w:rsid w:val="00EF6579"/>
    <w:rsid w:val="00EF6C0B"/>
    <w:rsid w:val="00EF7A63"/>
    <w:rsid w:val="00EF7BE1"/>
    <w:rsid w:val="00EF7EE1"/>
    <w:rsid w:val="00F0006F"/>
    <w:rsid w:val="00F00DE0"/>
    <w:rsid w:val="00F019C4"/>
    <w:rsid w:val="00F026A0"/>
    <w:rsid w:val="00F02F2E"/>
    <w:rsid w:val="00F039B8"/>
    <w:rsid w:val="00F04CED"/>
    <w:rsid w:val="00F04EAC"/>
    <w:rsid w:val="00F05D7C"/>
    <w:rsid w:val="00F060F9"/>
    <w:rsid w:val="00F063A6"/>
    <w:rsid w:val="00F0661C"/>
    <w:rsid w:val="00F06B7A"/>
    <w:rsid w:val="00F06BF0"/>
    <w:rsid w:val="00F06DEB"/>
    <w:rsid w:val="00F06FDB"/>
    <w:rsid w:val="00F07558"/>
    <w:rsid w:val="00F0758C"/>
    <w:rsid w:val="00F0762D"/>
    <w:rsid w:val="00F076B6"/>
    <w:rsid w:val="00F10391"/>
    <w:rsid w:val="00F10F32"/>
    <w:rsid w:val="00F10FA6"/>
    <w:rsid w:val="00F112AE"/>
    <w:rsid w:val="00F12200"/>
    <w:rsid w:val="00F1233B"/>
    <w:rsid w:val="00F12431"/>
    <w:rsid w:val="00F12FE6"/>
    <w:rsid w:val="00F1307B"/>
    <w:rsid w:val="00F137C8"/>
    <w:rsid w:val="00F142A7"/>
    <w:rsid w:val="00F14800"/>
    <w:rsid w:val="00F149CD"/>
    <w:rsid w:val="00F14C41"/>
    <w:rsid w:val="00F1502F"/>
    <w:rsid w:val="00F15095"/>
    <w:rsid w:val="00F15D9E"/>
    <w:rsid w:val="00F16356"/>
    <w:rsid w:val="00F1645A"/>
    <w:rsid w:val="00F1675C"/>
    <w:rsid w:val="00F168E0"/>
    <w:rsid w:val="00F169B5"/>
    <w:rsid w:val="00F16E36"/>
    <w:rsid w:val="00F17715"/>
    <w:rsid w:val="00F200F6"/>
    <w:rsid w:val="00F2081F"/>
    <w:rsid w:val="00F20A99"/>
    <w:rsid w:val="00F216FB"/>
    <w:rsid w:val="00F2209A"/>
    <w:rsid w:val="00F22131"/>
    <w:rsid w:val="00F22834"/>
    <w:rsid w:val="00F23012"/>
    <w:rsid w:val="00F231DA"/>
    <w:rsid w:val="00F23C07"/>
    <w:rsid w:val="00F23C22"/>
    <w:rsid w:val="00F23CF9"/>
    <w:rsid w:val="00F2410A"/>
    <w:rsid w:val="00F24404"/>
    <w:rsid w:val="00F2474C"/>
    <w:rsid w:val="00F24869"/>
    <w:rsid w:val="00F24BF8"/>
    <w:rsid w:val="00F24EE3"/>
    <w:rsid w:val="00F2536F"/>
    <w:rsid w:val="00F2586F"/>
    <w:rsid w:val="00F259D1"/>
    <w:rsid w:val="00F25D83"/>
    <w:rsid w:val="00F262C6"/>
    <w:rsid w:val="00F2630E"/>
    <w:rsid w:val="00F2643E"/>
    <w:rsid w:val="00F26487"/>
    <w:rsid w:val="00F27162"/>
    <w:rsid w:val="00F27A82"/>
    <w:rsid w:val="00F302E7"/>
    <w:rsid w:val="00F303E4"/>
    <w:rsid w:val="00F30412"/>
    <w:rsid w:val="00F30D4F"/>
    <w:rsid w:val="00F311C1"/>
    <w:rsid w:val="00F3129A"/>
    <w:rsid w:val="00F31838"/>
    <w:rsid w:val="00F31A60"/>
    <w:rsid w:val="00F31D57"/>
    <w:rsid w:val="00F31DB5"/>
    <w:rsid w:val="00F31F5C"/>
    <w:rsid w:val="00F32677"/>
    <w:rsid w:val="00F32979"/>
    <w:rsid w:val="00F34156"/>
    <w:rsid w:val="00F34CA6"/>
    <w:rsid w:val="00F35362"/>
    <w:rsid w:val="00F358C7"/>
    <w:rsid w:val="00F36C2F"/>
    <w:rsid w:val="00F37B5D"/>
    <w:rsid w:val="00F40C43"/>
    <w:rsid w:val="00F40ECF"/>
    <w:rsid w:val="00F40F26"/>
    <w:rsid w:val="00F4198F"/>
    <w:rsid w:val="00F41B00"/>
    <w:rsid w:val="00F42849"/>
    <w:rsid w:val="00F4289C"/>
    <w:rsid w:val="00F42ACA"/>
    <w:rsid w:val="00F42F01"/>
    <w:rsid w:val="00F4312E"/>
    <w:rsid w:val="00F43426"/>
    <w:rsid w:val="00F44E12"/>
    <w:rsid w:val="00F45D07"/>
    <w:rsid w:val="00F46EAF"/>
    <w:rsid w:val="00F474FA"/>
    <w:rsid w:val="00F503F2"/>
    <w:rsid w:val="00F50791"/>
    <w:rsid w:val="00F50B1D"/>
    <w:rsid w:val="00F50D4E"/>
    <w:rsid w:val="00F52197"/>
    <w:rsid w:val="00F52747"/>
    <w:rsid w:val="00F52D15"/>
    <w:rsid w:val="00F539AD"/>
    <w:rsid w:val="00F53CD6"/>
    <w:rsid w:val="00F54497"/>
    <w:rsid w:val="00F559AD"/>
    <w:rsid w:val="00F5605D"/>
    <w:rsid w:val="00F5651A"/>
    <w:rsid w:val="00F56BCD"/>
    <w:rsid w:val="00F579AB"/>
    <w:rsid w:val="00F601D6"/>
    <w:rsid w:val="00F60A83"/>
    <w:rsid w:val="00F60AFB"/>
    <w:rsid w:val="00F60C3D"/>
    <w:rsid w:val="00F61296"/>
    <w:rsid w:val="00F6153F"/>
    <w:rsid w:val="00F61D10"/>
    <w:rsid w:val="00F61E40"/>
    <w:rsid w:val="00F63C0D"/>
    <w:rsid w:val="00F64492"/>
    <w:rsid w:val="00F645B6"/>
    <w:rsid w:val="00F6497E"/>
    <w:rsid w:val="00F64EA7"/>
    <w:rsid w:val="00F64F46"/>
    <w:rsid w:val="00F6628A"/>
    <w:rsid w:val="00F66535"/>
    <w:rsid w:val="00F6716C"/>
    <w:rsid w:val="00F67352"/>
    <w:rsid w:val="00F701B5"/>
    <w:rsid w:val="00F70A4C"/>
    <w:rsid w:val="00F713C4"/>
    <w:rsid w:val="00F714CF"/>
    <w:rsid w:val="00F716F2"/>
    <w:rsid w:val="00F71785"/>
    <w:rsid w:val="00F71B83"/>
    <w:rsid w:val="00F7269C"/>
    <w:rsid w:val="00F72DBB"/>
    <w:rsid w:val="00F72F28"/>
    <w:rsid w:val="00F7332F"/>
    <w:rsid w:val="00F73D95"/>
    <w:rsid w:val="00F73E65"/>
    <w:rsid w:val="00F74C54"/>
    <w:rsid w:val="00F7524E"/>
    <w:rsid w:val="00F75373"/>
    <w:rsid w:val="00F75883"/>
    <w:rsid w:val="00F77637"/>
    <w:rsid w:val="00F77669"/>
    <w:rsid w:val="00F80394"/>
    <w:rsid w:val="00F8074D"/>
    <w:rsid w:val="00F81077"/>
    <w:rsid w:val="00F8162C"/>
    <w:rsid w:val="00F826E8"/>
    <w:rsid w:val="00F829BA"/>
    <w:rsid w:val="00F82E76"/>
    <w:rsid w:val="00F8302E"/>
    <w:rsid w:val="00F83080"/>
    <w:rsid w:val="00F841D1"/>
    <w:rsid w:val="00F843BF"/>
    <w:rsid w:val="00F84C62"/>
    <w:rsid w:val="00F84DC9"/>
    <w:rsid w:val="00F853CD"/>
    <w:rsid w:val="00F8574F"/>
    <w:rsid w:val="00F8588C"/>
    <w:rsid w:val="00F85981"/>
    <w:rsid w:val="00F85C41"/>
    <w:rsid w:val="00F8613A"/>
    <w:rsid w:val="00F866C4"/>
    <w:rsid w:val="00F86F05"/>
    <w:rsid w:val="00F87ED1"/>
    <w:rsid w:val="00F90B3C"/>
    <w:rsid w:val="00F913AA"/>
    <w:rsid w:val="00F91A45"/>
    <w:rsid w:val="00F92738"/>
    <w:rsid w:val="00F92EF3"/>
    <w:rsid w:val="00F93515"/>
    <w:rsid w:val="00F93664"/>
    <w:rsid w:val="00F94381"/>
    <w:rsid w:val="00F95770"/>
    <w:rsid w:val="00F95A03"/>
    <w:rsid w:val="00F95FF9"/>
    <w:rsid w:val="00F965EB"/>
    <w:rsid w:val="00F966E8"/>
    <w:rsid w:val="00F96B34"/>
    <w:rsid w:val="00F96B67"/>
    <w:rsid w:val="00F978FC"/>
    <w:rsid w:val="00F9798C"/>
    <w:rsid w:val="00FA04EF"/>
    <w:rsid w:val="00FA0566"/>
    <w:rsid w:val="00FA0911"/>
    <w:rsid w:val="00FA0B02"/>
    <w:rsid w:val="00FA12E7"/>
    <w:rsid w:val="00FA1CF2"/>
    <w:rsid w:val="00FA258F"/>
    <w:rsid w:val="00FA289A"/>
    <w:rsid w:val="00FA2CB5"/>
    <w:rsid w:val="00FA302F"/>
    <w:rsid w:val="00FA3136"/>
    <w:rsid w:val="00FA327D"/>
    <w:rsid w:val="00FA36C6"/>
    <w:rsid w:val="00FA3B02"/>
    <w:rsid w:val="00FA5418"/>
    <w:rsid w:val="00FA55F1"/>
    <w:rsid w:val="00FA5C4D"/>
    <w:rsid w:val="00FA5CFE"/>
    <w:rsid w:val="00FA6071"/>
    <w:rsid w:val="00FA626E"/>
    <w:rsid w:val="00FA7A79"/>
    <w:rsid w:val="00FB0130"/>
    <w:rsid w:val="00FB067C"/>
    <w:rsid w:val="00FB06E8"/>
    <w:rsid w:val="00FB0D05"/>
    <w:rsid w:val="00FB0D20"/>
    <w:rsid w:val="00FB13E2"/>
    <w:rsid w:val="00FB1BDD"/>
    <w:rsid w:val="00FB2A85"/>
    <w:rsid w:val="00FB2C27"/>
    <w:rsid w:val="00FB2D23"/>
    <w:rsid w:val="00FB3154"/>
    <w:rsid w:val="00FB37B4"/>
    <w:rsid w:val="00FB3CB9"/>
    <w:rsid w:val="00FB4AA1"/>
    <w:rsid w:val="00FB4D9D"/>
    <w:rsid w:val="00FB4DED"/>
    <w:rsid w:val="00FB5B43"/>
    <w:rsid w:val="00FB5CDC"/>
    <w:rsid w:val="00FB6233"/>
    <w:rsid w:val="00FB7BFC"/>
    <w:rsid w:val="00FC00F0"/>
    <w:rsid w:val="00FC01B8"/>
    <w:rsid w:val="00FC0271"/>
    <w:rsid w:val="00FC0B99"/>
    <w:rsid w:val="00FC0D49"/>
    <w:rsid w:val="00FC203A"/>
    <w:rsid w:val="00FC2652"/>
    <w:rsid w:val="00FC28CC"/>
    <w:rsid w:val="00FC2CC6"/>
    <w:rsid w:val="00FC2FFE"/>
    <w:rsid w:val="00FC357B"/>
    <w:rsid w:val="00FC3C2A"/>
    <w:rsid w:val="00FC3E3F"/>
    <w:rsid w:val="00FC4646"/>
    <w:rsid w:val="00FC4B4B"/>
    <w:rsid w:val="00FC50D4"/>
    <w:rsid w:val="00FC69DB"/>
    <w:rsid w:val="00FC6E5C"/>
    <w:rsid w:val="00FC7C59"/>
    <w:rsid w:val="00FD0561"/>
    <w:rsid w:val="00FD0BA7"/>
    <w:rsid w:val="00FD0F32"/>
    <w:rsid w:val="00FD10C8"/>
    <w:rsid w:val="00FD1202"/>
    <w:rsid w:val="00FD1596"/>
    <w:rsid w:val="00FD1C58"/>
    <w:rsid w:val="00FD219F"/>
    <w:rsid w:val="00FD27FE"/>
    <w:rsid w:val="00FD2FCB"/>
    <w:rsid w:val="00FD3604"/>
    <w:rsid w:val="00FD365A"/>
    <w:rsid w:val="00FD3B28"/>
    <w:rsid w:val="00FD4024"/>
    <w:rsid w:val="00FD47C1"/>
    <w:rsid w:val="00FD4AD6"/>
    <w:rsid w:val="00FD50F8"/>
    <w:rsid w:val="00FD60BD"/>
    <w:rsid w:val="00FD6CA0"/>
    <w:rsid w:val="00FD7595"/>
    <w:rsid w:val="00FD7628"/>
    <w:rsid w:val="00FD78EE"/>
    <w:rsid w:val="00FD7A31"/>
    <w:rsid w:val="00FE0E14"/>
    <w:rsid w:val="00FE199D"/>
    <w:rsid w:val="00FE1D83"/>
    <w:rsid w:val="00FE2848"/>
    <w:rsid w:val="00FE2B40"/>
    <w:rsid w:val="00FE3837"/>
    <w:rsid w:val="00FE38E1"/>
    <w:rsid w:val="00FE3916"/>
    <w:rsid w:val="00FE4D25"/>
    <w:rsid w:val="00FE5AFD"/>
    <w:rsid w:val="00FE5D2D"/>
    <w:rsid w:val="00FE6B5B"/>
    <w:rsid w:val="00FE6B94"/>
    <w:rsid w:val="00FE7414"/>
    <w:rsid w:val="00FE741D"/>
    <w:rsid w:val="00FE7A9B"/>
    <w:rsid w:val="00FF03AB"/>
    <w:rsid w:val="00FF0AE5"/>
    <w:rsid w:val="00FF0E00"/>
    <w:rsid w:val="00FF1878"/>
    <w:rsid w:val="00FF2D44"/>
    <w:rsid w:val="00FF2F06"/>
    <w:rsid w:val="00FF2F79"/>
    <w:rsid w:val="00FF315C"/>
    <w:rsid w:val="00FF3245"/>
    <w:rsid w:val="00FF3B77"/>
    <w:rsid w:val="00FF3DF8"/>
    <w:rsid w:val="00FF41F5"/>
    <w:rsid w:val="00FF45DE"/>
    <w:rsid w:val="00FF4D63"/>
    <w:rsid w:val="00FF5306"/>
    <w:rsid w:val="00FF5F0C"/>
    <w:rsid w:val="00FF6565"/>
    <w:rsid w:val="00FF6591"/>
    <w:rsid w:val="00FF7A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6D623"/>
  <w14:defaultImageDpi w14:val="32767"/>
  <w15:chartTrackingRefBased/>
  <w15:docId w15:val="{BF7DF555-3420-48C5-9938-CDD69311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B69"/>
    <w:pPr>
      <w:spacing w:before="120" w:after="120" w:line="264" w:lineRule="auto"/>
    </w:pPr>
  </w:style>
  <w:style w:type="paragraph" w:styleId="Heading1">
    <w:name w:val="heading 1"/>
    <w:basedOn w:val="Normal"/>
    <w:next w:val="Normal"/>
    <w:link w:val="Heading1Char"/>
    <w:uiPriority w:val="9"/>
    <w:qFormat/>
    <w:rsid w:val="00DD7702"/>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EA6E13"/>
    <w:pPr>
      <w:keepNext/>
      <w:keepLines/>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902B08"/>
    <w:pPr>
      <w:keepNext/>
      <w:keepLines/>
      <w:spacing w:before="24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292536"/>
    <w:pPr>
      <w:keepNext/>
      <w:keepLines/>
      <w:outlineLvl w:val="3"/>
    </w:pPr>
    <w:rPr>
      <w:rFonts w:eastAsia="Times New Roman" w:cs="Arial"/>
      <w:b/>
      <w:bCs/>
      <w:color w:val="000000" w:themeColor="text1"/>
    </w:rPr>
  </w:style>
  <w:style w:type="paragraph" w:styleId="Heading5">
    <w:name w:val="heading 5"/>
    <w:basedOn w:val="Normal"/>
    <w:next w:val="Normal"/>
    <w:link w:val="Heading5Char"/>
    <w:uiPriority w:val="9"/>
    <w:unhideWhenUsed/>
    <w:qFormat/>
    <w:rsid w:val="00953564"/>
    <w:pPr>
      <w:keepNext/>
      <w:keepLines/>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702"/>
    <w:rPr>
      <w:rFonts w:eastAsiaTheme="majorEastAsia" w:cstheme="majorBidi"/>
      <w:b/>
      <w:color w:val="000000" w:themeColor="text1"/>
      <w:sz w:val="36"/>
      <w:szCs w:val="32"/>
    </w:rPr>
  </w:style>
  <w:style w:type="character" w:customStyle="1" w:styleId="Heading2Char">
    <w:name w:val="Heading 2 Char"/>
    <w:basedOn w:val="DefaultParagraphFont"/>
    <w:link w:val="Heading2"/>
    <w:uiPriority w:val="9"/>
    <w:rsid w:val="00EA6E13"/>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902B08"/>
    <w:rPr>
      <w:rFonts w:eastAsiaTheme="majorEastAsia" w:cstheme="majorBidi"/>
      <w:b/>
      <w:sz w:val="28"/>
    </w:rPr>
  </w:style>
  <w:style w:type="character" w:customStyle="1" w:styleId="Heading4Char">
    <w:name w:val="Heading 4 Char"/>
    <w:basedOn w:val="DefaultParagraphFont"/>
    <w:link w:val="Heading4"/>
    <w:uiPriority w:val="9"/>
    <w:rsid w:val="00953564"/>
    <w:rPr>
      <w:rFonts w:eastAsia="Times New Roman" w:cs="Arial"/>
      <w:b/>
      <w:bCs/>
      <w:color w:val="000000" w:themeColor="text1"/>
    </w:rPr>
  </w:style>
  <w:style w:type="paragraph" w:styleId="Header">
    <w:name w:val="header"/>
    <w:basedOn w:val="Normal"/>
    <w:link w:val="HeaderChar"/>
    <w:uiPriority w:val="99"/>
    <w:unhideWhenUsed/>
    <w:rsid w:val="00773069"/>
    <w:pPr>
      <w:tabs>
        <w:tab w:val="center" w:pos="4513"/>
        <w:tab w:val="right" w:pos="9026"/>
      </w:tabs>
      <w:spacing w:line="240" w:lineRule="auto"/>
    </w:pPr>
  </w:style>
  <w:style w:type="character" w:customStyle="1" w:styleId="HeaderChar">
    <w:name w:val="Header Char"/>
    <w:basedOn w:val="DefaultParagraphFont"/>
    <w:link w:val="Header"/>
    <w:uiPriority w:val="99"/>
    <w:rsid w:val="00773069"/>
  </w:style>
  <w:style w:type="paragraph" w:styleId="Footer">
    <w:name w:val="footer"/>
    <w:basedOn w:val="Normal"/>
    <w:link w:val="FooterChar"/>
    <w:uiPriority w:val="99"/>
    <w:unhideWhenUsed/>
    <w:rsid w:val="00773069"/>
    <w:pPr>
      <w:tabs>
        <w:tab w:val="center" w:pos="4513"/>
        <w:tab w:val="right" w:pos="9026"/>
      </w:tabs>
      <w:spacing w:line="240" w:lineRule="auto"/>
    </w:pPr>
  </w:style>
  <w:style w:type="character" w:customStyle="1" w:styleId="FooterChar">
    <w:name w:val="Footer Char"/>
    <w:basedOn w:val="DefaultParagraphFont"/>
    <w:link w:val="Footer"/>
    <w:uiPriority w:val="99"/>
    <w:rsid w:val="00773069"/>
  </w:style>
  <w:style w:type="paragraph" w:styleId="NormalWeb">
    <w:name w:val="Normal (Web)"/>
    <w:basedOn w:val="Normal"/>
    <w:uiPriority w:val="99"/>
    <w:unhideWhenUsed/>
    <w:rsid w:val="00ED0D85"/>
    <w:pPr>
      <w:spacing w:before="100" w:beforeAutospacing="1" w:after="100" w:afterAutospacing="1" w:line="240" w:lineRule="auto"/>
    </w:pPr>
    <w:rPr>
      <w:rFonts w:ascii="Times New Roman" w:eastAsia="Times New Roman" w:hAnsi="Times New Roman" w:cs="Times New Roman"/>
      <w:sz w:val="34"/>
      <w:szCs w:val="34"/>
      <w:lang w:eastAsia="en-GB"/>
    </w:rPr>
  </w:style>
  <w:style w:type="character" w:styleId="Hyperlink">
    <w:name w:val="Hyperlink"/>
    <w:basedOn w:val="DefaultParagraphFont"/>
    <w:uiPriority w:val="99"/>
    <w:unhideWhenUsed/>
    <w:rsid w:val="00D74E71"/>
    <w:rPr>
      <w:color w:val="0563C1" w:themeColor="hyperlink"/>
      <w:u w:val="single"/>
    </w:rPr>
  </w:style>
  <w:style w:type="table" w:styleId="TableGrid">
    <w:name w:val="Table Grid"/>
    <w:basedOn w:val="TableNormal"/>
    <w:uiPriority w:val="39"/>
    <w:rsid w:val="00837A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s,Normal + indent,Dot pt,Recommendatio,F5 List Paragraph,List Paragraph2,MAIN CONTENT,List Paragraph12,List Paragraph1,Colorful List - Accent 11,No Spacing1,List Paragraph Char Char Char,Indicator Text,Numbered Para 1,Bullet 1"/>
    <w:basedOn w:val="Normal"/>
    <w:link w:val="ListParagraphChar"/>
    <w:uiPriority w:val="34"/>
    <w:qFormat/>
    <w:rsid w:val="00AD70AB"/>
    <w:pPr>
      <w:ind w:left="720"/>
      <w:contextualSpacing/>
    </w:pPr>
    <w:rPr>
      <w:rFonts w:asciiTheme="minorHAnsi" w:hAnsiTheme="minorHAnsi"/>
      <w:sz w:val="22"/>
    </w:rPr>
  </w:style>
  <w:style w:type="character" w:styleId="HTMLCode">
    <w:name w:val="HTML Code"/>
    <w:basedOn w:val="DefaultParagraphFont"/>
    <w:uiPriority w:val="99"/>
    <w:semiHidden/>
    <w:unhideWhenUsed/>
    <w:rsid w:val="00D7445A"/>
    <w:rPr>
      <w:rFonts w:ascii="Courier New" w:eastAsia="Times New Roman" w:hAnsi="Courier New" w:cs="Courier New"/>
      <w:sz w:val="20"/>
      <w:szCs w:val="20"/>
    </w:rPr>
  </w:style>
  <w:style w:type="paragraph" w:styleId="Revision">
    <w:name w:val="Revision"/>
    <w:hidden/>
    <w:uiPriority w:val="99"/>
    <w:semiHidden/>
    <w:rsid w:val="00CC34E9"/>
    <w:pPr>
      <w:spacing w:line="240" w:lineRule="auto"/>
    </w:pPr>
  </w:style>
  <w:style w:type="character" w:styleId="CommentReference">
    <w:name w:val="annotation reference"/>
    <w:basedOn w:val="DefaultParagraphFont"/>
    <w:uiPriority w:val="99"/>
    <w:semiHidden/>
    <w:unhideWhenUsed/>
    <w:rsid w:val="00CC34E9"/>
    <w:rPr>
      <w:sz w:val="16"/>
      <w:szCs w:val="16"/>
    </w:rPr>
  </w:style>
  <w:style w:type="paragraph" w:styleId="CommentText">
    <w:name w:val="annotation text"/>
    <w:basedOn w:val="Normal"/>
    <w:link w:val="CommentTextChar"/>
    <w:uiPriority w:val="99"/>
    <w:unhideWhenUsed/>
    <w:rsid w:val="00CC34E9"/>
    <w:pPr>
      <w:spacing w:line="240" w:lineRule="auto"/>
    </w:pPr>
    <w:rPr>
      <w:sz w:val="20"/>
      <w:szCs w:val="20"/>
    </w:rPr>
  </w:style>
  <w:style w:type="character" w:customStyle="1" w:styleId="CommentTextChar">
    <w:name w:val="Comment Text Char"/>
    <w:basedOn w:val="DefaultParagraphFont"/>
    <w:link w:val="CommentText"/>
    <w:uiPriority w:val="99"/>
    <w:rsid w:val="00CC34E9"/>
    <w:rPr>
      <w:sz w:val="20"/>
      <w:szCs w:val="20"/>
    </w:rPr>
  </w:style>
  <w:style w:type="paragraph" w:styleId="CommentSubject">
    <w:name w:val="annotation subject"/>
    <w:basedOn w:val="CommentText"/>
    <w:next w:val="CommentText"/>
    <w:link w:val="CommentSubjectChar"/>
    <w:uiPriority w:val="99"/>
    <w:semiHidden/>
    <w:unhideWhenUsed/>
    <w:rsid w:val="00CC34E9"/>
    <w:rPr>
      <w:b/>
      <w:bCs/>
    </w:rPr>
  </w:style>
  <w:style w:type="character" w:customStyle="1" w:styleId="CommentSubjectChar">
    <w:name w:val="Comment Subject Char"/>
    <w:basedOn w:val="CommentTextChar"/>
    <w:link w:val="CommentSubject"/>
    <w:uiPriority w:val="99"/>
    <w:semiHidden/>
    <w:rsid w:val="00CC34E9"/>
    <w:rPr>
      <w:b/>
      <w:bCs/>
      <w:sz w:val="20"/>
      <w:szCs w:val="20"/>
    </w:rPr>
  </w:style>
  <w:style w:type="paragraph" w:styleId="BalloonText">
    <w:name w:val="Balloon Text"/>
    <w:basedOn w:val="Normal"/>
    <w:link w:val="BalloonTextChar"/>
    <w:uiPriority w:val="99"/>
    <w:semiHidden/>
    <w:unhideWhenUsed/>
    <w:rsid w:val="00CC34E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4E9"/>
    <w:rPr>
      <w:rFonts w:ascii="Segoe UI" w:hAnsi="Segoe UI" w:cs="Segoe UI"/>
      <w:sz w:val="18"/>
      <w:szCs w:val="18"/>
    </w:rPr>
  </w:style>
  <w:style w:type="paragraph" w:customStyle="1" w:styleId="Bullets">
    <w:name w:val="Bullets"/>
    <w:basedOn w:val="ListBullet"/>
    <w:next w:val="ListBullet"/>
    <w:link w:val="BulletsChar"/>
    <w:rsid w:val="002A5271"/>
    <w:pPr>
      <w:contextualSpacing w:val="0"/>
    </w:pPr>
    <w:rPr>
      <w:noProof/>
      <w:lang w:eastAsia="en-GB"/>
    </w:rPr>
  </w:style>
  <w:style w:type="paragraph" w:styleId="ListBullet">
    <w:name w:val="List Bullet"/>
    <w:basedOn w:val="Normal"/>
    <w:link w:val="ListBulletChar"/>
    <w:uiPriority w:val="99"/>
    <w:unhideWhenUsed/>
    <w:rsid w:val="007C3B39"/>
    <w:pPr>
      <w:numPr>
        <w:numId w:val="1"/>
      </w:numPr>
      <w:contextualSpacing/>
    </w:pPr>
  </w:style>
  <w:style w:type="character" w:customStyle="1" w:styleId="ListBulletChar">
    <w:name w:val="List Bullet Char"/>
    <w:basedOn w:val="DefaultParagraphFont"/>
    <w:link w:val="ListBullet"/>
    <w:uiPriority w:val="99"/>
    <w:rsid w:val="007C3B39"/>
  </w:style>
  <w:style w:type="character" w:customStyle="1" w:styleId="BulletsChar">
    <w:name w:val="Bullets Char"/>
    <w:basedOn w:val="ListBulletChar"/>
    <w:link w:val="Bullets"/>
    <w:rsid w:val="002A5271"/>
    <w:rPr>
      <w:noProof/>
      <w:lang w:eastAsia="en-GB"/>
    </w:rPr>
  </w:style>
  <w:style w:type="paragraph" w:customStyle="1" w:styleId="Bullet">
    <w:name w:val="Bullet"/>
    <w:basedOn w:val="Bullets"/>
    <w:next w:val="Bullets"/>
    <w:link w:val="BulletChar"/>
    <w:autoRedefine/>
    <w:qFormat/>
    <w:rsid w:val="00D228ED"/>
    <w:pPr>
      <w:numPr>
        <w:numId w:val="16"/>
      </w:numPr>
    </w:pPr>
  </w:style>
  <w:style w:type="character" w:customStyle="1" w:styleId="BulletChar">
    <w:name w:val="Bullet Char"/>
    <w:basedOn w:val="BulletsChar"/>
    <w:link w:val="Bullet"/>
    <w:rsid w:val="00D228ED"/>
    <w:rPr>
      <w:noProof/>
      <w:lang w:eastAsia="en-GB"/>
    </w:rPr>
  </w:style>
  <w:style w:type="paragraph" w:styleId="TOCHeading">
    <w:name w:val="TOC Heading"/>
    <w:basedOn w:val="Heading1"/>
    <w:next w:val="Normal"/>
    <w:uiPriority w:val="39"/>
    <w:unhideWhenUsed/>
    <w:qFormat/>
    <w:rsid w:val="00556FD1"/>
    <w:pPr>
      <w:spacing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556FD1"/>
    <w:pPr>
      <w:spacing w:after="100"/>
    </w:pPr>
  </w:style>
  <w:style w:type="paragraph" w:styleId="TOC2">
    <w:name w:val="toc 2"/>
    <w:basedOn w:val="Normal"/>
    <w:next w:val="Normal"/>
    <w:autoRedefine/>
    <w:uiPriority w:val="39"/>
    <w:unhideWhenUsed/>
    <w:rsid w:val="006E68E7"/>
    <w:pPr>
      <w:tabs>
        <w:tab w:val="right" w:leader="dot" w:pos="9736"/>
      </w:tabs>
      <w:spacing w:after="100"/>
      <w:ind w:left="240"/>
    </w:pPr>
  </w:style>
  <w:style w:type="paragraph" w:styleId="TOC3">
    <w:name w:val="toc 3"/>
    <w:basedOn w:val="Normal"/>
    <w:next w:val="Normal"/>
    <w:autoRedefine/>
    <w:uiPriority w:val="39"/>
    <w:unhideWhenUsed/>
    <w:rsid w:val="00D87E5E"/>
    <w:pPr>
      <w:tabs>
        <w:tab w:val="right" w:leader="dot" w:pos="9736"/>
      </w:tabs>
      <w:spacing w:after="100"/>
      <w:ind w:left="480"/>
    </w:pPr>
  </w:style>
  <w:style w:type="paragraph" w:styleId="ListBullet2">
    <w:name w:val="List Bullet 2"/>
    <w:basedOn w:val="Normal"/>
    <w:uiPriority w:val="99"/>
    <w:semiHidden/>
    <w:unhideWhenUsed/>
    <w:rsid w:val="00556FD1"/>
    <w:pPr>
      <w:numPr>
        <w:numId w:val="2"/>
      </w:numPr>
      <w:contextualSpacing/>
    </w:pPr>
  </w:style>
  <w:style w:type="character" w:styleId="Strong">
    <w:name w:val="Strong"/>
    <w:basedOn w:val="DefaultParagraphFont"/>
    <w:uiPriority w:val="22"/>
    <w:qFormat/>
    <w:rsid w:val="00953564"/>
    <w:rPr>
      <w:rFonts w:ascii="Arial" w:hAnsi="Arial"/>
      <w:b/>
      <w:bCs/>
      <w:color w:val="auto"/>
      <w:sz w:val="24"/>
    </w:rPr>
  </w:style>
  <w:style w:type="table" w:customStyle="1" w:styleId="TableGrid1">
    <w:name w:val="Table Grid1"/>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F46E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B6AD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1">
    <w:name w:val="Table Normal1"/>
    <w:basedOn w:val="Normal"/>
    <w:qFormat/>
    <w:rsid w:val="00834FF6"/>
    <w:rPr>
      <w:color w:val="FFFFFF" w:themeColor="background1"/>
      <w:szCs w:val="22"/>
    </w:rPr>
  </w:style>
  <w:style w:type="paragraph" w:customStyle="1" w:styleId="BulletTable">
    <w:name w:val="Bullet Table"/>
    <w:basedOn w:val="Bullets"/>
    <w:qFormat/>
    <w:rsid w:val="005564A9"/>
    <w:rPr>
      <w:szCs w:val="22"/>
    </w:rPr>
  </w:style>
  <w:style w:type="paragraph" w:customStyle="1" w:styleId="Bullet2">
    <w:name w:val="Bullet.2"/>
    <w:basedOn w:val="Bullet"/>
    <w:qFormat/>
    <w:rsid w:val="0087741A"/>
  </w:style>
  <w:style w:type="table" w:customStyle="1" w:styleId="TableGrid5">
    <w:name w:val="Table Grid5"/>
    <w:basedOn w:val="TableNormal"/>
    <w:next w:val="TableGrid"/>
    <w:uiPriority w:val="39"/>
    <w:rsid w:val="004F14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Heading2"/>
    <w:next w:val="Normal"/>
    <w:link w:val="ListNumber2Char"/>
    <w:autoRedefine/>
    <w:uiPriority w:val="99"/>
    <w:unhideWhenUsed/>
    <w:rsid w:val="00080C94"/>
    <w:pPr>
      <w:numPr>
        <w:ilvl w:val="1"/>
        <w:numId w:val="3"/>
      </w:numPr>
      <w:tabs>
        <w:tab w:val="clear" w:pos="1440"/>
        <w:tab w:val="num" w:pos="720"/>
      </w:tabs>
      <w:ind w:left="360" w:hanging="360"/>
      <w:contextualSpacing/>
    </w:pPr>
    <w:rPr>
      <w:rFonts w:eastAsia="Times New Roman" w:cs="Times New Roman"/>
      <w:color w:val="000000"/>
      <w:sz w:val="24"/>
    </w:rPr>
  </w:style>
  <w:style w:type="character" w:customStyle="1" w:styleId="ListNumber2Char">
    <w:name w:val="List Number 2 Char"/>
    <w:link w:val="ListNumber2"/>
    <w:uiPriority w:val="99"/>
    <w:rsid w:val="00080C94"/>
    <w:rPr>
      <w:rFonts w:eastAsia="Times New Roman" w:cs="Times New Roman"/>
      <w:b/>
      <w:color w:val="000000"/>
      <w:szCs w:val="26"/>
    </w:rPr>
  </w:style>
  <w:style w:type="character" w:styleId="FollowedHyperlink">
    <w:name w:val="FollowedHyperlink"/>
    <w:basedOn w:val="DefaultParagraphFont"/>
    <w:uiPriority w:val="99"/>
    <w:semiHidden/>
    <w:unhideWhenUsed/>
    <w:rsid w:val="00EF5E32"/>
    <w:rPr>
      <w:color w:val="954F72" w:themeColor="followedHyperlink"/>
      <w:u w:val="single"/>
    </w:rPr>
  </w:style>
  <w:style w:type="paragraph" w:customStyle="1" w:styleId="Heading4a">
    <w:name w:val="Heading 4a"/>
    <w:basedOn w:val="Heading4"/>
    <w:autoRedefine/>
    <w:uiPriority w:val="99"/>
    <w:qFormat/>
    <w:rsid w:val="00D24A03"/>
    <w:pPr>
      <w:shd w:val="clear" w:color="auto" w:fill="FFF2CC" w:themeFill="accent4" w:themeFillTint="33"/>
      <w:spacing w:before="40" w:after="40" w:line="240" w:lineRule="auto"/>
    </w:pPr>
    <w:rPr>
      <w:b w:val="0"/>
      <w:i/>
      <w:lang w:eastAsia="en-GB"/>
    </w:rPr>
  </w:style>
  <w:style w:type="paragraph" w:customStyle="1" w:styleId="Heading4e">
    <w:name w:val="Heading 4e"/>
    <w:basedOn w:val="Heading4a"/>
    <w:qFormat/>
    <w:rsid w:val="008067A1"/>
    <w:rPr>
      <w:b/>
      <w:color w:val="FFFFFF"/>
    </w:rPr>
  </w:style>
  <w:style w:type="paragraph" w:customStyle="1" w:styleId="Heading4f">
    <w:name w:val="Heading 4f"/>
    <w:basedOn w:val="Heading4e"/>
    <w:qFormat/>
    <w:rsid w:val="008067A1"/>
    <w:pPr>
      <w:jc w:val="center"/>
    </w:pPr>
    <w:rPr>
      <w:bCs w:val="0"/>
    </w:rPr>
  </w:style>
  <w:style w:type="paragraph" w:customStyle="1" w:styleId="Heading4ai">
    <w:name w:val="Heading 4ai"/>
    <w:basedOn w:val="Heading4a"/>
    <w:qFormat/>
    <w:rsid w:val="008067A1"/>
    <w:rPr>
      <w:i w:val="0"/>
      <w:sz w:val="22"/>
    </w:rPr>
  </w:style>
  <w:style w:type="character" w:customStyle="1" w:styleId="ListParagraphChar">
    <w:name w:val="List Paragraph Char"/>
    <w:aliases w:val="List Bullets Char,Normal + indent Char,Dot pt Char,Recommendatio Char,F5 List Paragraph Char,List Paragraph2 Char,MAIN CONTENT Char,List Paragraph12 Char,List Paragraph1 Char,Colorful List - Accent 11 Char,No Spacing1 Char"/>
    <w:link w:val="ListParagraph"/>
    <w:uiPriority w:val="34"/>
    <w:qFormat/>
    <w:locked/>
    <w:rsid w:val="009367B0"/>
    <w:rPr>
      <w:rFonts w:asciiTheme="minorHAnsi" w:hAnsiTheme="minorHAnsi"/>
      <w:sz w:val="22"/>
    </w:rPr>
  </w:style>
  <w:style w:type="paragraph" w:styleId="NoSpacing">
    <w:name w:val="No Spacing"/>
    <w:basedOn w:val="Normal"/>
    <w:uiPriority w:val="1"/>
    <w:qFormat/>
    <w:rsid w:val="003C77EC"/>
    <w:pPr>
      <w:spacing w:before="0" w:after="0" w:line="240" w:lineRule="auto"/>
    </w:pPr>
    <w:rPr>
      <w:rFonts w:ascii="Calibri" w:hAnsi="Calibri" w:cs="Calibri"/>
      <w:sz w:val="22"/>
      <w:szCs w:val="22"/>
    </w:rPr>
  </w:style>
  <w:style w:type="character" w:customStyle="1" w:styleId="ui-provider">
    <w:name w:val="ui-provider"/>
    <w:basedOn w:val="DefaultParagraphFont"/>
    <w:rsid w:val="003A66B3"/>
  </w:style>
  <w:style w:type="table" w:customStyle="1" w:styleId="TableGrid180">
    <w:name w:val="Table Grid180"/>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0708C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A04EF"/>
    <w:rPr>
      <w:color w:val="605E5C"/>
      <w:shd w:val="clear" w:color="auto" w:fill="E1DFDD"/>
    </w:rPr>
  </w:style>
  <w:style w:type="character" w:customStyle="1" w:styleId="fui-primitive">
    <w:name w:val="fui-primitive"/>
    <w:basedOn w:val="DefaultParagraphFont"/>
    <w:rsid w:val="00CA6CF3"/>
  </w:style>
  <w:style w:type="table" w:customStyle="1" w:styleId="TableGrid156">
    <w:name w:val="Table Grid156"/>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2679C"/>
    <w:rPr>
      <w:color w:val="605E5C"/>
      <w:shd w:val="clear" w:color="auto" w:fill="E1DFDD"/>
    </w:rPr>
  </w:style>
  <w:style w:type="table" w:customStyle="1" w:styleId="TableGrid8">
    <w:name w:val="Table Grid8"/>
    <w:basedOn w:val="TableNormal"/>
    <w:next w:val="TableGrid"/>
    <w:uiPriority w:val="39"/>
    <w:rsid w:val="00D24A0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E367AF"/>
    <w:pPr>
      <w:autoSpaceDE w:val="0"/>
      <w:autoSpaceDN w:val="0"/>
      <w:adjustRightInd w:val="0"/>
      <w:spacing w:before="0" w:after="0" w:line="240" w:lineRule="auto"/>
    </w:pPr>
    <w:rPr>
      <w:rFonts w:asciiTheme="minorHAnsi" w:hAnsiTheme="minorHAnsi" w:cstheme="minorHAnsi"/>
      <w:color w:val="FF0000"/>
    </w:rPr>
  </w:style>
  <w:style w:type="character" w:customStyle="1" w:styleId="BodyTextChar">
    <w:name w:val="Body Text Char"/>
    <w:basedOn w:val="DefaultParagraphFont"/>
    <w:link w:val="BodyText"/>
    <w:uiPriority w:val="99"/>
    <w:rsid w:val="00E367AF"/>
    <w:rPr>
      <w:rFonts w:asciiTheme="minorHAnsi" w:hAnsiTheme="minorHAnsi" w:cstheme="minorHAnsi"/>
      <w:color w:val="FF0000"/>
    </w:rPr>
  </w:style>
  <w:style w:type="table" w:customStyle="1" w:styleId="TableGrid9">
    <w:name w:val="Table Grid9"/>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532A2"/>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8972D5"/>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Left">
    <w:name w:val="Table Header Left"/>
    <w:basedOn w:val="TableNormal1"/>
    <w:qFormat/>
    <w:rsid w:val="00FC2CC6"/>
    <w:rPr>
      <w:b/>
      <w:color w:val="auto"/>
    </w:rPr>
  </w:style>
  <w:style w:type="paragraph" w:customStyle="1" w:styleId="TableHeaderCentre">
    <w:name w:val="Table Header Centre"/>
    <w:basedOn w:val="TableNormal1"/>
    <w:qFormat/>
    <w:rsid w:val="005C7704"/>
    <w:pPr>
      <w:jc w:val="center"/>
    </w:pPr>
    <w:rPr>
      <w:b/>
      <w:sz w:val="22"/>
    </w:rPr>
  </w:style>
  <w:style w:type="paragraph" w:customStyle="1" w:styleId="TableBodyLeft">
    <w:name w:val="Table Body Left"/>
    <w:basedOn w:val="Normal"/>
    <w:qFormat/>
    <w:rsid w:val="00DF4DB3"/>
  </w:style>
  <w:style w:type="paragraph" w:customStyle="1" w:styleId="TableBodyCentre">
    <w:name w:val="Table Body Centre"/>
    <w:basedOn w:val="Normal"/>
    <w:qFormat/>
    <w:rsid w:val="000A23B6"/>
    <w:pPr>
      <w:jc w:val="center"/>
    </w:pPr>
    <w:rPr>
      <w:sz w:val="22"/>
    </w:rPr>
  </w:style>
  <w:style w:type="table" w:customStyle="1" w:styleId="TableGrid22">
    <w:name w:val="Table Grid22"/>
    <w:basedOn w:val="TableNormal"/>
    <w:next w:val="TableGrid"/>
    <w:uiPriority w:val="39"/>
    <w:rsid w:val="00700BC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C5032A"/>
    <w:rPr>
      <w:color w:val="605E5C"/>
      <w:shd w:val="clear" w:color="auto" w:fill="E1DFDD"/>
    </w:rPr>
  </w:style>
  <w:style w:type="character" w:customStyle="1" w:styleId="Heading5Char">
    <w:name w:val="Heading 5 Char"/>
    <w:basedOn w:val="DefaultParagraphFont"/>
    <w:link w:val="Heading5"/>
    <w:uiPriority w:val="9"/>
    <w:rsid w:val="00953564"/>
    <w:rPr>
      <w:rFonts w:eastAsiaTheme="majorEastAsia" w:cstheme="majorBidi"/>
      <w:b/>
    </w:rPr>
  </w:style>
  <w:style w:type="table" w:customStyle="1" w:styleId="TableGrid23">
    <w:name w:val="Table Grid23"/>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6F1BD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F0E6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DB14E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D5212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5E0021"/>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368DD"/>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629AC"/>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D465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2C20D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9B5B0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E87BE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02720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02720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
    <w:name w:val="Table Grid52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9">
    <w:name w:val="Table Grid52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0">
    <w:name w:val="Table Grid53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7">
    <w:name w:val="Table Grid53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8">
    <w:name w:val="Table Grid53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9">
    <w:name w:val="Table Grid53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0">
    <w:name w:val="Table Grid54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0AE5"/>
    <w:pPr>
      <w:spacing w:line="480" w:lineRule="auto"/>
    </w:pPr>
  </w:style>
  <w:style w:type="character" w:customStyle="1" w:styleId="BodyText2Char">
    <w:name w:val="Body Text 2 Char"/>
    <w:basedOn w:val="DefaultParagraphFont"/>
    <w:link w:val="BodyText2"/>
    <w:uiPriority w:val="99"/>
    <w:semiHidden/>
    <w:rsid w:val="00FF0AE5"/>
  </w:style>
  <w:style w:type="table" w:customStyle="1" w:styleId="TableGrid39">
    <w:name w:val="Table Grid39"/>
    <w:basedOn w:val="TableNormal"/>
    <w:next w:val="TableGrid"/>
    <w:uiPriority w:val="39"/>
    <w:rsid w:val="00D2343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68672B"/>
    <w:rPr>
      <w:color w:val="605E5C"/>
      <w:shd w:val="clear" w:color="auto" w:fill="E1DFDD"/>
    </w:rPr>
  </w:style>
  <w:style w:type="paragraph" w:styleId="FootnoteText">
    <w:name w:val="footnote text"/>
    <w:basedOn w:val="Normal"/>
    <w:link w:val="FootnoteTextChar"/>
    <w:uiPriority w:val="99"/>
    <w:semiHidden/>
    <w:unhideWhenUsed/>
    <w:rsid w:val="00AC03DE"/>
    <w:pPr>
      <w:spacing w:before="0" w:after="0" w:line="240" w:lineRule="auto"/>
    </w:pPr>
    <w:rPr>
      <w:rFonts w:asciiTheme="minorHAnsi" w:hAnsiTheme="minorHAnsi"/>
      <w:kern w:val="2"/>
      <w:sz w:val="20"/>
      <w:szCs w:val="20"/>
      <w14:ligatures w14:val="standardContextual"/>
    </w:rPr>
  </w:style>
  <w:style w:type="character" w:customStyle="1" w:styleId="FootnoteTextChar">
    <w:name w:val="Footnote Text Char"/>
    <w:basedOn w:val="DefaultParagraphFont"/>
    <w:link w:val="FootnoteText"/>
    <w:uiPriority w:val="99"/>
    <w:semiHidden/>
    <w:rsid w:val="00AC03DE"/>
    <w:rPr>
      <w:rFonts w:asciiTheme="minorHAnsi" w:hAnsiTheme="minorHAnsi"/>
      <w:kern w:val="2"/>
      <w:sz w:val="20"/>
      <w:szCs w:val="20"/>
      <w14:ligatures w14:val="standardContextual"/>
    </w:rPr>
  </w:style>
  <w:style w:type="character" w:styleId="FootnoteReference">
    <w:name w:val="footnote reference"/>
    <w:basedOn w:val="DefaultParagraphFont"/>
    <w:uiPriority w:val="99"/>
    <w:semiHidden/>
    <w:unhideWhenUsed/>
    <w:rsid w:val="00AC03DE"/>
    <w:rPr>
      <w:vertAlign w:val="superscript"/>
    </w:rPr>
  </w:style>
  <w:style w:type="character" w:customStyle="1" w:styleId="UnresolvedMention5">
    <w:name w:val="Unresolved Mention5"/>
    <w:basedOn w:val="DefaultParagraphFont"/>
    <w:uiPriority w:val="99"/>
    <w:semiHidden/>
    <w:unhideWhenUsed/>
    <w:rsid w:val="00734754"/>
    <w:rPr>
      <w:color w:val="605E5C"/>
      <w:shd w:val="clear" w:color="auto" w:fill="E1DFDD"/>
    </w:rPr>
  </w:style>
  <w:style w:type="character" w:customStyle="1" w:styleId="UnresolvedMention6">
    <w:name w:val="Unresolved Mention6"/>
    <w:basedOn w:val="DefaultParagraphFont"/>
    <w:uiPriority w:val="99"/>
    <w:semiHidden/>
    <w:unhideWhenUsed/>
    <w:rsid w:val="0004519E"/>
    <w:rPr>
      <w:color w:val="605E5C"/>
      <w:shd w:val="clear" w:color="auto" w:fill="E1DFDD"/>
    </w:rPr>
  </w:style>
  <w:style w:type="character" w:customStyle="1" w:styleId="cf01">
    <w:name w:val="cf01"/>
    <w:basedOn w:val="DefaultParagraphFont"/>
    <w:rsid w:val="002717BD"/>
    <w:rPr>
      <w:rFonts w:ascii="Segoe UI" w:hAnsi="Segoe UI" w:cs="Segoe UI" w:hint="default"/>
      <w:sz w:val="18"/>
      <w:szCs w:val="18"/>
    </w:rPr>
  </w:style>
  <w:style w:type="character" w:styleId="UnresolvedMention">
    <w:name w:val="Unresolved Mention"/>
    <w:basedOn w:val="DefaultParagraphFont"/>
    <w:uiPriority w:val="99"/>
    <w:semiHidden/>
    <w:unhideWhenUsed/>
    <w:rsid w:val="00AD2423"/>
    <w:rPr>
      <w:color w:val="605E5C"/>
      <w:shd w:val="clear" w:color="auto" w:fill="E1DFDD"/>
    </w:rPr>
  </w:style>
  <w:style w:type="paragraph" w:customStyle="1" w:styleId="pf0">
    <w:name w:val="pf0"/>
    <w:basedOn w:val="Normal"/>
    <w:rsid w:val="0097596C"/>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f11">
    <w:name w:val="cf11"/>
    <w:basedOn w:val="DefaultParagraphFont"/>
    <w:rsid w:val="0097596C"/>
    <w:rPr>
      <w:rFonts w:ascii="Segoe UI" w:hAnsi="Segoe UI" w:cs="Segoe UI" w:hint="default"/>
      <w:sz w:val="18"/>
      <w:szCs w:val="18"/>
      <w:vertAlign w:val="superscript"/>
    </w:rPr>
  </w:style>
  <w:style w:type="character" w:customStyle="1" w:styleId="cf21">
    <w:name w:val="cf21"/>
    <w:basedOn w:val="DefaultParagraphFont"/>
    <w:rsid w:val="0097596C"/>
    <w:rPr>
      <w:rFonts w:ascii="Segoe UI" w:hAnsi="Segoe UI" w:cs="Segoe UI" w:hint="default"/>
      <w:sz w:val="18"/>
      <w:szCs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68241">
      <w:bodyDiv w:val="1"/>
      <w:marLeft w:val="0"/>
      <w:marRight w:val="0"/>
      <w:marTop w:val="0"/>
      <w:marBottom w:val="0"/>
      <w:divBdr>
        <w:top w:val="none" w:sz="0" w:space="0" w:color="auto"/>
        <w:left w:val="none" w:sz="0" w:space="0" w:color="auto"/>
        <w:bottom w:val="none" w:sz="0" w:space="0" w:color="auto"/>
        <w:right w:val="none" w:sz="0" w:space="0" w:color="auto"/>
      </w:divBdr>
    </w:div>
    <w:div w:id="33965398">
      <w:bodyDiv w:val="1"/>
      <w:marLeft w:val="0"/>
      <w:marRight w:val="0"/>
      <w:marTop w:val="0"/>
      <w:marBottom w:val="0"/>
      <w:divBdr>
        <w:top w:val="none" w:sz="0" w:space="0" w:color="auto"/>
        <w:left w:val="none" w:sz="0" w:space="0" w:color="auto"/>
        <w:bottom w:val="none" w:sz="0" w:space="0" w:color="auto"/>
        <w:right w:val="none" w:sz="0" w:space="0" w:color="auto"/>
      </w:divBdr>
    </w:div>
    <w:div w:id="40911475">
      <w:bodyDiv w:val="1"/>
      <w:marLeft w:val="0"/>
      <w:marRight w:val="0"/>
      <w:marTop w:val="0"/>
      <w:marBottom w:val="0"/>
      <w:divBdr>
        <w:top w:val="none" w:sz="0" w:space="0" w:color="auto"/>
        <w:left w:val="none" w:sz="0" w:space="0" w:color="auto"/>
        <w:bottom w:val="none" w:sz="0" w:space="0" w:color="auto"/>
        <w:right w:val="none" w:sz="0" w:space="0" w:color="auto"/>
      </w:divBdr>
    </w:div>
    <w:div w:id="47732969">
      <w:bodyDiv w:val="1"/>
      <w:marLeft w:val="0"/>
      <w:marRight w:val="0"/>
      <w:marTop w:val="0"/>
      <w:marBottom w:val="0"/>
      <w:divBdr>
        <w:top w:val="none" w:sz="0" w:space="0" w:color="auto"/>
        <w:left w:val="none" w:sz="0" w:space="0" w:color="auto"/>
        <w:bottom w:val="none" w:sz="0" w:space="0" w:color="auto"/>
        <w:right w:val="none" w:sz="0" w:space="0" w:color="auto"/>
      </w:divBdr>
    </w:div>
    <w:div w:id="51462477">
      <w:bodyDiv w:val="1"/>
      <w:marLeft w:val="0"/>
      <w:marRight w:val="0"/>
      <w:marTop w:val="0"/>
      <w:marBottom w:val="0"/>
      <w:divBdr>
        <w:top w:val="none" w:sz="0" w:space="0" w:color="auto"/>
        <w:left w:val="none" w:sz="0" w:space="0" w:color="auto"/>
        <w:bottom w:val="none" w:sz="0" w:space="0" w:color="auto"/>
        <w:right w:val="none" w:sz="0" w:space="0" w:color="auto"/>
      </w:divBdr>
    </w:div>
    <w:div w:id="60450931">
      <w:bodyDiv w:val="1"/>
      <w:marLeft w:val="0"/>
      <w:marRight w:val="0"/>
      <w:marTop w:val="0"/>
      <w:marBottom w:val="0"/>
      <w:divBdr>
        <w:top w:val="none" w:sz="0" w:space="0" w:color="auto"/>
        <w:left w:val="none" w:sz="0" w:space="0" w:color="auto"/>
        <w:bottom w:val="none" w:sz="0" w:space="0" w:color="auto"/>
        <w:right w:val="none" w:sz="0" w:space="0" w:color="auto"/>
      </w:divBdr>
    </w:div>
    <w:div w:id="61100467">
      <w:bodyDiv w:val="1"/>
      <w:marLeft w:val="0"/>
      <w:marRight w:val="0"/>
      <w:marTop w:val="0"/>
      <w:marBottom w:val="0"/>
      <w:divBdr>
        <w:top w:val="none" w:sz="0" w:space="0" w:color="auto"/>
        <w:left w:val="none" w:sz="0" w:space="0" w:color="auto"/>
        <w:bottom w:val="none" w:sz="0" w:space="0" w:color="auto"/>
        <w:right w:val="none" w:sz="0" w:space="0" w:color="auto"/>
      </w:divBdr>
    </w:div>
    <w:div w:id="93866593">
      <w:bodyDiv w:val="1"/>
      <w:marLeft w:val="0"/>
      <w:marRight w:val="0"/>
      <w:marTop w:val="0"/>
      <w:marBottom w:val="0"/>
      <w:divBdr>
        <w:top w:val="none" w:sz="0" w:space="0" w:color="auto"/>
        <w:left w:val="none" w:sz="0" w:space="0" w:color="auto"/>
        <w:bottom w:val="none" w:sz="0" w:space="0" w:color="auto"/>
        <w:right w:val="none" w:sz="0" w:space="0" w:color="auto"/>
      </w:divBdr>
    </w:div>
    <w:div w:id="95029288">
      <w:bodyDiv w:val="1"/>
      <w:marLeft w:val="0"/>
      <w:marRight w:val="0"/>
      <w:marTop w:val="0"/>
      <w:marBottom w:val="0"/>
      <w:divBdr>
        <w:top w:val="none" w:sz="0" w:space="0" w:color="auto"/>
        <w:left w:val="none" w:sz="0" w:space="0" w:color="auto"/>
        <w:bottom w:val="none" w:sz="0" w:space="0" w:color="auto"/>
        <w:right w:val="none" w:sz="0" w:space="0" w:color="auto"/>
      </w:divBdr>
    </w:div>
    <w:div w:id="99644218">
      <w:bodyDiv w:val="1"/>
      <w:marLeft w:val="0"/>
      <w:marRight w:val="0"/>
      <w:marTop w:val="0"/>
      <w:marBottom w:val="0"/>
      <w:divBdr>
        <w:top w:val="none" w:sz="0" w:space="0" w:color="auto"/>
        <w:left w:val="none" w:sz="0" w:space="0" w:color="auto"/>
        <w:bottom w:val="none" w:sz="0" w:space="0" w:color="auto"/>
        <w:right w:val="none" w:sz="0" w:space="0" w:color="auto"/>
      </w:divBdr>
    </w:div>
    <w:div w:id="99836832">
      <w:bodyDiv w:val="1"/>
      <w:marLeft w:val="0"/>
      <w:marRight w:val="0"/>
      <w:marTop w:val="0"/>
      <w:marBottom w:val="0"/>
      <w:divBdr>
        <w:top w:val="none" w:sz="0" w:space="0" w:color="auto"/>
        <w:left w:val="none" w:sz="0" w:space="0" w:color="auto"/>
        <w:bottom w:val="none" w:sz="0" w:space="0" w:color="auto"/>
        <w:right w:val="none" w:sz="0" w:space="0" w:color="auto"/>
      </w:divBdr>
    </w:div>
    <w:div w:id="113332841">
      <w:bodyDiv w:val="1"/>
      <w:marLeft w:val="0"/>
      <w:marRight w:val="0"/>
      <w:marTop w:val="0"/>
      <w:marBottom w:val="0"/>
      <w:divBdr>
        <w:top w:val="none" w:sz="0" w:space="0" w:color="auto"/>
        <w:left w:val="none" w:sz="0" w:space="0" w:color="auto"/>
        <w:bottom w:val="none" w:sz="0" w:space="0" w:color="auto"/>
        <w:right w:val="none" w:sz="0" w:space="0" w:color="auto"/>
      </w:divBdr>
    </w:div>
    <w:div w:id="127666839">
      <w:bodyDiv w:val="1"/>
      <w:marLeft w:val="0"/>
      <w:marRight w:val="0"/>
      <w:marTop w:val="0"/>
      <w:marBottom w:val="0"/>
      <w:divBdr>
        <w:top w:val="none" w:sz="0" w:space="0" w:color="auto"/>
        <w:left w:val="none" w:sz="0" w:space="0" w:color="auto"/>
        <w:bottom w:val="none" w:sz="0" w:space="0" w:color="auto"/>
        <w:right w:val="none" w:sz="0" w:space="0" w:color="auto"/>
      </w:divBdr>
    </w:div>
    <w:div w:id="160121193">
      <w:bodyDiv w:val="1"/>
      <w:marLeft w:val="0"/>
      <w:marRight w:val="0"/>
      <w:marTop w:val="0"/>
      <w:marBottom w:val="0"/>
      <w:divBdr>
        <w:top w:val="none" w:sz="0" w:space="0" w:color="auto"/>
        <w:left w:val="none" w:sz="0" w:space="0" w:color="auto"/>
        <w:bottom w:val="none" w:sz="0" w:space="0" w:color="auto"/>
        <w:right w:val="none" w:sz="0" w:space="0" w:color="auto"/>
      </w:divBdr>
    </w:div>
    <w:div w:id="222260554">
      <w:bodyDiv w:val="1"/>
      <w:marLeft w:val="0"/>
      <w:marRight w:val="0"/>
      <w:marTop w:val="0"/>
      <w:marBottom w:val="0"/>
      <w:divBdr>
        <w:top w:val="none" w:sz="0" w:space="0" w:color="auto"/>
        <w:left w:val="none" w:sz="0" w:space="0" w:color="auto"/>
        <w:bottom w:val="none" w:sz="0" w:space="0" w:color="auto"/>
        <w:right w:val="none" w:sz="0" w:space="0" w:color="auto"/>
      </w:divBdr>
    </w:div>
    <w:div w:id="224923294">
      <w:bodyDiv w:val="1"/>
      <w:marLeft w:val="0"/>
      <w:marRight w:val="0"/>
      <w:marTop w:val="0"/>
      <w:marBottom w:val="0"/>
      <w:divBdr>
        <w:top w:val="none" w:sz="0" w:space="0" w:color="auto"/>
        <w:left w:val="none" w:sz="0" w:space="0" w:color="auto"/>
        <w:bottom w:val="none" w:sz="0" w:space="0" w:color="auto"/>
        <w:right w:val="none" w:sz="0" w:space="0" w:color="auto"/>
      </w:divBdr>
    </w:div>
    <w:div w:id="236789384">
      <w:bodyDiv w:val="1"/>
      <w:marLeft w:val="0"/>
      <w:marRight w:val="0"/>
      <w:marTop w:val="0"/>
      <w:marBottom w:val="0"/>
      <w:divBdr>
        <w:top w:val="none" w:sz="0" w:space="0" w:color="auto"/>
        <w:left w:val="none" w:sz="0" w:space="0" w:color="auto"/>
        <w:bottom w:val="none" w:sz="0" w:space="0" w:color="auto"/>
        <w:right w:val="none" w:sz="0" w:space="0" w:color="auto"/>
      </w:divBdr>
    </w:div>
    <w:div w:id="249777093">
      <w:bodyDiv w:val="1"/>
      <w:marLeft w:val="0"/>
      <w:marRight w:val="0"/>
      <w:marTop w:val="0"/>
      <w:marBottom w:val="0"/>
      <w:divBdr>
        <w:top w:val="none" w:sz="0" w:space="0" w:color="auto"/>
        <w:left w:val="none" w:sz="0" w:space="0" w:color="auto"/>
        <w:bottom w:val="none" w:sz="0" w:space="0" w:color="auto"/>
        <w:right w:val="none" w:sz="0" w:space="0" w:color="auto"/>
      </w:divBdr>
    </w:div>
    <w:div w:id="272591982">
      <w:bodyDiv w:val="1"/>
      <w:marLeft w:val="0"/>
      <w:marRight w:val="0"/>
      <w:marTop w:val="0"/>
      <w:marBottom w:val="0"/>
      <w:divBdr>
        <w:top w:val="none" w:sz="0" w:space="0" w:color="auto"/>
        <w:left w:val="none" w:sz="0" w:space="0" w:color="auto"/>
        <w:bottom w:val="none" w:sz="0" w:space="0" w:color="auto"/>
        <w:right w:val="none" w:sz="0" w:space="0" w:color="auto"/>
      </w:divBdr>
    </w:div>
    <w:div w:id="310794205">
      <w:bodyDiv w:val="1"/>
      <w:marLeft w:val="0"/>
      <w:marRight w:val="0"/>
      <w:marTop w:val="0"/>
      <w:marBottom w:val="0"/>
      <w:divBdr>
        <w:top w:val="none" w:sz="0" w:space="0" w:color="auto"/>
        <w:left w:val="none" w:sz="0" w:space="0" w:color="auto"/>
        <w:bottom w:val="none" w:sz="0" w:space="0" w:color="auto"/>
        <w:right w:val="none" w:sz="0" w:space="0" w:color="auto"/>
      </w:divBdr>
    </w:div>
    <w:div w:id="351154350">
      <w:bodyDiv w:val="1"/>
      <w:marLeft w:val="0"/>
      <w:marRight w:val="0"/>
      <w:marTop w:val="0"/>
      <w:marBottom w:val="0"/>
      <w:divBdr>
        <w:top w:val="none" w:sz="0" w:space="0" w:color="auto"/>
        <w:left w:val="none" w:sz="0" w:space="0" w:color="auto"/>
        <w:bottom w:val="none" w:sz="0" w:space="0" w:color="auto"/>
        <w:right w:val="none" w:sz="0" w:space="0" w:color="auto"/>
      </w:divBdr>
    </w:div>
    <w:div w:id="372078694">
      <w:bodyDiv w:val="1"/>
      <w:marLeft w:val="0"/>
      <w:marRight w:val="0"/>
      <w:marTop w:val="0"/>
      <w:marBottom w:val="0"/>
      <w:divBdr>
        <w:top w:val="none" w:sz="0" w:space="0" w:color="auto"/>
        <w:left w:val="none" w:sz="0" w:space="0" w:color="auto"/>
        <w:bottom w:val="none" w:sz="0" w:space="0" w:color="auto"/>
        <w:right w:val="none" w:sz="0" w:space="0" w:color="auto"/>
      </w:divBdr>
    </w:div>
    <w:div w:id="428625770">
      <w:bodyDiv w:val="1"/>
      <w:marLeft w:val="0"/>
      <w:marRight w:val="0"/>
      <w:marTop w:val="0"/>
      <w:marBottom w:val="0"/>
      <w:divBdr>
        <w:top w:val="none" w:sz="0" w:space="0" w:color="auto"/>
        <w:left w:val="none" w:sz="0" w:space="0" w:color="auto"/>
        <w:bottom w:val="none" w:sz="0" w:space="0" w:color="auto"/>
        <w:right w:val="none" w:sz="0" w:space="0" w:color="auto"/>
      </w:divBdr>
    </w:div>
    <w:div w:id="452358982">
      <w:bodyDiv w:val="1"/>
      <w:marLeft w:val="0"/>
      <w:marRight w:val="0"/>
      <w:marTop w:val="0"/>
      <w:marBottom w:val="0"/>
      <w:divBdr>
        <w:top w:val="none" w:sz="0" w:space="0" w:color="auto"/>
        <w:left w:val="none" w:sz="0" w:space="0" w:color="auto"/>
        <w:bottom w:val="none" w:sz="0" w:space="0" w:color="auto"/>
        <w:right w:val="none" w:sz="0" w:space="0" w:color="auto"/>
      </w:divBdr>
    </w:div>
    <w:div w:id="515118259">
      <w:bodyDiv w:val="1"/>
      <w:marLeft w:val="0"/>
      <w:marRight w:val="0"/>
      <w:marTop w:val="0"/>
      <w:marBottom w:val="0"/>
      <w:divBdr>
        <w:top w:val="none" w:sz="0" w:space="0" w:color="auto"/>
        <w:left w:val="none" w:sz="0" w:space="0" w:color="auto"/>
        <w:bottom w:val="none" w:sz="0" w:space="0" w:color="auto"/>
        <w:right w:val="none" w:sz="0" w:space="0" w:color="auto"/>
      </w:divBdr>
      <w:divsChild>
        <w:div w:id="433987837">
          <w:marLeft w:val="274"/>
          <w:marRight w:val="0"/>
          <w:marTop w:val="0"/>
          <w:marBottom w:val="0"/>
          <w:divBdr>
            <w:top w:val="none" w:sz="0" w:space="0" w:color="auto"/>
            <w:left w:val="none" w:sz="0" w:space="0" w:color="auto"/>
            <w:bottom w:val="none" w:sz="0" w:space="0" w:color="auto"/>
            <w:right w:val="none" w:sz="0" w:space="0" w:color="auto"/>
          </w:divBdr>
        </w:div>
        <w:div w:id="1221869650">
          <w:marLeft w:val="274"/>
          <w:marRight w:val="0"/>
          <w:marTop w:val="0"/>
          <w:marBottom w:val="0"/>
          <w:divBdr>
            <w:top w:val="none" w:sz="0" w:space="0" w:color="auto"/>
            <w:left w:val="none" w:sz="0" w:space="0" w:color="auto"/>
            <w:bottom w:val="none" w:sz="0" w:space="0" w:color="auto"/>
            <w:right w:val="none" w:sz="0" w:space="0" w:color="auto"/>
          </w:divBdr>
        </w:div>
      </w:divsChild>
    </w:div>
    <w:div w:id="547574626">
      <w:bodyDiv w:val="1"/>
      <w:marLeft w:val="0"/>
      <w:marRight w:val="0"/>
      <w:marTop w:val="0"/>
      <w:marBottom w:val="0"/>
      <w:divBdr>
        <w:top w:val="none" w:sz="0" w:space="0" w:color="auto"/>
        <w:left w:val="none" w:sz="0" w:space="0" w:color="auto"/>
        <w:bottom w:val="none" w:sz="0" w:space="0" w:color="auto"/>
        <w:right w:val="none" w:sz="0" w:space="0" w:color="auto"/>
      </w:divBdr>
    </w:div>
    <w:div w:id="552887272">
      <w:bodyDiv w:val="1"/>
      <w:marLeft w:val="0"/>
      <w:marRight w:val="0"/>
      <w:marTop w:val="0"/>
      <w:marBottom w:val="0"/>
      <w:divBdr>
        <w:top w:val="none" w:sz="0" w:space="0" w:color="auto"/>
        <w:left w:val="none" w:sz="0" w:space="0" w:color="auto"/>
        <w:bottom w:val="none" w:sz="0" w:space="0" w:color="auto"/>
        <w:right w:val="none" w:sz="0" w:space="0" w:color="auto"/>
      </w:divBdr>
    </w:div>
    <w:div w:id="588080852">
      <w:bodyDiv w:val="1"/>
      <w:marLeft w:val="0"/>
      <w:marRight w:val="0"/>
      <w:marTop w:val="0"/>
      <w:marBottom w:val="0"/>
      <w:divBdr>
        <w:top w:val="none" w:sz="0" w:space="0" w:color="auto"/>
        <w:left w:val="none" w:sz="0" w:space="0" w:color="auto"/>
        <w:bottom w:val="none" w:sz="0" w:space="0" w:color="auto"/>
        <w:right w:val="none" w:sz="0" w:space="0" w:color="auto"/>
      </w:divBdr>
    </w:div>
    <w:div w:id="609974047">
      <w:bodyDiv w:val="1"/>
      <w:marLeft w:val="0"/>
      <w:marRight w:val="0"/>
      <w:marTop w:val="0"/>
      <w:marBottom w:val="0"/>
      <w:divBdr>
        <w:top w:val="none" w:sz="0" w:space="0" w:color="auto"/>
        <w:left w:val="none" w:sz="0" w:space="0" w:color="auto"/>
        <w:bottom w:val="none" w:sz="0" w:space="0" w:color="auto"/>
        <w:right w:val="none" w:sz="0" w:space="0" w:color="auto"/>
      </w:divBdr>
    </w:div>
    <w:div w:id="662053182">
      <w:bodyDiv w:val="1"/>
      <w:marLeft w:val="0"/>
      <w:marRight w:val="0"/>
      <w:marTop w:val="0"/>
      <w:marBottom w:val="0"/>
      <w:divBdr>
        <w:top w:val="none" w:sz="0" w:space="0" w:color="auto"/>
        <w:left w:val="none" w:sz="0" w:space="0" w:color="auto"/>
        <w:bottom w:val="none" w:sz="0" w:space="0" w:color="auto"/>
        <w:right w:val="none" w:sz="0" w:space="0" w:color="auto"/>
      </w:divBdr>
    </w:div>
    <w:div w:id="669523317">
      <w:bodyDiv w:val="1"/>
      <w:marLeft w:val="0"/>
      <w:marRight w:val="0"/>
      <w:marTop w:val="0"/>
      <w:marBottom w:val="0"/>
      <w:divBdr>
        <w:top w:val="none" w:sz="0" w:space="0" w:color="auto"/>
        <w:left w:val="none" w:sz="0" w:space="0" w:color="auto"/>
        <w:bottom w:val="none" w:sz="0" w:space="0" w:color="auto"/>
        <w:right w:val="none" w:sz="0" w:space="0" w:color="auto"/>
      </w:divBdr>
    </w:div>
    <w:div w:id="697268996">
      <w:bodyDiv w:val="1"/>
      <w:marLeft w:val="0"/>
      <w:marRight w:val="0"/>
      <w:marTop w:val="0"/>
      <w:marBottom w:val="0"/>
      <w:divBdr>
        <w:top w:val="none" w:sz="0" w:space="0" w:color="auto"/>
        <w:left w:val="none" w:sz="0" w:space="0" w:color="auto"/>
        <w:bottom w:val="none" w:sz="0" w:space="0" w:color="auto"/>
        <w:right w:val="none" w:sz="0" w:space="0" w:color="auto"/>
      </w:divBdr>
    </w:div>
    <w:div w:id="761880428">
      <w:bodyDiv w:val="1"/>
      <w:marLeft w:val="0"/>
      <w:marRight w:val="0"/>
      <w:marTop w:val="0"/>
      <w:marBottom w:val="0"/>
      <w:divBdr>
        <w:top w:val="none" w:sz="0" w:space="0" w:color="auto"/>
        <w:left w:val="none" w:sz="0" w:space="0" w:color="auto"/>
        <w:bottom w:val="none" w:sz="0" w:space="0" w:color="auto"/>
        <w:right w:val="none" w:sz="0" w:space="0" w:color="auto"/>
      </w:divBdr>
    </w:div>
    <w:div w:id="812331394">
      <w:bodyDiv w:val="1"/>
      <w:marLeft w:val="0"/>
      <w:marRight w:val="0"/>
      <w:marTop w:val="0"/>
      <w:marBottom w:val="0"/>
      <w:divBdr>
        <w:top w:val="none" w:sz="0" w:space="0" w:color="auto"/>
        <w:left w:val="none" w:sz="0" w:space="0" w:color="auto"/>
        <w:bottom w:val="none" w:sz="0" w:space="0" w:color="auto"/>
        <w:right w:val="none" w:sz="0" w:space="0" w:color="auto"/>
      </w:divBdr>
    </w:div>
    <w:div w:id="846748878">
      <w:bodyDiv w:val="1"/>
      <w:marLeft w:val="0"/>
      <w:marRight w:val="0"/>
      <w:marTop w:val="0"/>
      <w:marBottom w:val="0"/>
      <w:divBdr>
        <w:top w:val="none" w:sz="0" w:space="0" w:color="auto"/>
        <w:left w:val="none" w:sz="0" w:space="0" w:color="auto"/>
        <w:bottom w:val="none" w:sz="0" w:space="0" w:color="auto"/>
        <w:right w:val="none" w:sz="0" w:space="0" w:color="auto"/>
      </w:divBdr>
    </w:div>
    <w:div w:id="851257185">
      <w:bodyDiv w:val="1"/>
      <w:marLeft w:val="0"/>
      <w:marRight w:val="0"/>
      <w:marTop w:val="0"/>
      <w:marBottom w:val="0"/>
      <w:divBdr>
        <w:top w:val="none" w:sz="0" w:space="0" w:color="auto"/>
        <w:left w:val="none" w:sz="0" w:space="0" w:color="auto"/>
        <w:bottom w:val="none" w:sz="0" w:space="0" w:color="auto"/>
        <w:right w:val="none" w:sz="0" w:space="0" w:color="auto"/>
      </w:divBdr>
      <w:divsChild>
        <w:div w:id="976571572">
          <w:marLeft w:val="274"/>
          <w:marRight w:val="0"/>
          <w:marTop w:val="0"/>
          <w:marBottom w:val="0"/>
          <w:divBdr>
            <w:top w:val="none" w:sz="0" w:space="0" w:color="auto"/>
            <w:left w:val="none" w:sz="0" w:space="0" w:color="auto"/>
            <w:bottom w:val="none" w:sz="0" w:space="0" w:color="auto"/>
            <w:right w:val="none" w:sz="0" w:space="0" w:color="auto"/>
          </w:divBdr>
        </w:div>
        <w:div w:id="1102842604">
          <w:marLeft w:val="274"/>
          <w:marRight w:val="0"/>
          <w:marTop w:val="0"/>
          <w:marBottom w:val="0"/>
          <w:divBdr>
            <w:top w:val="none" w:sz="0" w:space="0" w:color="auto"/>
            <w:left w:val="none" w:sz="0" w:space="0" w:color="auto"/>
            <w:bottom w:val="none" w:sz="0" w:space="0" w:color="auto"/>
            <w:right w:val="none" w:sz="0" w:space="0" w:color="auto"/>
          </w:divBdr>
        </w:div>
        <w:div w:id="1342244061">
          <w:marLeft w:val="274"/>
          <w:marRight w:val="0"/>
          <w:marTop w:val="0"/>
          <w:marBottom w:val="0"/>
          <w:divBdr>
            <w:top w:val="none" w:sz="0" w:space="0" w:color="auto"/>
            <w:left w:val="none" w:sz="0" w:space="0" w:color="auto"/>
            <w:bottom w:val="none" w:sz="0" w:space="0" w:color="auto"/>
            <w:right w:val="none" w:sz="0" w:space="0" w:color="auto"/>
          </w:divBdr>
        </w:div>
        <w:div w:id="1963068832">
          <w:marLeft w:val="274"/>
          <w:marRight w:val="0"/>
          <w:marTop w:val="0"/>
          <w:marBottom w:val="0"/>
          <w:divBdr>
            <w:top w:val="none" w:sz="0" w:space="0" w:color="auto"/>
            <w:left w:val="none" w:sz="0" w:space="0" w:color="auto"/>
            <w:bottom w:val="none" w:sz="0" w:space="0" w:color="auto"/>
            <w:right w:val="none" w:sz="0" w:space="0" w:color="auto"/>
          </w:divBdr>
        </w:div>
      </w:divsChild>
    </w:div>
    <w:div w:id="931619395">
      <w:bodyDiv w:val="1"/>
      <w:marLeft w:val="0"/>
      <w:marRight w:val="0"/>
      <w:marTop w:val="0"/>
      <w:marBottom w:val="0"/>
      <w:divBdr>
        <w:top w:val="none" w:sz="0" w:space="0" w:color="auto"/>
        <w:left w:val="none" w:sz="0" w:space="0" w:color="auto"/>
        <w:bottom w:val="none" w:sz="0" w:space="0" w:color="auto"/>
        <w:right w:val="none" w:sz="0" w:space="0" w:color="auto"/>
      </w:divBdr>
    </w:div>
    <w:div w:id="947858869">
      <w:bodyDiv w:val="1"/>
      <w:marLeft w:val="0"/>
      <w:marRight w:val="0"/>
      <w:marTop w:val="0"/>
      <w:marBottom w:val="0"/>
      <w:divBdr>
        <w:top w:val="none" w:sz="0" w:space="0" w:color="auto"/>
        <w:left w:val="none" w:sz="0" w:space="0" w:color="auto"/>
        <w:bottom w:val="none" w:sz="0" w:space="0" w:color="auto"/>
        <w:right w:val="none" w:sz="0" w:space="0" w:color="auto"/>
      </w:divBdr>
    </w:div>
    <w:div w:id="981079118">
      <w:bodyDiv w:val="1"/>
      <w:marLeft w:val="0"/>
      <w:marRight w:val="0"/>
      <w:marTop w:val="0"/>
      <w:marBottom w:val="0"/>
      <w:divBdr>
        <w:top w:val="none" w:sz="0" w:space="0" w:color="auto"/>
        <w:left w:val="none" w:sz="0" w:space="0" w:color="auto"/>
        <w:bottom w:val="none" w:sz="0" w:space="0" w:color="auto"/>
        <w:right w:val="none" w:sz="0" w:space="0" w:color="auto"/>
      </w:divBdr>
    </w:div>
    <w:div w:id="1008865822">
      <w:bodyDiv w:val="1"/>
      <w:marLeft w:val="0"/>
      <w:marRight w:val="0"/>
      <w:marTop w:val="0"/>
      <w:marBottom w:val="0"/>
      <w:divBdr>
        <w:top w:val="none" w:sz="0" w:space="0" w:color="auto"/>
        <w:left w:val="none" w:sz="0" w:space="0" w:color="auto"/>
        <w:bottom w:val="none" w:sz="0" w:space="0" w:color="auto"/>
        <w:right w:val="none" w:sz="0" w:space="0" w:color="auto"/>
      </w:divBdr>
    </w:div>
    <w:div w:id="1067650614">
      <w:bodyDiv w:val="1"/>
      <w:marLeft w:val="0"/>
      <w:marRight w:val="0"/>
      <w:marTop w:val="0"/>
      <w:marBottom w:val="0"/>
      <w:divBdr>
        <w:top w:val="none" w:sz="0" w:space="0" w:color="auto"/>
        <w:left w:val="none" w:sz="0" w:space="0" w:color="auto"/>
        <w:bottom w:val="none" w:sz="0" w:space="0" w:color="auto"/>
        <w:right w:val="none" w:sz="0" w:space="0" w:color="auto"/>
      </w:divBdr>
    </w:div>
    <w:div w:id="1073550899">
      <w:bodyDiv w:val="1"/>
      <w:marLeft w:val="0"/>
      <w:marRight w:val="0"/>
      <w:marTop w:val="0"/>
      <w:marBottom w:val="0"/>
      <w:divBdr>
        <w:top w:val="none" w:sz="0" w:space="0" w:color="auto"/>
        <w:left w:val="none" w:sz="0" w:space="0" w:color="auto"/>
        <w:bottom w:val="none" w:sz="0" w:space="0" w:color="auto"/>
        <w:right w:val="none" w:sz="0" w:space="0" w:color="auto"/>
      </w:divBdr>
    </w:div>
    <w:div w:id="1095173231">
      <w:bodyDiv w:val="1"/>
      <w:marLeft w:val="0"/>
      <w:marRight w:val="0"/>
      <w:marTop w:val="0"/>
      <w:marBottom w:val="0"/>
      <w:divBdr>
        <w:top w:val="none" w:sz="0" w:space="0" w:color="auto"/>
        <w:left w:val="none" w:sz="0" w:space="0" w:color="auto"/>
        <w:bottom w:val="none" w:sz="0" w:space="0" w:color="auto"/>
        <w:right w:val="none" w:sz="0" w:space="0" w:color="auto"/>
      </w:divBdr>
    </w:div>
    <w:div w:id="1139807342">
      <w:bodyDiv w:val="1"/>
      <w:marLeft w:val="0"/>
      <w:marRight w:val="0"/>
      <w:marTop w:val="0"/>
      <w:marBottom w:val="0"/>
      <w:divBdr>
        <w:top w:val="none" w:sz="0" w:space="0" w:color="auto"/>
        <w:left w:val="none" w:sz="0" w:space="0" w:color="auto"/>
        <w:bottom w:val="none" w:sz="0" w:space="0" w:color="auto"/>
        <w:right w:val="none" w:sz="0" w:space="0" w:color="auto"/>
      </w:divBdr>
    </w:div>
    <w:div w:id="1148060046">
      <w:bodyDiv w:val="1"/>
      <w:marLeft w:val="0"/>
      <w:marRight w:val="0"/>
      <w:marTop w:val="0"/>
      <w:marBottom w:val="0"/>
      <w:divBdr>
        <w:top w:val="none" w:sz="0" w:space="0" w:color="auto"/>
        <w:left w:val="none" w:sz="0" w:space="0" w:color="auto"/>
        <w:bottom w:val="none" w:sz="0" w:space="0" w:color="auto"/>
        <w:right w:val="none" w:sz="0" w:space="0" w:color="auto"/>
      </w:divBdr>
    </w:div>
    <w:div w:id="1151287969">
      <w:bodyDiv w:val="1"/>
      <w:marLeft w:val="0"/>
      <w:marRight w:val="0"/>
      <w:marTop w:val="0"/>
      <w:marBottom w:val="0"/>
      <w:divBdr>
        <w:top w:val="none" w:sz="0" w:space="0" w:color="auto"/>
        <w:left w:val="none" w:sz="0" w:space="0" w:color="auto"/>
        <w:bottom w:val="none" w:sz="0" w:space="0" w:color="auto"/>
        <w:right w:val="none" w:sz="0" w:space="0" w:color="auto"/>
      </w:divBdr>
    </w:div>
    <w:div w:id="1271206926">
      <w:bodyDiv w:val="1"/>
      <w:marLeft w:val="0"/>
      <w:marRight w:val="0"/>
      <w:marTop w:val="0"/>
      <w:marBottom w:val="0"/>
      <w:divBdr>
        <w:top w:val="none" w:sz="0" w:space="0" w:color="auto"/>
        <w:left w:val="none" w:sz="0" w:space="0" w:color="auto"/>
        <w:bottom w:val="none" w:sz="0" w:space="0" w:color="auto"/>
        <w:right w:val="none" w:sz="0" w:space="0" w:color="auto"/>
      </w:divBdr>
    </w:div>
    <w:div w:id="1271860017">
      <w:bodyDiv w:val="1"/>
      <w:marLeft w:val="0"/>
      <w:marRight w:val="0"/>
      <w:marTop w:val="0"/>
      <w:marBottom w:val="0"/>
      <w:divBdr>
        <w:top w:val="none" w:sz="0" w:space="0" w:color="auto"/>
        <w:left w:val="none" w:sz="0" w:space="0" w:color="auto"/>
        <w:bottom w:val="none" w:sz="0" w:space="0" w:color="auto"/>
        <w:right w:val="none" w:sz="0" w:space="0" w:color="auto"/>
      </w:divBdr>
    </w:div>
    <w:div w:id="1294942189">
      <w:bodyDiv w:val="1"/>
      <w:marLeft w:val="0"/>
      <w:marRight w:val="0"/>
      <w:marTop w:val="0"/>
      <w:marBottom w:val="0"/>
      <w:divBdr>
        <w:top w:val="none" w:sz="0" w:space="0" w:color="auto"/>
        <w:left w:val="none" w:sz="0" w:space="0" w:color="auto"/>
        <w:bottom w:val="none" w:sz="0" w:space="0" w:color="auto"/>
        <w:right w:val="none" w:sz="0" w:space="0" w:color="auto"/>
      </w:divBdr>
    </w:div>
    <w:div w:id="1312709122">
      <w:bodyDiv w:val="1"/>
      <w:marLeft w:val="0"/>
      <w:marRight w:val="0"/>
      <w:marTop w:val="0"/>
      <w:marBottom w:val="0"/>
      <w:divBdr>
        <w:top w:val="none" w:sz="0" w:space="0" w:color="auto"/>
        <w:left w:val="none" w:sz="0" w:space="0" w:color="auto"/>
        <w:bottom w:val="none" w:sz="0" w:space="0" w:color="auto"/>
        <w:right w:val="none" w:sz="0" w:space="0" w:color="auto"/>
      </w:divBdr>
    </w:div>
    <w:div w:id="1326201136">
      <w:bodyDiv w:val="1"/>
      <w:marLeft w:val="0"/>
      <w:marRight w:val="0"/>
      <w:marTop w:val="0"/>
      <w:marBottom w:val="0"/>
      <w:divBdr>
        <w:top w:val="none" w:sz="0" w:space="0" w:color="auto"/>
        <w:left w:val="none" w:sz="0" w:space="0" w:color="auto"/>
        <w:bottom w:val="none" w:sz="0" w:space="0" w:color="auto"/>
        <w:right w:val="none" w:sz="0" w:space="0" w:color="auto"/>
      </w:divBdr>
    </w:div>
    <w:div w:id="1366950880">
      <w:bodyDiv w:val="1"/>
      <w:marLeft w:val="0"/>
      <w:marRight w:val="0"/>
      <w:marTop w:val="0"/>
      <w:marBottom w:val="0"/>
      <w:divBdr>
        <w:top w:val="none" w:sz="0" w:space="0" w:color="auto"/>
        <w:left w:val="none" w:sz="0" w:space="0" w:color="auto"/>
        <w:bottom w:val="none" w:sz="0" w:space="0" w:color="auto"/>
        <w:right w:val="none" w:sz="0" w:space="0" w:color="auto"/>
      </w:divBdr>
    </w:div>
    <w:div w:id="1372459967">
      <w:bodyDiv w:val="1"/>
      <w:marLeft w:val="0"/>
      <w:marRight w:val="0"/>
      <w:marTop w:val="0"/>
      <w:marBottom w:val="0"/>
      <w:divBdr>
        <w:top w:val="none" w:sz="0" w:space="0" w:color="auto"/>
        <w:left w:val="none" w:sz="0" w:space="0" w:color="auto"/>
        <w:bottom w:val="none" w:sz="0" w:space="0" w:color="auto"/>
        <w:right w:val="none" w:sz="0" w:space="0" w:color="auto"/>
      </w:divBdr>
    </w:div>
    <w:div w:id="1382050572">
      <w:bodyDiv w:val="1"/>
      <w:marLeft w:val="0"/>
      <w:marRight w:val="0"/>
      <w:marTop w:val="0"/>
      <w:marBottom w:val="0"/>
      <w:divBdr>
        <w:top w:val="none" w:sz="0" w:space="0" w:color="auto"/>
        <w:left w:val="none" w:sz="0" w:space="0" w:color="auto"/>
        <w:bottom w:val="none" w:sz="0" w:space="0" w:color="auto"/>
        <w:right w:val="none" w:sz="0" w:space="0" w:color="auto"/>
      </w:divBdr>
    </w:div>
    <w:div w:id="1402437508">
      <w:bodyDiv w:val="1"/>
      <w:marLeft w:val="0"/>
      <w:marRight w:val="0"/>
      <w:marTop w:val="0"/>
      <w:marBottom w:val="0"/>
      <w:divBdr>
        <w:top w:val="none" w:sz="0" w:space="0" w:color="auto"/>
        <w:left w:val="none" w:sz="0" w:space="0" w:color="auto"/>
        <w:bottom w:val="none" w:sz="0" w:space="0" w:color="auto"/>
        <w:right w:val="none" w:sz="0" w:space="0" w:color="auto"/>
      </w:divBdr>
    </w:div>
    <w:div w:id="1463887183">
      <w:bodyDiv w:val="1"/>
      <w:marLeft w:val="0"/>
      <w:marRight w:val="0"/>
      <w:marTop w:val="0"/>
      <w:marBottom w:val="0"/>
      <w:divBdr>
        <w:top w:val="none" w:sz="0" w:space="0" w:color="auto"/>
        <w:left w:val="none" w:sz="0" w:space="0" w:color="auto"/>
        <w:bottom w:val="none" w:sz="0" w:space="0" w:color="auto"/>
        <w:right w:val="none" w:sz="0" w:space="0" w:color="auto"/>
      </w:divBdr>
    </w:div>
    <w:div w:id="1485585454">
      <w:bodyDiv w:val="1"/>
      <w:marLeft w:val="0"/>
      <w:marRight w:val="0"/>
      <w:marTop w:val="0"/>
      <w:marBottom w:val="0"/>
      <w:divBdr>
        <w:top w:val="none" w:sz="0" w:space="0" w:color="auto"/>
        <w:left w:val="none" w:sz="0" w:space="0" w:color="auto"/>
        <w:bottom w:val="none" w:sz="0" w:space="0" w:color="auto"/>
        <w:right w:val="none" w:sz="0" w:space="0" w:color="auto"/>
      </w:divBdr>
    </w:div>
    <w:div w:id="1500121915">
      <w:bodyDiv w:val="1"/>
      <w:marLeft w:val="0"/>
      <w:marRight w:val="0"/>
      <w:marTop w:val="0"/>
      <w:marBottom w:val="0"/>
      <w:divBdr>
        <w:top w:val="none" w:sz="0" w:space="0" w:color="auto"/>
        <w:left w:val="none" w:sz="0" w:space="0" w:color="auto"/>
        <w:bottom w:val="none" w:sz="0" w:space="0" w:color="auto"/>
        <w:right w:val="none" w:sz="0" w:space="0" w:color="auto"/>
      </w:divBdr>
    </w:div>
    <w:div w:id="1520855969">
      <w:bodyDiv w:val="1"/>
      <w:marLeft w:val="0"/>
      <w:marRight w:val="0"/>
      <w:marTop w:val="0"/>
      <w:marBottom w:val="0"/>
      <w:divBdr>
        <w:top w:val="none" w:sz="0" w:space="0" w:color="auto"/>
        <w:left w:val="none" w:sz="0" w:space="0" w:color="auto"/>
        <w:bottom w:val="none" w:sz="0" w:space="0" w:color="auto"/>
        <w:right w:val="none" w:sz="0" w:space="0" w:color="auto"/>
      </w:divBdr>
    </w:div>
    <w:div w:id="1551115493">
      <w:bodyDiv w:val="1"/>
      <w:marLeft w:val="0"/>
      <w:marRight w:val="0"/>
      <w:marTop w:val="0"/>
      <w:marBottom w:val="0"/>
      <w:divBdr>
        <w:top w:val="none" w:sz="0" w:space="0" w:color="auto"/>
        <w:left w:val="none" w:sz="0" w:space="0" w:color="auto"/>
        <w:bottom w:val="none" w:sz="0" w:space="0" w:color="auto"/>
        <w:right w:val="none" w:sz="0" w:space="0" w:color="auto"/>
      </w:divBdr>
    </w:div>
    <w:div w:id="1574002027">
      <w:bodyDiv w:val="1"/>
      <w:marLeft w:val="0"/>
      <w:marRight w:val="0"/>
      <w:marTop w:val="0"/>
      <w:marBottom w:val="0"/>
      <w:divBdr>
        <w:top w:val="none" w:sz="0" w:space="0" w:color="auto"/>
        <w:left w:val="none" w:sz="0" w:space="0" w:color="auto"/>
        <w:bottom w:val="none" w:sz="0" w:space="0" w:color="auto"/>
        <w:right w:val="none" w:sz="0" w:space="0" w:color="auto"/>
      </w:divBdr>
    </w:div>
    <w:div w:id="1575385537">
      <w:bodyDiv w:val="1"/>
      <w:marLeft w:val="0"/>
      <w:marRight w:val="0"/>
      <w:marTop w:val="0"/>
      <w:marBottom w:val="0"/>
      <w:divBdr>
        <w:top w:val="none" w:sz="0" w:space="0" w:color="auto"/>
        <w:left w:val="none" w:sz="0" w:space="0" w:color="auto"/>
        <w:bottom w:val="none" w:sz="0" w:space="0" w:color="auto"/>
        <w:right w:val="none" w:sz="0" w:space="0" w:color="auto"/>
      </w:divBdr>
    </w:div>
    <w:div w:id="1576738543">
      <w:bodyDiv w:val="1"/>
      <w:marLeft w:val="0"/>
      <w:marRight w:val="0"/>
      <w:marTop w:val="0"/>
      <w:marBottom w:val="0"/>
      <w:divBdr>
        <w:top w:val="none" w:sz="0" w:space="0" w:color="auto"/>
        <w:left w:val="none" w:sz="0" w:space="0" w:color="auto"/>
        <w:bottom w:val="none" w:sz="0" w:space="0" w:color="auto"/>
        <w:right w:val="none" w:sz="0" w:space="0" w:color="auto"/>
      </w:divBdr>
    </w:div>
    <w:div w:id="1616594999">
      <w:bodyDiv w:val="1"/>
      <w:marLeft w:val="0"/>
      <w:marRight w:val="0"/>
      <w:marTop w:val="0"/>
      <w:marBottom w:val="0"/>
      <w:divBdr>
        <w:top w:val="none" w:sz="0" w:space="0" w:color="auto"/>
        <w:left w:val="none" w:sz="0" w:space="0" w:color="auto"/>
        <w:bottom w:val="none" w:sz="0" w:space="0" w:color="auto"/>
        <w:right w:val="none" w:sz="0" w:space="0" w:color="auto"/>
      </w:divBdr>
    </w:div>
    <w:div w:id="1618486607">
      <w:bodyDiv w:val="1"/>
      <w:marLeft w:val="0"/>
      <w:marRight w:val="0"/>
      <w:marTop w:val="0"/>
      <w:marBottom w:val="0"/>
      <w:divBdr>
        <w:top w:val="none" w:sz="0" w:space="0" w:color="auto"/>
        <w:left w:val="none" w:sz="0" w:space="0" w:color="auto"/>
        <w:bottom w:val="none" w:sz="0" w:space="0" w:color="auto"/>
        <w:right w:val="none" w:sz="0" w:space="0" w:color="auto"/>
      </w:divBdr>
    </w:div>
    <w:div w:id="1625767638">
      <w:bodyDiv w:val="1"/>
      <w:marLeft w:val="0"/>
      <w:marRight w:val="0"/>
      <w:marTop w:val="0"/>
      <w:marBottom w:val="0"/>
      <w:divBdr>
        <w:top w:val="none" w:sz="0" w:space="0" w:color="auto"/>
        <w:left w:val="none" w:sz="0" w:space="0" w:color="auto"/>
        <w:bottom w:val="none" w:sz="0" w:space="0" w:color="auto"/>
        <w:right w:val="none" w:sz="0" w:space="0" w:color="auto"/>
      </w:divBdr>
    </w:div>
    <w:div w:id="1641223368">
      <w:bodyDiv w:val="1"/>
      <w:marLeft w:val="0"/>
      <w:marRight w:val="0"/>
      <w:marTop w:val="0"/>
      <w:marBottom w:val="0"/>
      <w:divBdr>
        <w:top w:val="none" w:sz="0" w:space="0" w:color="auto"/>
        <w:left w:val="none" w:sz="0" w:space="0" w:color="auto"/>
        <w:bottom w:val="none" w:sz="0" w:space="0" w:color="auto"/>
        <w:right w:val="none" w:sz="0" w:space="0" w:color="auto"/>
      </w:divBdr>
    </w:div>
    <w:div w:id="1649746207">
      <w:bodyDiv w:val="1"/>
      <w:marLeft w:val="0"/>
      <w:marRight w:val="0"/>
      <w:marTop w:val="0"/>
      <w:marBottom w:val="0"/>
      <w:divBdr>
        <w:top w:val="none" w:sz="0" w:space="0" w:color="auto"/>
        <w:left w:val="none" w:sz="0" w:space="0" w:color="auto"/>
        <w:bottom w:val="none" w:sz="0" w:space="0" w:color="auto"/>
        <w:right w:val="none" w:sz="0" w:space="0" w:color="auto"/>
      </w:divBdr>
    </w:div>
    <w:div w:id="1656913097">
      <w:bodyDiv w:val="1"/>
      <w:marLeft w:val="0"/>
      <w:marRight w:val="0"/>
      <w:marTop w:val="0"/>
      <w:marBottom w:val="0"/>
      <w:divBdr>
        <w:top w:val="none" w:sz="0" w:space="0" w:color="auto"/>
        <w:left w:val="none" w:sz="0" w:space="0" w:color="auto"/>
        <w:bottom w:val="none" w:sz="0" w:space="0" w:color="auto"/>
        <w:right w:val="none" w:sz="0" w:space="0" w:color="auto"/>
      </w:divBdr>
    </w:div>
    <w:div w:id="1666784161">
      <w:bodyDiv w:val="1"/>
      <w:marLeft w:val="0"/>
      <w:marRight w:val="0"/>
      <w:marTop w:val="0"/>
      <w:marBottom w:val="0"/>
      <w:divBdr>
        <w:top w:val="none" w:sz="0" w:space="0" w:color="auto"/>
        <w:left w:val="none" w:sz="0" w:space="0" w:color="auto"/>
        <w:bottom w:val="none" w:sz="0" w:space="0" w:color="auto"/>
        <w:right w:val="none" w:sz="0" w:space="0" w:color="auto"/>
      </w:divBdr>
    </w:div>
    <w:div w:id="1670134449">
      <w:bodyDiv w:val="1"/>
      <w:marLeft w:val="0"/>
      <w:marRight w:val="0"/>
      <w:marTop w:val="0"/>
      <w:marBottom w:val="0"/>
      <w:divBdr>
        <w:top w:val="none" w:sz="0" w:space="0" w:color="auto"/>
        <w:left w:val="none" w:sz="0" w:space="0" w:color="auto"/>
        <w:bottom w:val="none" w:sz="0" w:space="0" w:color="auto"/>
        <w:right w:val="none" w:sz="0" w:space="0" w:color="auto"/>
      </w:divBdr>
    </w:div>
    <w:div w:id="1685016189">
      <w:bodyDiv w:val="1"/>
      <w:marLeft w:val="0"/>
      <w:marRight w:val="0"/>
      <w:marTop w:val="0"/>
      <w:marBottom w:val="0"/>
      <w:divBdr>
        <w:top w:val="none" w:sz="0" w:space="0" w:color="auto"/>
        <w:left w:val="none" w:sz="0" w:space="0" w:color="auto"/>
        <w:bottom w:val="none" w:sz="0" w:space="0" w:color="auto"/>
        <w:right w:val="none" w:sz="0" w:space="0" w:color="auto"/>
      </w:divBdr>
    </w:div>
    <w:div w:id="1702633259">
      <w:bodyDiv w:val="1"/>
      <w:marLeft w:val="0"/>
      <w:marRight w:val="0"/>
      <w:marTop w:val="0"/>
      <w:marBottom w:val="0"/>
      <w:divBdr>
        <w:top w:val="none" w:sz="0" w:space="0" w:color="auto"/>
        <w:left w:val="none" w:sz="0" w:space="0" w:color="auto"/>
        <w:bottom w:val="none" w:sz="0" w:space="0" w:color="auto"/>
        <w:right w:val="none" w:sz="0" w:space="0" w:color="auto"/>
      </w:divBdr>
    </w:div>
    <w:div w:id="1709797495">
      <w:bodyDiv w:val="1"/>
      <w:marLeft w:val="0"/>
      <w:marRight w:val="0"/>
      <w:marTop w:val="0"/>
      <w:marBottom w:val="0"/>
      <w:divBdr>
        <w:top w:val="none" w:sz="0" w:space="0" w:color="auto"/>
        <w:left w:val="none" w:sz="0" w:space="0" w:color="auto"/>
        <w:bottom w:val="none" w:sz="0" w:space="0" w:color="auto"/>
        <w:right w:val="none" w:sz="0" w:space="0" w:color="auto"/>
      </w:divBdr>
    </w:div>
    <w:div w:id="1880511637">
      <w:bodyDiv w:val="1"/>
      <w:marLeft w:val="0"/>
      <w:marRight w:val="0"/>
      <w:marTop w:val="0"/>
      <w:marBottom w:val="0"/>
      <w:divBdr>
        <w:top w:val="none" w:sz="0" w:space="0" w:color="auto"/>
        <w:left w:val="none" w:sz="0" w:space="0" w:color="auto"/>
        <w:bottom w:val="none" w:sz="0" w:space="0" w:color="auto"/>
        <w:right w:val="none" w:sz="0" w:space="0" w:color="auto"/>
      </w:divBdr>
    </w:div>
    <w:div w:id="1891844466">
      <w:bodyDiv w:val="1"/>
      <w:marLeft w:val="0"/>
      <w:marRight w:val="0"/>
      <w:marTop w:val="0"/>
      <w:marBottom w:val="0"/>
      <w:divBdr>
        <w:top w:val="none" w:sz="0" w:space="0" w:color="auto"/>
        <w:left w:val="none" w:sz="0" w:space="0" w:color="auto"/>
        <w:bottom w:val="none" w:sz="0" w:space="0" w:color="auto"/>
        <w:right w:val="none" w:sz="0" w:space="0" w:color="auto"/>
      </w:divBdr>
    </w:div>
    <w:div w:id="1933271513">
      <w:bodyDiv w:val="1"/>
      <w:marLeft w:val="0"/>
      <w:marRight w:val="0"/>
      <w:marTop w:val="0"/>
      <w:marBottom w:val="0"/>
      <w:divBdr>
        <w:top w:val="none" w:sz="0" w:space="0" w:color="auto"/>
        <w:left w:val="none" w:sz="0" w:space="0" w:color="auto"/>
        <w:bottom w:val="none" w:sz="0" w:space="0" w:color="auto"/>
        <w:right w:val="none" w:sz="0" w:space="0" w:color="auto"/>
      </w:divBdr>
    </w:div>
    <w:div w:id="1951207493">
      <w:bodyDiv w:val="1"/>
      <w:marLeft w:val="0"/>
      <w:marRight w:val="0"/>
      <w:marTop w:val="0"/>
      <w:marBottom w:val="0"/>
      <w:divBdr>
        <w:top w:val="none" w:sz="0" w:space="0" w:color="auto"/>
        <w:left w:val="none" w:sz="0" w:space="0" w:color="auto"/>
        <w:bottom w:val="none" w:sz="0" w:space="0" w:color="auto"/>
        <w:right w:val="none" w:sz="0" w:space="0" w:color="auto"/>
      </w:divBdr>
    </w:div>
    <w:div w:id="1966812783">
      <w:bodyDiv w:val="1"/>
      <w:marLeft w:val="0"/>
      <w:marRight w:val="0"/>
      <w:marTop w:val="0"/>
      <w:marBottom w:val="0"/>
      <w:divBdr>
        <w:top w:val="none" w:sz="0" w:space="0" w:color="auto"/>
        <w:left w:val="none" w:sz="0" w:space="0" w:color="auto"/>
        <w:bottom w:val="none" w:sz="0" w:space="0" w:color="auto"/>
        <w:right w:val="none" w:sz="0" w:space="0" w:color="auto"/>
      </w:divBdr>
    </w:div>
    <w:div w:id="2011249259">
      <w:bodyDiv w:val="1"/>
      <w:marLeft w:val="0"/>
      <w:marRight w:val="0"/>
      <w:marTop w:val="0"/>
      <w:marBottom w:val="0"/>
      <w:divBdr>
        <w:top w:val="none" w:sz="0" w:space="0" w:color="auto"/>
        <w:left w:val="none" w:sz="0" w:space="0" w:color="auto"/>
        <w:bottom w:val="none" w:sz="0" w:space="0" w:color="auto"/>
        <w:right w:val="none" w:sz="0" w:space="0" w:color="auto"/>
      </w:divBdr>
    </w:div>
    <w:div w:id="2061898776">
      <w:bodyDiv w:val="1"/>
      <w:marLeft w:val="0"/>
      <w:marRight w:val="0"/>
      <w:marTop w:val="0"/>
      <w:marBottom w:val="0"/>
      <w:divBdr>
        <w:top w:val="none" w:sz="0" w:space="0" w:color="auto"/>
        <w:left w:val="none" w:sz="0" w:space="0" w:color="auto"/>
        <w:bottom w:val="none" w:sz="0" w:space="0" w:color="auto"/>
        <w:right w:val="none" w:sz="0" w:space="0" w:color="auto"/>
      </w:divBdr>
    </w:div>
    <w:div w:id="2070884419">
      <w:bodyDiv w:val="1"/>
      <w:marLeft w:val="0"/>
      <w:marRight w:val="0"/>
      <w:marTop w:val="0"/>
      <w:marBottom w:val="0"/>
      <w:divBdr>
        <w:top w:val="none" w:sz="0" w:space="0" w:color="auto"/>
        <w:left w:val="none" w:sz="0" w:space="0" w:color="auto"/>
        <w:bottom w:val="none" w:sz="0" w:space="0" w:color="auto"/>
        <w:right w:val="none" w:sz="0" w:space="0" w:color="auto"/>
      </w:divBdr>
    </w:div>
    <w:div w:id="2087022420">
      <w:bodyDiv w:val="1"/>
      <w:marLeft w:val="0"/>
      <w:marRight w:val="0"/>
      <w:marTop w:val="0"/>
      <w:marBottom w:val="0"/>
      <w:divBdr>
        <w:top w:val="none" w:sz="0" w:space="0" w:color="auto"/>
        <w:left w:val="none" w:sz="0" w:space="0" w:color="auto"/>
        <w:bottom w:val="none" w:sz="0" w:space="0" w:color="auto"/>
        <w:right w:val="none" w:sz="0" w:space="0" w:color="auto"/>
      </w:divBdr>
    </w:div>
    <w:div w:id="2100827329">
      <w:bodyDiv w:val="1"/>
      <w:marLeft w:val="0"/>
      <w:marRight w:val="0"/>
      <w:marTop w:val="0"/>
      <w:marBottom w:val="0"/>
      <w:divBdr>
        <w:top w:val="none" w:sz="0" w:space="0" w:color="auto"/>
        <w:left w:val="none" w:sz="0" w:space="0" w:color="auto"/>
        <w:bottom w:val="none" w:sz="0" w:space="0" w:color="auto"/>
        <w:right w:val="none" w:sz="0" w:space="0" w:color="auto"/>
      </w:divBdr>
    </w:div>
    <w:div w:id="2113668062">
      <w:bodyDiv w:val="1"/>
      <w:marLeft w:val="0"/>
      <w:marRight w:val="0"/>
      <w:marTop w:val="0"/>
      <w:marBottom w:val="0"/>
      <w:divBdr>
        <w:top w:val="none" w:sz="0" w:space="0" w:color="auto"/>
        <w:left w:val="none" w:sz="0" w:space="0" w:color="auto"/>
        <w:bottom w:val="none" w:sz="0" w:space="0" w:color="auto"/>
        <w:right w:val="none" w:sz="0" w:space="0" w:color="auto"/>
      </w:divBdr>
    </w:div>
    <w:div w:id="2126382683">
      <w:bodyDiv w:val="1"/>
      <w:marLeft w:val="0"/>
      <w:marRight w:val="0"/>
      <w:marTop w:val="0"/>
      <w:marBottom w:val="0"/>
      <w:divBdr>
        <w:top w:val="none" w:sz="0" w:space="0" w:color="auto"/>
        <w:left w:val="none" w:sz="0" w:space="0" w:color="auto"/>
        <w:bottom w:val="none" w:sz="0" w:space="0" w:color="auto"/>
        <w:right w:val="none" w:sz="0" w:space="0" w:color="auto"/>
      </w:divBdr>
    </w:div>
    <w:div w:id="214245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hyperlink" Target="https://www.scotland.police.uk/about-us/how-we-do-it/research-and-insights/user-experience-surveys/" TargetMode="External"/><Relationship Id="rId84" Type="http://schemas.openxmlformats.org/officeDocument/2006/relationships/image" Target="media/image61.png"/><Relationship Id="rId89" Type="http://schemas.openxmlformats.org/officeDocument/2006/relationships/chart" Target="charts/chart4.xml"/><Relationship Id="rId16" Type="http://schemas.openxmlformats.org/officeDocument/2006/relationships/chart" Target="charts/chart1.xml"/><Relationship Id="rId11" Type="http://schemas.openxmlformats.org/officeDocument/2006/relationships/endnotes" Target="endnotes.xml"/><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footer" Target="footer2.xml"/><Relationship Id="rId5" Type="http://schemas.openxmlformats.org/officeDocument/2006/relationships/customXml" Target="../customXml/item5.xml"/><Relationship Id="rId90" Type="http://schemas.openxmlformats.org/officeDocument/2006/relationships/chart" Target="charts/chart5.xml"/><Relationship Id="rId95" Type="http://schemas.openxmlformats.org/officeDocument/2006/relationships/chart" Target="charts/chart10.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8.png"/><Relationship Id="rId69" Type="http://schemas.openxmlformats.org/officeDocument/2006/relationships/hyperlink" Target="https://consult.scotland.police.uk/strategy-insight-and-innovation/publicprotectionfeedbackform/" TargetMode="External"/><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hyperlink" Target="https://www.scotland.police.uk/about-us/what-we-do/how-we-are-performing/" TargetMode="Externa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3.png"/><Relationship Id="rId59" Type="http://schemas.openxmlformats.org/officeDocument/2006/relationships/image" Target="media/image43.png"/><Relationship Id="rId103" Type="http://schemas.openxmlformats.org/officeDocument/2006/relationships/header" Target="header3.xml"/><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yperlink" Target="https://consult.scotland.police.uk/strategy-insight-and-innovation/involving-you-in-the-future-of-our-estate/" TargetMode="External"/><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chart" Target="charts/chart3.xml"/><Relationship Id="rId91" Type="http://schemas.openxmlformats.org/officeDocument/2006/relationships/chart" Target="charts/chart6.xml"/><Relationship Id="rId9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png"/><Relationship Id="rId106"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hyperlink" Target="https://www.scotland.police.uk/about-us/how-we-do-it/stop-and-search/data-publication/" TargetMode="External"/><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chart" Target="charts/chart2.xml"/><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chart" Target="charts/chart9.xml"/><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image" Target="media/image53.png"/><Relationship Id="rId97" Type="http://schemas.openxmlformats.org/officeDocument/2006/relationships/image" Target="media/image66.png"/><Relationship Id="rId104" Type="http://schemas.openxmlformats.org/officeDocument/2006/relationships/footer" Target="footer3.xml"/><Relationship Id="rId7" Type="http://schemas.openxmlformats.org/officeDocument/2006/relationships/styles" Target="styles.xml"/><Relationship Id="rId71" Type="http://schemas.openxmlformats.org/officeDocument/2006/relationships/hyperlink" Target="https://consult.scotland.police.uk/" TargetMode="External"/><Relationship Id="rId92" Type="http://schemas.openxmlformats.org/officeDocument/2006/relationships/chart" Target="charts/chart7.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0.png"/><Relationship Id="rId87" Type="http://schemas.openxmlformats.org/officeDocument/2006/relationships/image" Target="media/image64.png"/><Relationship Id="rId61" Type="http://schemas.openxmlformats.org/officeDocument/2006/relationships/image" Target="media/image45.png"/><Relationship Id="rId82" Type="http://schemas.openxmlformats.org/officeDocument/2006/relationships/image" Target="media/image59.png"/><Relationship Id="rId19" Type="http://schemas.openxmlformats.org/officeDocument/2006/relationships/image" Target="media/image5.png"/><Relationship Id="rId14" Type="http://schemas.openxmlformats.org/officeDocument/2006/relationships/hyperlink" Target="https://www.scotland.police.uk/spa-media/u55jyhyb/performance-framework-report-24-25.pdf" TargetMode="External"/><Relationship Id="rId30" Type="http://schemas.openxmlformats.org/officeDocument/2006/relationships/image" Target="media/image16.png"/><Relationship Id="rId35" Type="http://schemas.openxmlformats.org/officeDocument/2006/relationships/hyperlink" Target="https://www.scotland.police.uk/about-us/what-we-do/how-we-are-performing/" TargetMode="External"/><Relationship Id="rId56" Type="http://schemas.openxmlformats.org/officeDocument/2006/relationships/image" Target="media/image40.png"/><Relationship Id="rId77" Type="http://schemas.openxmlformats.org/officeDocument/2006/relationships/image" Target="media/image54.png"/><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hyperlink" Target="https://consult.scotland.police.uk/learning/" TargetMode="External"/><Relationship Id="rId93" Type="http://schemas.openxmlformats.org/officeDocument/2006/relationships/chart" Target="charts/chart8.xml"/><Relationship Id="rId98" Type="http://schemas.openxmlformats.org/officeDocument/2006/relationships/image" Target="media/image67.pn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1.png"/><Relationship Id="rId67" Type="http://schemas.openxmlformats.org/officeDocument/2006/relationships/hyperlink" Target="https://consult.scotland.police.uk/strategy-insight-and-innovation/your-police-2024-2025/consult_admin_view/"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sphubs.spnet.local/sites/corporate-services/analysis-and-performance/apu-dalmarnock/SPA%20Quarterly%20Performance/2024-25/Q2/Graphics/Q2%20Accessible%20Grayscale%20Graphs.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phubs.spnet.local/sites/corporate-services/analysis-and-performance/apu-dalmarnock/SPA%20Quarterly%20Performance/2024-25/Q2/Graphics/Q2%20Accessible%20Grayscale%20Graph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2024/25 THEFT BY SHOPLIFTING:</a:t>
            </a:r>
            <a:r>
              <a:rPr lang="en-GB" b="1" baseline="0"/>
              <a:t> ACCUSED AND AGE GROUPS</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'[Q2 Accessible Grayscale Graphs.xlsx]SL Age'!$C$2</c:f>
              <c:strCache>
                <c:ptCount val="1"/>
                <c:pt idx="0">
                  <c:v>ACCUSED TOTAL</c:v>
                </c:pt>
              </c:strCache>
            </c:strRef>
          </c:tx>
          <c:spPr>
            <a:solidFill>
              <a:schemeClr val="accent1">
                <a:lumMod val="7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 Accessible Grayscale Graphs.xlsx]SL Age'!$B$3:$B$8</c:f>
              <c:strCache>
                <c:ptCount val="6"/>
                <c:pt idx="0">
                  <c:v>UNDER 18</c:v>
                </c:pt>
                <c:pt idx="1">
                  <c:v>18 - 24</c:v>
                </c:pt>
                <c:pt idx="2">
                  <c:v>25 - 35</c:v>
                </c:pt>
                <c:pt idx="3">
                  <c:v>36 - 46</c:v>
                </c:pt>
                <c:pt idx="4">
                  <c:v>47 - 57</c:v>
                </c:pt>
                <c:pt idx="5">
                  <c:v>58 &amp; OVER</c:v>
                </c:pt>
              </c:strCache>
            </c:strRef>
          </c:cat>
          <c:val>
            <c:numRef>
              <c:f>'[Q2 Accessible Grayscale Graphs.xlsx]SL Age'!$C$3:$C$8</c:f>
              <c:numCache>
                <c:formatCode>#,##0</c:formatCode>
                <c:ptCount val="6"/>
                <c:pt idx="0">
                  <c:v>1830</c:v>
                </c:pt>
                <c:pt idx="1">
                  <c:v>781</c:v>
                </c:pt>
                <c:pt idx="2">
                  <c:v>3584</c:v>
                </c:pt>
                <c:pt idx="3">
                  <c:v>4208</c:v>
                </c:pt>
                <c:pt idx="4">
                  <c:v>1303</c:v>
                </c:pt>
                <c:pt idx="5">
                  <c:v>286</c:v>
                </c:pt>
              </c:numCache>
            </c:numRef>
          </c:val>
          <c:extLst>
            <c:ext xmlns:c16="http://schemas.microsoft.com/office/drawing/2014/chart" uri="{C3380CC4-5D6E-409C-BE32-E72D297353CC}">
              <c16:uniqueId val="{00000000-B02C-4A64-97DB-5E023E31E289}"/>
            </c:ext>
          </c:extLst>
        </c:ser>
        <c:ser>
          <c:idx val="1"/>
          <c:order val="1"/>
          <c:tx>
            <c:strRef>
              <c:f>'[Q2 Accessible Grayscale Graphs.xlsx]SL Age'!$D$2</c:f>
              <c:strCache>
                <c:ptCount val="1"/>
                <c:pt idx="0">
                  <c:v>UNIQUE ACCUSED</c:v>
                </c:pt>
              </c:strCache>
            </c:strRef>
          </c:tx>
          <c:spPr>
            <a:solidFill>
              <a:schemeClr val="accent1">
                <a:lumMod val="40000"/>
                <a:lumOff val="60000"/>
              </a:schemeClr>
            </a:solidFill>
            <a:ln>
              <a:solidFill>
                <a:schemeClr val="accent1">
                  <a:lumMod val="40000"/>
                  <a:lumOff val="6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 Accessible Grayscale Graphs.xlsx]SL Age'!$B$3:$B$8</c:f>
              <c:strCache>
                <c:ptCount val="6"/>
                <c:pt idx="0">
                  <c:v>UNDER 18</c:v>
                </c:pt>
                <c:pt idx="1">
                  <c:v>18 - 24</c:v>
                </c:pt>
                <c:pt idx="2">
                  <c:v>25 - 35</c:v>
                </c:pt>
                <c:pt idx="3">
                  <c:v>36 - 46</c:v>
                </c:pt>
                <c:pt idx="4">
                  <c:v>47 - 57</c:v>
                </c:pt>
                <c:pt idx="5">
                  <c:v>58 &amp; OVER</c:v>
                </c:pt>
              </c:strCache>
            </c:strRef>
          </c:cat>
          <c:val>
            <c:numRef>
              <c:f>'[Q2 Accessible Grayscale Graphs.xlsx]SL Age'!$D$3:$D$8</c:f>
              <c:numCache>
                <c:formatCode>#,##0</c:formatCode>
                <c:ptCount val="6"/>
                <c:pt idx="0">
                  <c:v>830</c:v>
                </c:pt>
                <c:pt idx="1">
                  <c:v>352</c:v>
                </c:pt>
                <c:pt idx="2">
                  <c:v>1102</c:v>
                </c:pt>
                <c:pt idx="3">
                  <c:v>1368</c:v>
                </c:pt>
                <c:pt idx="4">
                  <c:v>520</c:v>
                </c:pt>
                <c:pt idx="5">
                  <c:v>159</c:v>
                </c:pt>
              </c:numCache>
            </c:numRef>
          </c:val>
          <c:extLst>
            <c:ext xmlns:c16="http://schemas.microsoft.com/office/drawing/2014/chart" uri="{C3380CC4-5D6E-409C-BE32-E72D297353CC}">
              <c16:uniqueId val="{00000001-B02C-4A64-97DB-5E023E31E289}"/>
            </c:ext>
          </c:extLst>
        </c:ser>
        <c:dLbls>
          <c:dLblPos val="outEnd"/>
          <c:showLegendKey val="0"/>
          <c:showVal val="1"/>
          <c:showCatName val="0"/>
          <c:showSerName val="0"/>
          <c:showPercent val="0"/>
          <c:showBubbleSize val="0"/>
        </c:dLbls>
        <c:gapWidth val="219"/>
        <c:overlap val="-27"/>
        <c:axId val="1860879504"/>
        <c:axId val="1860885744"/>
      </c:barChart>
      <c:catAx>
        <c:axId val="186087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60885744"/>
        <c:crosses val="autoZero"/>
        <c:auto val="1"/>
        <c:lblAlgn val="ctr"/>
        <c:lblOffset val="100"/>
        <c:noMultiLvlLbl val="0"/>
      </c:catAx>
      <c:valAx>
        <c:axId val="1860885744"/>
        <c:scaling>
          <c:orientation val="minMax"/>
        </c:scaling>
        <c:delete val="1"/>
        <c:axPos val="l"/>
        <c:numFmt formatCode="#,##0" sourceLinked="1"/>
        <c:majorTickMark val="none"/>
        <c:minorTickMark val="none"/>
        <c:tickLblPos val="nextTo"/>
        <c:crossAx val="1860879504"/>
        <c:crosses val="autoZero"/>
        <c:crossBetween val="between"/>
      </c:valAx>
      <c:spPr>
        <a:noFill/>
        <a:ln>
          <a:noFill/>
        </a:ln>
        <a:effectLst/>
      </c:spPr>
    </c:plotArea>
    <c:legend>
      <c:legendPos val="b"/>
      <c:layout>
        <c:manualLayout>
          <c:xMode val="edge"/>
          <c:yMode val="edge"/>
          <c:x val="0.31432742952940357"/>
          <c:y val="0.89409667541557303"/>
          <c:w val="0.37256579783331351"/>
          <c:h val="7.812554680664918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a:t>Police Recruits</a:t>
            </a:r>
            <a:r>
              <a:rPr lang="en-GB" baseline="0"/>
              <a:t> and Staff Recruits</a:t>
            </a:r>
            <a:endParaRPr lang="en-GB"/>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5663237311385461E-2"/>
          <c:y val="0.15029420342065086"/>
          <c:w val="0.95209190672153632"/>
          <c:h val="0.55043630909772645"/>
        </c:manualLayout>
      </c:layout>
      <c:lineChart>
        <c:grouping val="standard"/>
        <c:varyColors val="0"/>
        <c:ser>
          <c:idx val="0"/>
          <c:order val="0"/>
          <c:tx>
            <c:strRef>
              <c:f>'[Q2 Accessible Grayscale Graphs.xlsx]Recruits'!$C$2</c:f>
              <c:strCache>
                <c:ptCount val="1"/>
                <c:pt idx="0">
                  <c:v>Police Recruits</c:v>
                </c:pt>
              </c:strCache>
            </c:strRef>
          </c:tx>
          <c:spPr>
            <a:ln w="28575" cap="rnd">
              <a:solidFill>
                <a:schemeClr val="accent1">
                  <a:lumMod val="75000"/>
                </a:schemeClr>
              </a:solidFill>
              <a:round/>
            </a:ln>
            <a:effectLst/>
          </c:spPr>
          <c:marker>
            <c:symbol val="circle"/>
            <c:size val="5"/>
            <c:spPr>
              <a:solidFill>
                <a:schemeClr val="accent1"/>
              </a:solidFill>
              <a:ln w="9525">
                <a:solidFill>
                  <a:schemeClr val="accent1"/>
                </a:solidFill>
              </a:ln>
              <a:effectLst/>
            </c:spPr>
          </c:marker>
          <c:dLbls>
            <c:dLbl>
              <c:idx val="2"/>
              <c:layout>
                <c:manualLayout>
                  <c:x val="-2.1297325102880658E-2"/>
                  <c:y val="-3.24351501516856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2F-4F21-9A4C-391E1C7354B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'[Q2 Accessible Grayscale Graphs.xlsx]Recruits'!$A$3:$B$8</c:f>
              <c:multiLvlStrCache>
                <c:ptCount val="6"/>
                <c:lvl>
                  <c:pt idx="0">
                    <c:v>Q1</c:v>
                  </c:pt>
                  <c:pt idx="1">
                    <c:v>Q2</c:v>
                  </c:pt>
                  <c:pt idx="2">
                    <c:v>Q3</c:v>
                  </c:pt>
                  <c:pt idx="3">
                    <c:v>Q4</c:v>
                  </c:pt>
                  <c:pt idx="4">
                    <c:v>Q1</c:v>
                  </c:pt>
                  <c:pt idx="5">
                    <c:v>Q2</c:v>
                  </c:pt>
                </c:lvl>
                <c:lvl>
                  <c:pt idx="0">
                    <c:v>2023-2024</c:v>
                  </c:pt>
                  <c:pt idx="4">
                    <c:v>2024-2025</c:v>
                  </c:pt>
                </c:lvl>
              </c:multiLvlStrCache>
            </c:multiLvlStrRef>
          </c:cat>
          <c:val>
            <c:numRef>
              <c:f>'[Q2 Accessible Grayscale Graphs.xlsx]Recruits'!$C$3:$C$8</c:f>
              <c:numCache>
                <c:formatCode>0</c:formatCode>
                <c:ptCount val="6"/>
                <c:pt idx="0">
                  <c:v>197</c:v>
                </c:pt>
                <c:pt idx="1">
                  <c:v>208</c:v>
                </c:pt>
                <c:pt idx="2">
                  <c:v>1</c:v>
                </c:pt>
                <c:pt idx="3">
                  <c:v>200</c:v>
                </c:pt>
                <c:pt idx="4">
                  <c:v>126</c:v>
                </c:pt>
                <c:pt idx="5">
                  <c:v>385</c:v>
                </c:pt>
              </c:numCache>
            </c:numRef>
          </c:val>
          <c:smooth val="0"/>
          <c:extLst>
            <c:ext xmlns:c16="http://schemas.microsoft.com/office/drawing/2014/chart" uri="{C3380CC4-5D6E-409C-BE32-E72D297353CC}">
              <c16:uniqueId val="{00000001-8F2F-4F21-9A4C-391E1C7354B9}"/>
            </c:ext>
          </c:extLst>
        </c:ser>
        <c:ser>
          <c:idx val="1"/>
          <c:order val="1"/>
          <c:tx>
            <c:strRef>
              <c:f>'[Q2 Accessible Grayscale Graphs.xlsx]Recruits'!$D$2</c:f>
              <c:strCache>
                <c:ptCount val="1"/>
                <c:pt idx="0">
                  <c:v>Staff Recruits</c:v>
                </c:pt>
              </c:strCache>
            </c:strRef>
          </c:tx>
          <c:spPr>
            <a:ln w="28575" cap="rnd">
              <a:solidFill>
                <a:srgbClr val="FFC000"/>
              </a:solidFill>
              <a:round/>
            </a:ln>
            <a:effectLst/>
          </c:spPr>
          <c:marker>
            <c:symbol val="circle"/>
            <c:size val="5"/>
            <c:spPr>
              <a:solidFill>
                <a:schemeClr val="accent2"/>
              </a:solidFill>
              <a:ln w="9525">
                <a:solidFill>
                  <a:schemeClr val="accent2"/>
                </a:solidFill>
              </a:ln>
              <a:effectLst/>
            </c:spPr>
          </c:marker>
          <c:dLbls>
            <c:dLbl>
              <c:idx val="2"/>
              <c:layout>
                <c:manualLayout>
                  <c:x val="-2.8439994924415016E-2"/>
                  <c:y val="-5.6309268159661939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3.2925925925925928E-2"/>
                      <c:h val="8.218631761938848E-2"/>
                    </c:manualLayout>
                  </c15:layout>
                </c:ext>
                <c:ext xmlns:c16="http://schemas.microsoft.com/office/drawing/2014/chart" uri="{C3380CC4-5D6E-409C-BE32-E72D297353CC}">
                  <c16:uniqueId val="{00000002-8F2F-4F21-9A4C-391E1C7354B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'[Q2 Accessible Grayscale Graphs.xlsx]Recruits'!$A$3:$B$8</c:f>
              <c:multiLvlStrCache>
                <c:ptCount val="6"/>
                <c:lvl>
                  <c:pt idx="0">
                    <c:v>Q1</c:v>
                  </c:pt>
                  <c:pt idx="1">
                    <c:v>Q2</c:v>
                  </c:pt>
                  <c:pt idx="2">
                    <c:v>Q3</c:v>
                  </c:pt>
                  <c:pt idx="3">
                    <c:v>Q4</c:v>
                  </c:pt>
                  <c:pt idx="4">
                    <c:v>Q1</c:v>
                  </c:pt>
                  <c:pt idx="5">
                    <c:v>Q2</c:v>
                  </c:pt>
                </c:lvl>
                <c:lvl>
                  <c:pt idx="0">
                    <c:v>2023-2024</c:v>
                  </c:pt>
                  <c:pt idx="4">
                    <c:v>2024-2025</c:v>
                  </c:pt>
                </c:lvl>
              </c:multiLvlStrCache>
            </c:multiLvlStrRef>
          </c:cat>
          <c:val>
            <c:numRef>
              <c:f>'[Q2 Accessible Grayscale Graphs.xlsx]Recruits'!$D$3:$D$8</c:f>
              <c:numCache>
                <c:formatCode>0</c:formatCode>
                <c:ptCount val="6"/>
                <c:pt idx="0">
                  <c:v>111</c:v>
                </c:pt>
                <c:pt idx="1">
                  <c:v>104</c:v>
                </c:pt>
                <c:pt idx="2">
                  <c:v>53</c:v>
                </c:pt>
                <c:pt idx="3">
                  <c:v>66</c:v>
                </c:pt>
                <c:pt idx="4">
                  <c:v>74</c:v>
                </c:pt>
                <c:pt idx="5">
                  <c:v>106</c:v>
                </c:pt>
              </c:numCache>
            </c:numRef>
          </c:val>
          <c:smooth val="0"/>
          <c:extLst>
            <c:ext xmlns:c16="http://schemas.microsoft.com/office/drawing/2014/chart" uri="{C3380CC4-5D6E-409C-BE32-E72D297353CC}">
              <c16:uniqueId val="{00000003-8F2F-4F21-9A4C-391E1C7354B9}"/>
            </c:ext>
          </c:extLst>
        </c:ser>
        <c:dLbls>
          <c:dLblPos val="t"/>
          <c:showLegendKey val="0"/>
          <c:showVal val="1"/>
          <c:showCatName val="0"/>
          <c:showSerName val="0"/>
          <c:showPercent val="0"/>
          <c:showBubbleSize val="0"/>
        </c:dLbls>
        <c:marker val="1"/>
        <c:smooth val="0"/>
        <c:axId val="2091938128"/>
        <c:axId val="2081602160"/>
      </c:lineChart>
      <c:catAx>
        <c:axId val="209193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602160"/>
        <c:crosses val="autoZero"/>
        <c:auto val="1"/>
        <c:lblAlgn val="ctr"/>
        <c:lblOffset val="100"/>
        <c:noMultiLvlLbl val="0"/>
      </c:catAx>
      <c:valAx>
        <c:axId val="2081602160"/>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09193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b="1"/>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954046639231823E-2"/>
          <c:y val="0"/>
          <c:w val="0.95209190672153632"/>
          <c:h val="0.51512531521795069"/>
        </c:manualLayout>
      </c:layout>
      <c:lineChart>
        <c:grouping val="standard"/>
        <c:varyColors val="0"/>
        <c:ser>
          <c:idx val="0"/>
          <c:order val="0"/>
          <c:tx>
            <c:strRef>
              <c:f>'[Q2 Accessible Grayscale Graphs.xlsx]SIE'!$C$2</c:f>
              <c:strCache>
                <c:ptCount val="1"/>
                <c:pt idx="0">
                  <c:v>Trust Index (Source: Progressive Ltd) Base = 10,037</c:v>
                </c:pt>
              </c:strCache>
            </c:strRef>
          </c:tx>
          <c:spPr>
            <a:ln w="28575" cap="rnd">
              <a:solidFill>
                <a:schemeClr val="accent1">
                  <a:lumMod val="75000"/>
                </a:schemeClr>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 Accessible Grayscale Graphs.xlsx]SIE'!$B$3:$B$12</c:f>
              <c:strCache>
                <c:ptCount val="10"/>
                <c:pt idx="0">
                  <c:v>Q1 22/23
TI n=1001
UE n=3752
YP n=945</c:v>
                </c:pt>
                <c:pt idx="1">
                  <c:v>Q2 22/23
1005
3783
10243</c:v>
                </c:pt>
                <c:pt idx="2">
                  <c:v>Q3 22/23
1012
3933
3781</c:v>
                </c:pt>
                <c:pt idx="3">
                  <c:v>Q4 22/23
1004
3908
1929</c:v>
                </c:pt>
                <c:pt idx="4">
                  <c:v>Q1 23/24
1006
3885
275</c:v>
                </c:pt>
                <c:pt idx="5">
                  <c:v>Q2 23/24
1001
3826
8071</c:v>
                </c:pt>
                <c:pt idx="6">
                  <c:v>Q3 23/24
1002
3935
2598</c:v>
                </c:pt>
                <c:pt idx="7">
                  <c:v>Q4 23/24
1002
3845
3755</c:v>
                </c:pt>
                <c:pt idx="8">
                  <c:v>Q1 24/25
1003
3834
857</c:v>
                </c:pt>
                <c:pt idx="9">
                  <c:v>Q2 24/25
1001
3912
9161</c:v>
                </c:pt>
              </c:strCache>
            </c:strRef>
          </c:cat>
          <c:val>
            <c:numRef>
              <c:f>'[Q2 Accessible Grayscale Graphs.xlsx]SIE'!$C$3:$C$12</c:f>
              <c:numCache>
                <c:formatCode>0%</c:formatCode>
                <c:ptCount val="10"/>
                <c:pt idx="0">
                  <c:v>0.8</c:v>
                </c:pt>
                <c:pt idx="1">
                  <c:v>0.8</c:v>
                </c:pt>
                <c:pt idx="2">
                  <c:v>0.78</c:v>
                </c:pt>
                <c:pt idx="3">
                  <c:v>0.75</c:v>
                </c:pt>
                <c:pt idx="4">
                  <c:v>0.76</c:v>
                </c:pt>
                <c:pt idx="5">
                  <c:v>0.75</c:v>
                </c:pt>
                <c:pt idx="6">
                  <c:v>0.78</c:v>
                </c:pt>
                <c:pt idx="7">
                  <c:v>0.77</c:v>
                </c:pt>
                <c:pt idx="8">
                  <c:v>0.79</c:v>
                </c:pt>
                <c:pt idx="9">
                  <c:v>0.79</c:v>
                </c:pt>
              </c:numCache>
            </c:numRef>
          </c:val>
          <c:smooth val="0"/>
          <c:extLst>
            <c:ext xmlns:c16="http://schemas.microsoft.com/office/drawing/2014/chart" uri="{C3380CC4-5D6E-409C-BE32-E72D297353CC}">
              <c16:uniqueId val="{00000000-EAD5-424B-9E03-10D31F2BAB2F}"/>
            </c:ext>
          </c:extLst>
        </c:ser>
        <c:ser>
          <c:idx val="1"/>
          <c:order val="1"/>
          <c:tx>
            <c:strRef>
              <c:f>'[Q2 Accessible Grayscale Graphs.xlsx]SIE'!$D$2</c:f>
              <c:strCache>
                <c:ptCount val="1"/>
                <c:pt idx="0">
                  <c:v>User Experience (Source: Progressive Ltd) Base = 38,613</c:v>
                </c:pt>
              </c:strCache>
            </c:strRef>
          </c:tx>
          <c:spPr>
            <a:ln w="28575" cap="rnd">
              <a:solidFill>
                <a:srgbClr val="FFC000"/>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 Accessible Grayscale Graphs.xlsx]SIE'!$B$3:$B$12</c:f>
              <c:strCache>
                <c:ptCount val="10"/>
                <c:pt idx="0">
                  <c:v>Q1 22/23
TI n=1001
UE n=3752
YP n=945</c:v>
                </c:pt>
                <c:pt idx="1">
                  <c:v>Q2 22/23
1005
3783
10243</c:v>
                </c:pt>
                <c:pt idx="2">
                  <c:v>Q3 22/23
1012
3933
3781</c:v>
                </c:pt>
                <c:pt idx="3">
                  <c:v>Q4 22/23
1004
3908
1929</c:v>
                </c:pt>
                <c:pt idx="4">
                  <c:v>Q1 23/24
1006
3885
275</c:v>
                </c:pt>
                <c:pt idx="5">
                  <c:v>Q2 23/24
1001
3826
8071</c:v>
                </c:pt>
                <c:pt idx="6">
                  <c:v>Q3 23/24
1002
3935
2598</c:v>
                </c:pt>
                <c:pt idx="7">
                  <c:v>Q4 23/24
1002
3845
3755</c:v>
                </c:pt>
                <c:pt idx="8">
                  <c:v>Q1 24/25
1003
3834
857</c:v>
                </c:pt>
                <c:pt idx="9">
                  <c:v>Q2 24/25
1001
3912
9161</c:v>
                </c:pt>
              </c:strCache>
            </c:strRef>
          </c:cat>
          <c:val>
            <c:numRef>
              <c:f>'[Q2 Accessible Grayscale Graphs.xlsx]SIE'!$D$3:$D$12</c:f>
              <c:numCache>
                <c:formatCode>0%</c:formatCode>
                <c:ptCount val="10"/>
                <c:pt idx="0">
                  <c:v>0.67</c:v>
                </c:pt>
                <c:pt idx="1">
                  <c:v>0.66</c:v>
                </c:pt>
                <c:pt idx="2">
                  <c:v>0.69</c:v>
                </c:pt>
                <c:pt idx="3">
                  <c:v>0.7</c:v>
                </c:pt>
                <c:pt idx="4">
                  <c:v>0.68</c:v>
                </c:pt>
                <c:pt idx="5">
                  <c:v>0.66</c:v>
                </c:pt>
                <c:pt idx="6">
                  <c:v>0.69</c:v>
                </c:pt>
                <c:pt idx="7">
                  <c:v>0.71</c:v>
                </c:pt>
                <c:pt idx="8">
                  <c:v>0.69</c:v>
                </c:pt>
                <c:pt idx="9">
                  <c:v>0.7</c:v>
                </c:pt>
              </c:numCache>
            </c:numRef>
          </c:val>
          <c:smooth val="0"/>
          <c:extLst>
            <c:ext xmlns:c16="http://schemas.microsoft.com/office/drawing/2014/chart" uri="{C3380CC4-5D6E-409C-BE32-E72D297353CC}">
              <c16:uniqueId val="{00000001-EAD5-424B-9E03-10D31F2BAB2F}"/>
            </c:ext>
          </c:extLst>
        </c:ser>
        <c:ser>
          <c:idx val="2"/>
          <c:order val="2"/>
          <c:tx>
            <c:strRef>
              <c:f>'[Q2 Accessible Grayscale Graphs.xlsx]SIE'!$E$2</c:f>
              <c:strCache>
                <c:ptCount val="1"/>
                <c:pt idx="0">
                  <c:v>Public Confidence (Your Police) Base = 41,602</c:v>
                </c:pt>
              </c:strCache>
            </c:strRef>
          </c:tx>
          <c:spPr>
            <a:ln w="28575" cap="rnd">
              <a:solidFill>
                <a:schemeClr val="accent1">
                  <a:lumMod val="20000"/>
                  <a:lumOff val="80000"/>
                </a:schemeClr>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 Accessible Grayscale Graphs.xlsx]SIE'!$B$3:$B$12</c:f>
              <c:strCache>
                <c:ptCount val="10"/>
                <c:pt idx="0">
                  <c:v>Q1 22/23
TI n=1001
UE n=3752
YP n=945</c:v>
                </c:pt>
                <c:pt idx="1">
                  <c:v>Q2 22/23
1005
3783
10243</c:v>
                </c:pt>
                <c:pt idx="2">
                  <c:v>Q3 22/23
1012
3933
3781</c:v>
                </c:pt>
                <c:pt idx="3">
                  <c:v>Q4 22/23
1004
3908
1929</c:v>
                </c:pt>
                <c:pt idx="4">
                  <c:v>Q1 23/24
1006
3885
275</c:v>
                </c:pt>
                <c:pt idx="5">
                  <c:v>Q2 23/24
1001
3826
8071</c:v>
                </c:pt>
                <c:pt idx="6">
                  <c:v>Q3 23/24
1002
3935
2598</c:v>
                </c:pt>
                <c:pt idx="7">
                  <c:v>Q4 23/24
1002
3845
3755</c:v>
                </c:pt>
                <c:pt idx="8">
                  <c:v>Q1 24/25
1003
3834
857</c:v>
                </c:pt>
                <c:pt idx="9">
                  <c:v>Q2 24/25
1001
3912
9161</c:v>
                </c:pt>
              </c:strCache>
            </c:strRef>
          </c:cat>
          <c:val>
            <c:numRef>
              <c:f>'[Q2 Accessible Grayscale Graphs.xlsx]SIE'!$E$3:$E$12</c:f>
              <c:numCache>
                <c:formatCode>0%</c:formatCode>
                <c:ptCount val="10"/>
                <c:pt idx="0">
                  <c:v>0.51</c:v>
                </c:pt>
                <c:pt idx="1">
                  <c:v>0.52</c:v>
                </c:pt>
                <c:pt idx="2">
                  <c:v>0.49</c:v>
                </c:pt>
                <c:pt idx="3">
                  <c:v>0.48</c:v>
                </c:pt>
                <c:pt idx="4">
                  <c:v>0.43</c:v>
                </c:pt>
                <c:pt idx="5">
                  <c:v>0.5</c:v>
                </c:pt>
                <c:pt idx="6">
                  <c:v>0.49</c:v>
                </c:pt>
                <c:pt idx="7">
                  <c:v>0.5</c:v>
                </c:pt>
                <c:pt idx="8">
                  <c:v>0.47</c:v>
                </c:pt>
                <c:pt idx="9">
                  <c:v>0.54</c:v>
                </c:pt>
              </c:numCache>
            </c:numRef>
          </c:val>
          <c:smooth val="0"/>
          <c:extLst>
            <c:ext xmlns:c16="http://schemas.microsoft.com/office/drawing/2014/chart" uri="{C3380CC4-5D6E-409C-BE32-E72D297353CC}">
              <c16:uniqueId val="{00000002-EAD5-424B-9E03-10D31F2BAB2F}"/>
            </c:ext>
          </c:extLst>
        </c:ser>
        <c:dLbls>
          <c:dLblPos val="ctr"/>
          <c:showLegendKey val="0"/>
          <c:showVal val="1"/>
          <c:showCatName val="0"/>
          <c:showSerName val="0"/>
          <c:showPercent val="0"/>
          <c:showBubbleSize val="0"/>
        </c:dLbls>
        <c:marker val="1"/>
        <c:smooth val="0"/>
        <c:axId val="2091938128"/>
        <c:axId val="2081602160"/>
      </c:lineChart>
      <c:catAx>
        <c:axId val="209193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602160"/>
        <c:crosses val="autoZero"/>
        <c:auto val="1"/>
        <c:lblAlgn val="ctr"/>
        <c:lblOffset val="100"/>
        <c:noMultiLvlLbl val="0"/>
      </c:catAx>
      <c:valAx>
        <c:axId val="2081602160"/>
        <c:scaling>
          <c:orientation val="minMax"/>
          <c:max val="1"/>
          <c:min val="0.30000000000000004"/>
        </c:scaling>
        <c:delete val="1"/>
        <c:axPos val="l"/>
        <c:numFmt formatCode="0%" sourceLinked="1"/>
        <c:majorTickMark val="out"/>
        <c:minorTickMark val="none"/>
        <c:tickLblPos val="nextTo"/>
        <c:crossAx val="20919381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b="1"/>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a:t>Police Officer - WDL% PQ Comparison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5663237311385461E-2"/>
          <c:y val="0.15029420342065086"/>
          <c:w val="0.95209190672153632"/>
          <c:h val="0.61970047861664346"/>
        </c:manualLayout>
      </c:layout>
      <c:lineChart>
        <c:grouping val="standard"/>
        <c:varyColors val="0"/>
        <c:ser>
          <c:idx val="0"/>
          <c:order val="0"/>
          <c:tx>
            <c:strRef>
              <c:f>'PO WDL'!$C$2</c:f>
              <c:strCache>
                <c:ptCount val="1"/>
                <c:pt idx="0">
                  <c:v>WDL%</c:v>
                </c:pt>
              </c:strCache>
            </c:strRef>
          </c:tx>
          <c:spPr>
            <a:ln w="28575" cap="rnd">
              <a:solidFill>
                <a:schemeClr val="accent1">
                  <a:lumMod val="75000"/>
                </a:schemeClr>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 WDL'!$B$3:$B$12</c:f>
              <c:strCache>
                <c:ptCount val="10"/>
                <c:pt idx="0">
                  <c:v>2022
Q1</c:v>
                </c:pt>
                <c:pt idx="1">
                  <c:v>2022
Q2</c:v>
                </c:pt>
                <c:pt idx="2">
                  <c:v>2022
Q3</c:v>
                </c:pt>
                <c:pt idx="3">
                  <c:v>2022
Q4</c:v>
                </c:pt>
                <c:pt idx="4">
                  <c:v>2023
Q1</c:v>
                </c:pt>
                <c:pt idx="5">
                  <c:v>2023
Q2</c:v>
                </c:pt>
                <c:pt idx="6">
                  <c:v>2023
Q3</c:v>
                </c:pt>
                <c:pt idx="7">
                  <c:v>2023
Q4</c:v>
                </c:pt>
                <c:pt idx="8">
                  <c:v>2024
Q1</c:v>
                </c:pt>
                <c:pt idx="9">
                  <c:v>2024
Q2</c:v>
                </c:pt>
              </c:strCache>
            </c:strRef>
          </c:cat>
          <c:val>
            <c:numRef>
              <c:f>'PO WDL'!$C$3:$C$12</c:f>
              <c:numCache>
                <c:formatCode>0.0%</c:formatCode>
                <c:ptCount val="10"/>
                <c:pt idx="0">
                  <c:v>7.3999999999999996E-2</c:v>
                </c:pt>
                <c:pt idx="1">
                  <c:v>6.7000000000000004E-2</c:v>
                </c:pt>
                <c:pt idx="2">
                  <c:v>7.4999999999999997E-2</c:v>
                </c:pt>
                <c:pt idx="3">
                  <c:v>6.4000000000000001E-2</c:v>
                </c:pt>
                <c:pt idx="4">
                  <c:v>5.6000000000000001E-2</c:v>
                </c:pt>
                <c:pt idx="5">
                  <c:v>6.4000000000000001E-2</c:v>
                </c:pt>
                <c:pt idx="6">
                  <c:v>7.1999999999999995E-2</c:v>
                </c:pt>
                <c:pt idx="7">
                  <c:v>6.6000000000000003E-2</c:v>
                </c:pt>
                <c:pt idx="8">
                  <c:v>6.4000000000000001E-2</c:v>
                </c:pt>
                <c:pt idx="9">
                  <c:v>6.5000000000000002E-2</c:v>
                </c:pt>
              </c:numCache>
            </c:numRef>
          </c:val>
          <c:smooth val="0"/>
          <c:extLst>
            <c:ext xmlns:c16="http://schemas.microsoft.com/office/drawing/2014/chart" uri="{C3380CC4-5D6E-409C-BE32-E72D297353CC}">
              <c16:uniqueId val="{00000000-A08F-48EF-A8A5-D8F9B3256E8C}"/>
            </c:ext>
          </c:extLst>
        </c:ser>
        <c:ser>
          <c:idx val="1"/>
          <c:order val="1"/>
          <c:tx>
            <c:strRef>
              <c:f>'PO WDL'!$D$2</c:f>
              <c:strCache>
                <c:ptCount val="1"/>
                <c:pt idx="0">
                  <c:v>LTA WDL%</c:v>
                </c:pt>
              </c:strCache>
            </c:strRef>
          </c:tx>
          <c:spPr>
            <a:ln w="28575" cap="rnd">
              <a:solidFill>
                <a:srgbClr val="FFC000"/>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 WDL'!$B$3:$B$12</c:f>
              <c:strCache>
                <c:ptCount val="10"/>
                <c:pt idx="0">
                  <c:v>2022
Q1</c:v>
                </c:pt>
                <c:pt idx="1">
                  <c:v>2022
Q2</c:v>
                </c:pt>
                <c:pt idx="2">
                  <c:v>2022
Q3</c:v>
                </c:pt>
                <c:pt idx="3">
                  <c:v>2022
Q4</c:v>
                </c:pt>
                <c:pt idx="4">
                  <c:v>2023
Q1</c:v>
                </c:pt>
                <c:pt idx="5">
                  <c:v>2023
Q2</c:v>
                </c:pt>
                <c:pt idx="6">
                  <c:v>2023
Q3</c:v>
                </c:pt>
                <c:pt idx="7">
                  <c:v>2023
Q4</c:v>
                </c:pt>
                <c:pt idx="8">
                  <c:v>2024
Q1</c:v>
                </c:pt>
                <c:pt idx="9">
                  <c:v>2024
Q2</c:v>
                </c:pt>
              </c:strCache>
            </c:strRef>
          </c:cat>
          <c:val>
            <c:numRef>
              <c:f>'PO WDL'!$D$3:$D$12</c:f>
              <c:numCache>
                <c:formatCode>0.00%</c:formatCode>
                <c:ptCount val="10"/>
                <c:pt idx="0">
                  <c:v>4.0800000000000003E-2</c:v>
                </c:pt>
                <c:pt idx="1">
                  <c:v>4.2700000000000002E-2</c:v>
                </c:pt>
                <c:pt idx="2">
                  <c:v>4.3499999999999997E-2</c:v>
                </c:pt>
                <c:pt idx="3">
                  <c:v>3.7400000000000003E-2</c:v>
                </c:pt>
                <c:pt idx="4">
                  <c:v>3.6900000000000002E-2</c:v>
                </c:pt>
                <c:pt idx="5">
                  <c:v>4.3099999999999999E-2</c:v>
                </c:pt>
                <c:pt idx="6">
                  <c:v>4.3799999999999999E-2</c:v>
                </c:pt>
                <c:pt idx="7">
                  <c:v>3.8399999999999997E-2</c:v>
                </c:pt>
                <c:pt idx="8">
                  <c:v>4.2099999999999999E-2</c:v>
                </c:pt>
                <c:pt idx="9">
                  <c:v>4.2700000000000002E-2</c:v>
                </c:pt>
              </c:numCache>
            </c:numRef>
          </c:val>
          <c:smooth val="0"/>
          <c:extLst>
            <c:ext xmlns:c16="http://schemas.microsoft.com/office/drawing/2014/chart" uri="{C3380CC4-5D6E-409C-BE32-E72D297353CC}">
              <c16:uniqueId val="{00000001-A08F-48EF-A8A5-D8F9B3256E8C}"/>
            </c:ext>
          </c:extLst>
        </c:ser>
        <c:ser>
          <c:idx val="2"/>
          <c:order val="2"/>
          <c:tx>
            <c:strRef>
              <c:f>'PO WDL'!$E$2</c:f>
              <c:strCache>
                <c:ptCount val="1"/>
                <c:pt idx="0">
                  <c:v>STA WDL%</c:v>
                </c:pt>
              </c:strCache>
            </c:strRef>
          </c:tx>
          <c:spPr>
            <a:ln w="28575" cap="rnd">
              <a:solidFill>
                <a:schemeClr val="accent1">
                  <a:lumMod val="20000"/>
                  <a:lumOff val="80000"/>
                </a:schemeClr>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 WDL'!$B$3:$B$12</c:f>
              <c:strCache>
                <c:ptCount val="10"/>
                <c:pt idx="0">
                  <c:v>2022
Q1</c:v>
                </c:pt>
                <c:pt idx="1">
                  <c:v>2022
Q2</c:v>
                </c:pt>
                <c:pt idx="2">
                  <c:v>2022
Q3</c:v>
                </c:pt>
                <c:pt idx="3">
                  <c:v>2022
Q4</c:v>
                </c:pt>
                <c:pt idx="4">
                  <c:v>2023
Q1</c:v>
                </c:pt>
                <c:pt idx="5">
                  <c:v>2023
Q2</c:v>
                </c:pt>
                <c:pt idx="6">
                  <c:v>2023
Q3</c:v>
                </c:pt>
                <c:pt idx="7">
                  <c:v>2023
Q4</c:v>
                </c:pt>
                <c:pt idx="8">
                  <c:v>2024
Q1</c:v>
                </c:pt>
                <c:pt idx="9">
                  <c:v>2024
Q2</c:v>
                </c:pt>
              </c:strCache>
            </c:strRef>
          </c:cat>
          <c:val>
            <c:numRef>
              <c:f>'PO WDL'!$E$3:$E$12</c:f>
              <c:numCache>
                <c:formatCode>0.00%</c:formatCode>
                <c:ptCount val="10"/>
                <c:pt idx="0">
                  <c:v>3.3300000000000003E-2</c:v>
                </c:pt>
                <c:pt idx="1">
                  <c:v>2.4199999999999999E-2</c:v>
                </c:pt>
                <c:pt idx="2">
                  <c:v>3.1600000000000003E-2</c:v>
                </c:pt>
                <c:pt idx="3">
                  <c:v>2.69E-2</c:v>
                </c:pt>
                <c:pt idx="4">
                  <c:v>1.9199999999999998E-2</c:v>
                </c:pt>
                <c:pt idx="5">
                  <c:v>2.1299999999999999E-2</c:v>
                </c:pt>
                <c:pt idx="6">
                  <c:v>2.8500000000000001E-2</c:v>
                </c:pt>
                <c:pt idx="7">
                  <c:v>2.7300000000000001E-2</c:v>
                </c:pt>
                <c:pt idx="8">
                  <c:v>2.1899999999999999E-2</c:v>
                </c:pt>
                <c:pt idx="9">
                  <c:v>2.2200000000000001E-2</c:v>
                </c:pt>
              </c:numCache>
            </c:numRef>
          </c:val>
          <c:smooth val="0"/>
          <c:extLst>
            <c:ext xmlns:c16="http://schemas.microsoft.com/office/drawing/2014/chart" uri="{C3380CC4-5D6E-409C-BE32-E72D297353CC}">
              <c16:uniqueId val="{00000002-A08F-48EF-A8A5-D8F9B3256E8C}"/>
            </c:ext>
          </c:extLst>
        </c:ser>
        <c:dLbls>
          <c:dLblPos val="t"/>
          <c:showLegendKey val="0"/>
          <c:showVal val="1"/>
          <c:showCatName val="0"/>
          <c:showSerName val="0"/>
          <c:showPercent val="0"/>
          <c:showBubbleSize val="0"/>
        </c:dLbls>
        <c:marker val="1"/>
        <c:smooth val="0"/>
        <c:axId val="2091938128"/>
        <c:axId val="2081602160"/>
      </c:lineChart>
      <c:catAx>
        <c:axId val="209193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602160"/>
        <c:crosses val="autoZero"/>
        <c:auto val="1"/>
        <c:lblAlgn val="ctr"/>
        <c:lblOffset val="100"/>
        <c:noMultiLvlLbl val="0"/>
      </c:catAx>
      <c:valAx>
        <c:axId val="2081602160"/>
        <c:scaling>
          <c:orientation val="minMax"/>
          <c:max val="8.0000000000000016E-2"/>
          <c:min val="0"/>
        </c:scaling>
        <c:delete val="0"/>
        <c:axPos val="l"/>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091938128"/>
        <c:crosses val="autoZero"/>
        <c:crossBetween val="between"/>
        <c:majorUnit val="2.0000000000000004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b="1"/>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a:t>Police Staff - WDL% PQ Comparison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5663237311385461E-2"/>
          <c:y val="0.15029420342065086"/>
          <c:w val="0.95209190672153632"/>
          <c:h val="0.61970047861664346"/>
        </c:manualLayout>
      </c:layout>
      <c:lineChart>
        <c:grouping val="standard"/>
        <c:varyColors val="0"/>
        <c:ser>
          <c:idx val="0"/>
          <c:order val="0"/>
          <c:tx>
            <c:strRef>
              <c:f>'PS WDL'!$C$2</c:f>
              <c:strCache>
                <c:ptCount val="1"/>
                <c:pt idx="0">
                  <c:v>WDL%</c:v>
                </c:pt>
              </c:strCache>
            </c:strRef>
          </c:tx>
          <c:spPr>
            <a:ln w="28575" cap="rnd">
              <a:solidFill>
                <a:schemeClr val="accent1">
                  <a:lumMod val="75000"/>
                </a:schemeClr>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'PS WDL'!$B$3:$B$12</c:f>
              <c:strCache>
                <c:ptCount val="10"/>
                <c:pt idx="0">
                  <c:v>2022
Q1</c:v>
                </c:pt>
                <c:pt idx="1">
                  <c:v>2022
Q2</c:v>
                </c:pt>
                <c:pt idx="2">
                  <c:v>2022
Q3</c:v>
                </c:pt>
                <c:pt idx="3">
                  <c:v>2022
Q4</c:v>
                </c:pt>
                <c:pt idx="4">
                  <c:v>2023
Q1</c:v>
                </c:pt>
                <c:pt idx="5">
                  <c:v>2023
Q2</c:v>
                </c:pt>
                <c:pt idx="6">
                  <c:v>2023
Q3</c:v>
                </c:pt>
                <c:pt idx="7">
                  <c:v>2023
Q4</c:v>
                </c:pt>
                <c:pt idx="8">
                  <c:v>2024
Q1</c:v>
                </c:pt>
                <c:pt idx="9">
                  <c:v>2024
Q1</c:v>
                </c:pt>
              </c:strCache>
            </c:strRef>
          </c:cat>
          <c:val>
            <c:numRef>
              <c:f>'PS WDL'!$C$3:$C$12</c:f>
              <c:numCache>
                <c:formatCode>0.0%</c:formatCode>
                <c:ptCount val="10"/>
                <c:pt idx="0">
                  <c:v>7.4999999999999997E-2</c:v>
                </c:pt>
                <c:pt idx="1">
                  <c:v>6.6000000000000003E-2</c:v>
                </c:pt>
                <c:pt idx="2">
                  <c:v>7.0999999999999994E-2</c:v>
                </c:pt>
                <c:pt idx="3">
                  <c:v>6.3E-2</c:v>
                </c:pt>
                <c:pt idx="4">
                  <c:v>0.06</c:v>
                </c:pt>
                <c:pt idx="5">
                  <c:v>6.4000000000000001E-2</c:v>
                </c:pt>
                <c:pt idx="6">
                  <c:v>7.3999999999999996E-2</c:v>
                </c:pt>
                <c:pt idx="7">
                  <c:v>6.9000000000000006E-2</c:v>
                </c:pt>
                <c:pt idx="8">
                  <c:v>6.8000000000000005E-2</c:v>
                </c:pt>
                <c:pt idx="9">
                  <c:v>6.9000000000000006E-2</c:v>
                </c:pt>
              </c:numCache>
            </c:numRef>
          </c:val>
          <c:smooth val="0"/>
          <c:extLst>
            <c:ext xmlns:c16="http://schemas.microsoft.com/office/drawing/2014/chart" uri="{C3380CC4-5D6E-409C-BE32-E72D297353CC}">
              <c16:uniqueId val="{00000000-608A-47E2-B294-36BA3E855991}"/>
            </c:ext>
          </c:extLst>
        </c:ser>
        <c:ser>
          <c:idx val="1"/>
          <c:order val="1"/>
          <c:tx>
            <c:strRef>
              <c:f>'PS WDL'!$D$2</c:f>
              <c:strCache>
                <c:ptCount val="1"/>
                <c:pt idx="0">
                  <c:v>LTA WDL%</c:v>
                </c:pt>
              </c:strCache>
            </c:strRef>
          </c:tx>
          <c:spPr>
            <a:ln w="28575" cap="rnd">
              <a:solidFill>
                <a:srgbClr val="FFC000"/>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'PS WDL'!$B$3:$B$12</c:f>
              <c:strCache>
                <c:ptCount val="10"/>
                <c:pt idx="0">
                  <c:v>2022
Q1</c:v>
                </c:pt>
                <c:pt idx="1">
                  <c:v>2022
Q2</c:v>
                </c:pt>
                <c:pt idx="2">
                  <c:v>2022
Q3</c:v>
                </c:pt>
                <c:pt idx="3">
                  <c:v>2022
Q4</c:v>
                </c:pt>
                <c:pt idx="4">
                  <c:v>2023
Q1</c:v>
                </c:pt>
                <c:pt idx="5">
                  <c:v>2023
Q2</c:v>
                </c:pt>
                <c:pt idx="6">
                  <c:v>2023
Q3</c:v>
                </c:pt>
                <c:pt idx="7">
                  <c:v>2023
Q4</c:v>
                </c:pt>
                <c:pt idx="8">
                  <c:v>2024
Q1</c:v>
                </c:pt>
                <c:pt idx="9">
                  <c:v>2024
Q1</c:v>
                </c:pt>
              </c:strCache>
            </c:strRef>
          </c:cat>
          <c:val>
            <c:numRef>
              <c:f>'PS WDL'!$D$3:$D$12</c:f>
              <c:numCache>
                <c:formatCode>0.00%</c:formatCode>
                <c:ptCount val="10"/>
                <c:pt idx="0">
                  <c:v>4.4600000000000001E-2</c:v>
                </c:pt>
                <c:pt idx="1">
                  <c:v>4.1200000000000001E-2</c:v>
                </c:pt>
                <c:pt idx="2">
                  <c:v>3.9600000000000003E-2</c:v>
                </c:pt>
                <c:pt idx="3">
                  <c:v>3.4500000000000003E-2</c:v>
                </c:pt>
                <c:pt idx="4">
                  <c:v>3.8300000000000001E-2</c:v>
                </c:pt>
                <c:pt idx="5">
                  <c:v>3.9899999999999998E-2</c:v>
                </c:pt>
                <c:pt idx="6">
                  <c:v>4.6699999999999998E-2</c:v>
                </c:pt>
                <c:pt idx="7">
                  <c:v>4.1099999999999998E-2</c:v>
                </c:pt>
                <c:pt idx="8">
                  <c:v>4.36E-2</c:v>
                </c:pt>
                <c:pt idx="9">
                  <c:v>4.58E-2</c:v>
                </c:pt>
              </c:numCache>
            </c:numRef>
          </c:val>
          <c:smooth val="0"/>
          <c:extLst>
            <c:ext xmlns:c16="http://schemas.microsoft.com/office/drawing/2014/chart" uri="{C3380CC4-5D6E-409C-BE32-E72D297353CC}">
              <c16:uniqueId val="{00000001-608A-47E2-B294-36BA3E855991}"/>
            </c:ext>
          </c:extLst>
        </c:ser>
        <c:ser>
          <c:idx val="2"/>
          <c:order val="2"/>
          <c:tx>
            <c:strRef>
              <c:f>'PS WDL'!$E$2</c:f>
              <c:strCache>
                <c:ptCount val="1"/>
                <c:pt idx="0">
                  <c:v>STA WDL%</c:v>
                </c:pt>
              </c:strCache>
            </c:strRef>
          </c:tx>
          <c:spPr>
            <a:ln w="28575" cap="rnd">
              <a:solidFill>
                <a:schemeClr val="accent1">
                  <a:lumMod val="20000"/>
                  <a:lumOff val="80000"/>
                </a:schemeClr>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'PS WDL'!$B$3:$B$12</c:f>
              <c:strCache>
                <c:ptCount val="10"/>
                <c:pt idx="0">
                  <c:v>2022
Q1</c:v>
                </c:pt>
                <c:pt idx="1">
                  <c:v>2022
Q2</c:v>
                </c:pt>
                <c:pt idx="2">
                  <c:v>2022
Q3</c:v>
                </c:pt>
                <c:pt idx="3">
                  <c:v>2022
Q4</c:v>
                </c:pt>
                <c:pt idx="4">
                  <c:v>2023
Q1</c:v>
                </c:pt>
                <c:pt idx="5">
                  <c:v>2023
Q2</c:v>
                </c:pt>
                <c:pt idx="6">
                  <c:v>2023
Q3</c:v>
                </c:pt>
                <c:pt idx="7">
                  <c:v>2023
Q4</c:v>
                </c:pt>
                <c:pt idx="8">
                  <c:v>2024
Q1</c:v>
                </c:pt>
                <c:pt idx="9">
                  <c:v>2024
Q1</c:v>
                </c:pt>
              </c:strCache>
            </c:strRef>
          </c:cat>
          <c:val>
            <c:numRef>
              <c:f>'PS WDL'!$E$3:$E$12</c:f>
              <c:numCache>
                <c:formatCode>0.00%</c:formatCode>
                <c:ptCount val="10"/>
                <c:pt idx="0">
                  <c:v>3.04E-2</c:v>
                </c:pt>
                <c:pt idx="1">
                  <c:v>2.47E-2</c:v>
                </c:pt>
                <c:pt idx="2">
                  <c:v>3.09E-2</c:v>
                </c:pt>
                <c:pt idx="3">
                  <c:v>2.87E-2</c:v>
                </c:pt>
                <c:pt idx="4">
                  <c:v>2.1299999999999999E-2</c:v>
                </c:pt>
                <c:pt idx="5">
                  <c:v>2.4E-2</c:v>
                </c:pt>
                <c:pt idx="6">
                  <c:v>2.76E-2</c:v>
                </c:pt>
                <c:pt idx="7">
                  <c:v>2.7900000000000001E-2</c:v>
                </c:pt>
                <c:pt idx="8">
                  <c:v>2.4799999999999999E-2</c:v>
                </c:pt>
                <c:pt idx="9">
                  <c:v>2.35E-2</c:v>
                </c:pt>
              </c:numCache>
            </c:numRef>
          </c:val>
          <c:smooth val="0"/>
          <c:extLst>
            <c:ext xmlns:c16="http://schemas.microsoft.com/office/drawing/2014/chart" uri="{C3380CC4-5D6E-409C-BE32-E72D297353CC}">
              <c16:uniqueId val="{00000002-608A-47E2-B294-36BA3E855991}"/>
            </c:ext>
          </c:extLst>
        </c:ser>
        <c:dLbls>
          <c:dLblPos val="t"/>
          <c:showLegendKey val="0"/>
          <c:showVal val="1"/>
          <c:showCatName val="0"/>
          <c:showSerName val="0"/>
          <c:showPercent val="0"/>
          <c:showBubbleSize val="0"/>
        </c:dLbls>
        <c:marker val="1"/>
        <c:smooth val="0"/>
        <c:axId val="2091938128"/>
        <c:axId val="2081602160"/>
      </c:lineChart>
      <c:catAx>
        <c:axId val="209193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602160"/>
        <c:crosses val="autoZero"/>
        <c:auto val="1"/>
        <c:lblAlgn val="ctr"/>
        <c:lblOffset val="100"/>
        <c:noMultiLvlLbl val="0"/>
      </c:catAx>
      <c:valAx>
        <c:axId val="2081602160"/>
        <c:scaling>
          <c:orientation val="minMax"/>
          <c:max val="8.0000000000000016E-2"/>
          <c:min val="0"/>
        </c:scaling>
        <c:delete val="0"/>
        <c:axPos val="l"/>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091938128"/>
        <c:crosses val="autoZero"/>
        <c:crossBetween val="between"/>
        <c:majorUnit val="2.0000000000000004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b="1"/>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a:t>Psychological</a:t>
            </a:r>
            <a:r>
              <a:rPr lang="en-GB" baseline="0"/>
              <a:t> Disorders WDL% - PQ Trend</a:t>
            </a:r>
            <a:endParaRPr lang="en-GB"/>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5663237311385461E-2"/>
          <c:y val="0.15029420342065086"/>
          <c:w val="0.95209190672153632"/>
          <c:h val="0.61970047861664346"/>
        </c:manualLayout>
      </c:layout>
      <c:lineChart>
        <c:grouping val="standard"/>
        <c:varyColors val="0"/>
        <c:ser>
          <c:idx val="0"/>
          <c:order val="0"/>
          <c:tx>
            <c:strRef>
              <c:f>Psychological!$C$2</c:f>
              <c:strCache>
                <c:ptCount val="1"/>
                <c:pt idx="0">
                  <c:v>Police Officer</c:v>
                </c:pt>
              </c:strCache>
            </c:strRef>
          </c:tx>
          <c:spPr>
            <a:ln w="28575" cap="rnd">
              <a:solidFill>
                <a:schemeClr val="accent1">
                  <a:lumMod val="75000"/>
                </a:schemeClr>
              </a:solidFill>
              <a:round/>
            </a:ln>
            <a:effectLst/>
          </c:spPr>
          <c:marker>
            <c:symbol val="circle"/>
            <c:size val="5"/>
            <c:spPr>
              <a:solidFill>
                <a:schemeClr val="accent1"/>
              </a:solidFill>
              <a:ln w="9525">
                <a:solidFill>
                  <a:schemeClr val="accent1"/>
                </a:solidFill>
              </a:ln>
              <a:effectLst/>
            </c:spPr>
          </c:marker>
          <c:dLbls>
            <c:dLbl>
              <c:idx val="5"/>
              <c:layout>
                <c:manualLayout>
                  <c:x val="-3.6023662551440412E-2"/>
                  <c:y val="-2.82898461221759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FD-4E9D-B169-774E6197CC0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Psychological!$B$3:$B$12</c:f>
              <c:strCache>
                <c:ptCount val="10"/>
                <c:pt idx="0">
                  <c:v>2022
Q1</c:v>
                </c:pt>
                <c:pt idx="1">
                  <c:v>2022
Q2</c:v>
                </c:pt>
                <c:pt idx="2">
                  <c:v>2022
Q3</c:v>
                </c:pt>
                <c:pt idx="3">
                  <c:v>2022
Q4</c:v>
                </c:pt>
                <c:pt idx="4">
                  <c:v>2023
Q1</c:v>
                </c:pt>
                <c:pt idx="5">
                  <c:v>2023
Q2</c:v>
                </c:pt>
                <c:pt idx="6">
                  <c:v>2023
Q3</c:v>
                </c:pt>
                <c:pt idx="7">
                  <c:v>2023
Q4</c:v>
                </c:pt>
                <c:pt idx="8">
                  <c:v>2024
Q1</c:v>
                </c:pt>
                <c:pt idx="9">
                  <c:v>2024
Q1</c:v>
                </c:pt>
              </c:strCache>
            </c:strRef>
          </c:cat>
          <c:val>
            <c:numRef>
              <c:f>Psychological!$C$3:$C$12</c:f>
              <c:numCache>
                <c:formatCode>0.0%</c:formatCode>
                <c:ptCount val="10"/>
                <c:pt idx="0">
                  <c:v>1.6E-2</c:v>
                </c:pt>
                <c:pt idx="1">
                  <c:v>1.7999999999999999E-2</c:v>
                </c:pt>
                <c:pt idx="2">
                  <c:v>1.9E-2</c:v>
                </c:pt>
                <c:pt idx="3">
                  <c:v>1.7999999999999999E-2</c:v>
                </c:pt>
                <c:pt idx="4">
                  <c:v>1.7000000000000001E-2</c:v>
                </c:pt>
                <c:pt idx="5">
                  <c:v>2.1000000000000001E-2</c:v>
                </c:pt>
                <c:pt idx="6">
                  <c:v>2.1000000000000001E-2</c:v>
                </c:pt>
                <c:pt idx="7">
                  <c:v>0.02</c:v>
                </c:pt>
                <c:pt idx="8">
                  <c:v>2.1999999999999999E-2</c:v>
                </c:pt>
                <c:pt idx="9">
                  <c:v>2.4E-2</c:v>
                </c:pt>
              </c:numCache>
            </c:numRef>
          </c:val>
          <c:smooth val="0"/>
          <c:extLst>
            <c:ext xmlns:c16="http://schemas.microsoft.com/office/drawing/2014/chart" uri="{C3380CC4-5D6E-409C-BE32-E72D297353CC}">
              <c16:uniqueId val="{00000001-C7FD-4E9D-B169-774E6197CC09}"/>
            </c:ext>
          </c:extLst>
        </c:ser>
        <c:ser>
          <c:idx val="1"/>
          <c:order val="1"/>
          <c:tx>
            <c:strRef>
              <c:f>Psychological!$D$2</c:f>
              <c:strCache>
                <c:ptCount val="1"/>
                <c:pt idx="0">
                  <c:v>Staff</c:v>
                </c:pt>
              </c:strCache>
            </c:strRef>
          </c:tx>
          <c:spPr>
            <a:ln w="28575" cap="rnd">
              <a:solidFill>
                <a:srgbClr val="FFC000"/>
              </a:solidFill>
              <a:round/>
            </a:ln>
            <a:effectLst/>
          </c:spPr>
          <c:marker>
            <c:symbol val="circle"/>
            <c:size val="5"/>
            <c:spPr>
              <a:solidFill>
                <a:schemeClr val="accent2"/>
              </a:solidFill>
              <a:ln w="9525">
                <a:solidFill>
                  <a:schemeClr val="accent2"/>
                </a:solidFill>
              </a:ln>
              <a:effectLst/>
            </c:spPr>
          </c:marker>
          <c:dLbls>
            <c:dLbl>
              <c:idx val="4"/>
              <c:layout>
                <c:manualLayout>
                  <c:x val="-4.0378943758573385E-2"/>
                  <c:y val="-5.0141526426843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FD-4E9D-B169-774E6197CC09}"/>
                </c:ext>
              </c:extLst>
            </c:dLbl>
            <c:dLbl>
              <c:idx val="5"/>
              <c:layout>
                <c:manualLayout>
                  <c:x val="-3.8201303155006937E-2"/>
                  <c:y val="-4.5784227951898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FD-4E9D-B169-774E6197CC09}"/>
                </c:ext>
              </c:extLst>
            </c:dLbl>
            <c:dLbl>
              <c:idx val="6"/>
              <c:layout>
                <c:manualLayout>
                  <c:x val="-3.8201303155006937E-2"/>
                  <c:y val="-4.5784227951898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FD-4E9D-B169-774E6197CC0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Psychological!$B$3:$B$12</c:f>
              <c:strCache>
                <c:ptCount val="10"/>
                <c:pt idx="0">
                  <c:v>2022
Q1</c:v>
                </c:pt>
                <c:pt idx="1">
                  <c:v>2022
Q2</c:v>
                </c:pt>
                <c:pt idx="2">
                  <c:v>2022
Q3</c:v>
                </c:pt>
                <c:pt idx="3">
                  <c:v>2022
Q4</c:v>
                </c:pt>
                <c:pt idx="4">
                  <c:v>2023
Q1</c:v>
                </c:pt>
                <c:pt idx="5">
                  <c:v>2023
Q2</c:v>
                </c:pt>
                <c:pt idx="6">
                  <c:v>2023
Q3</c:v>
                </c:pt>
                <c:pt idx="7">
                  <c:v>2023
Q4</c:v>
                </c:pt>
                <c:pt idx="8">
                  <c:v>2024
Q1</c:v>
                </c:pt>
                <c:pt idx="9">
                  <c:v>2024
Q1</c:v>
                </c:pt>
              </c:strCache>
            </c:strRef>
          </c:cat>
          <c:val>
            <c:numRef>
              <c:f>Psychological!$D$3:$D$12</c:f>
              <c:numCache>
                <c:formatCode>0.0%</c:formatCode>
                <c:ptCount val="10"/>
                <c:pt idx="0">
                  <c:v>1.6E-2</c:v>
                </c:pt>
                <c:pt idx="1">
                  <c:v>1.6E-2</c:v>
                </c:pt>
                <c:pt idx="2">
                  <c:v>1.6E-2</c:v>
                </c:pt>
                <c:pt idx="3">
                  <c:v>1.6E-2</c:v>
                </c:pt>
                <c:pt idx="4">
                  <c:v>1.9E-2</c:v>
                </c:pt>
                <c:pt idx="5">
                  <c:v>2.1999999999999999E-2</c:v>
                </c:pt>
                <c:pt idx="6">
                  <c:v>2.4E-2</c:v>
                </c:pt>
                <c:pt idx="7">
                  <c:v>1.9E-2</c:v>
                </c:pt>
                <c:pt idx="8">
                  <c:v>2.1000000000000001E-2</c:v>
                </c:pt>
                <c:pt idx="9">
                  <c:v>0.02</c:v>
                </c:pt>
              </c:numCache>
            </c:numRef>
          </c:val>
          <c:smooth val="0"/>
          <c:extLst>
            <c:ext xmlns:c16="http://schemas.microsoft.com/office/drawing/2014/chart" uri="{C3380CC4-5D6E-409C-BE32-E72D297353CC}">
              <c16:uniqueId val="{00000005-C7FD-4E9D-B169-774E6197CC09}"/>
            </c:ext>
          </c:extLst>
        </c:ser>
        <c:dLbls>
          <c:dLblPos val="t"/>
          <c:showLegendKey val="0"/>
          <c:showVal val="1"/>
          <c:showCatName val="0"/>
          <c:showSerName val="0"/>
          <c:showPercent val="0"/>
          <c:showBubbleSize val="0"/>
        </c:dLbls>
        <c:marker val="1"/>
        <c:smooth val="0"/>
        <c:axId val="2091938128"/>
        <c:axId val="2081602160"/>
      </c:lineChart>
      <c:catAx>
        <c:axId val="209193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602160"/>
        <c:crosses val="autoZero"/>
        <c:auto val="1"/>
        <c:lblAlgn val="ctr"/>
        <c:lblOffset val="100"/>
        <c:noMultiLvlLbl val="0"/>
      </c:catAx>
      <c:valAx>
        <c:axId val="2081602160"/>
        <c:scaling>
          <c:orientation val="minMax"/>
          <c:max val="2.5000000000000005E-2"/>
          <c:min val="1.3000000000000003E-2"/>
        </c:scaling>
        <c:delete val="0"/>
        <c:axPos val="l"/>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091938128"/>
        <c:crosses val="autoZero"/>
        <c:crossBetween val="between"/>
        <c:majorUnit val="3.0000000000000009E-3"/>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b="1"/>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a:t>Police Staff % Turnover - Voluntary and Involuntary</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5663237311385461E-2"/>
          <c:y val="0.15029420342065086"/>
          <c:w val="0.95209190672153632"/>
          <c:h val="0.61970047861664346"/>
        </c:manualLayout>
      </c:layout>
      <c:barChart>
        <c:barDir val="col"/>
        <c:grouping val="clustered"/>
        <c:varyColors val="0"/>
        <c:ser>
          <c:idx val="0"/>
          <c:order val="0"/>
          <c:tx>
            <c:strRef>
              <c:f>Turnover!$C$2</c:f>
              <c:strCache>
                <c:ptCount val="1"/>
                <c:pt idx="0">
                  <c:v>Voluntary (N)</c:v>
                </c:pt>
              </c:strCache>
            </c:strRef>
          </c:tx>
          <c:spPr>
            <a:solidFill>
              <a:schemeClr val="accent1">
                <a:lumMod val="75000"/>
              </a:schemeClr>
            </a:solidFill>
            <a:ln>
              <a:solidFill>
                <a:schemeClr val="accent1">
                  <a:lumMod val="75000"/>
                </a:schemeClr>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Turnover!$A$3:$B$12</c:f>
              <c:multiLvlStrCache>
                <c:ptCount val="10"/>
                <c:lvl>
                  <c:pt idx="0">
                    <c:v>Q1</c:v>
                  </c:pt>
                  <c:pt idx="1">
                    <c:v>Q2</c:v>
                  </c:pt>
                  <c:pt idx="2">
                    <c:v>Q3</c:v>
                  </c:pt>
                  <c:pt idx="3">
                    <c:v>Q4</c:v>
                  </c:pt>
                  <c:pt idx="4">
                    <c:v>Q1</c:v>
                  </c:pt>
                  <c:pt idx="5">
                    <c:v>Q2</c:v>
                  </c:pt>
                  <c:pt idx="6">
                    <c:v>Q3</c:v>
                  </c:pt>
                  <c:pt idx="7">
                    <c:v>Q4</c:v>
                  </c:pt>
                  <c:pt idx="8">
                    <c:v>Q1</c:v>
                  </c:pt>
                  <c:pt idx="9">
                    <c:v>Q2</c:v>
                  </c:pt>
                </c:lvl>
                <c:lvl>
                  <c:pt idx="0">
                    <c:v>2022-23</c:v>
                  </c:pt>
                  <c:pt idx="4">
                    <c:v>2023-24</c:v>
                  </c:pt>
                  <c:pt idx="8">
                    <c:v>2024-25</c:v>
                  </c:pt>
                </c:lvl>
              </c:multiLvlStrCache>
            </c:multiLvlStrRef>
          </c:cat>
          <c:val>
            <c:numRef>
              <c:f>Turnover!$C$3:$C$12</c:f>
              <c:numCache>
                <c:formatCode>0.00%</c:formatCode>
                <c:ptCount val="10"/>
                <c:pt idx="0">
                  <c:v>1.15E-2</c:v>
                </c:pt>
                <c:pt idx="1">
                  <c:v>8.3999999999999995E-3</c:v>
                </c:pt>
                <c:pt idx="2">
                  <c:v>7.6E-3</c:v>
                </c:pt>
                <c:pt idx="3">
                  <c:v>6.8999999999999999E-3</c:v>
                </c:pt>
                <c:pt idx="4">
                  <c:v>7.9000000000000008E-3</c:v>
                </c:pt>
                <c:pt idx="5">
                  <c:v>6.3E-3</c:v>
                </c:pt>
                <c:pt idx="6">
                  <c:v>5.7000000000000002E-3</c:v>
                </c:pt>
                <c:pt idx="7">
                  <c:v>6.0000000000000001E-3</c:v>
                </c:pt>
                <c:pt idx="8">
                  <c:v>7.7000000000000002E-3</c:v>
                </c:pt>
                <c:pt idx="9">
                  <c:v>7.4999999999999997E-3</c:v>
                </c:pt>
              </c:numCache>
            </c:numRef>
          </c:val>
          <c:extLst>
            <c:ext xmlns:c16="http://schemas.microsoft.com/office/drawing/2014/chart" uri="{C3380CC4-5D6E-409C-BE32-E72D297353CC}">
              <c16:uniqueId val="{00000000-2A87-4FCD-9211-F42E65C7D233}"/>
            </c:ext>
          </c:extLst>
        </c:ser>
        <c:ser>
          <c:idx val="1"/>
          <c:order val="1"/>
          <c:tx>
            <c:strRef>
              <c:f>Turnover!$D$2</c:f>
              <c:strCache>
                <c:ptCount val="1"/>
                <c:pt idx="0">
                  <c:v>Voluntary (Y)</c:v>
                </c:pt>
              </c:strCache>
            </c:strRef>
          </c:tx>
          <c:spPr>
            <a:solidFill>
              <a:schemeClr val="accent1">
                <a:lumMod val="40000"/>
                <a:lumOff val="60000"/>
              </a:schemeClr>
            </a:solidFill>
            <a:ln>
              <a:solidFill>
                <a:schemeClr val="accent1">
                  <a:lumMod val="40000"/>
                  <a:lumOff val="60000"/>
                </a:schemeClr>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Turnover!$A$3:$B$12</c:f>
              <c:multiLvlStrCache>
                <c:ptCount val="10"/>
                <c:lvl>
                  <c:pt idx="0">
                    <c:v>Q1</c:v>
                  </c:pt>
                  <c:pt idx="1">
                    <c:v>Q2</c:v>
                  </c:pt>
                  <c:pt idx="2">
                    <c:v>Q3</c:v>
                  </c:pt>
                  <c:pt idx="3">
                    <c:v>Q4</c:v>
                  </c:pt>
                  <c:pt idx="4">
                    <c:v>Q1</c:v>
                  </c:pt>
                  <c:pt idx="5">
                    <c:v>Q2</c:v>
                  </c:pt>
                  <c:pt idx="6">
                    <c:v>Q3</c:v>
                  </c:pt>
                  <c:pt idx="7">
                    <c:v>Q4</c:v>
                  </c:pt>
                  <c:pt idx="8">
                    <c:v>Q1</c:v>
                  </c:pt>
                  <c:pt idx="9">
                    <c:v>Q2</c:v>
                  </c:pt>
                </c:lvl>
                <c:lvl>
                  <c:pt idx="0">
                    <c:v>2022-23</c:v>
                  </c:pt>
                  <c:pt idx="4">
                    <c:v>2023-24</c:v>
                  </c:pt>
                  <c:pt idx="8">
                    <c:v>2024-25</c:v>
                  </c:pt>
                </c:lvl>
              </c:multiLvlStrCache>
            </c:multiLvlStrRef>
          </c:cat>
          <c:val>
            <c:numRef>
              <c:f>Turnover!$D$3:$D$12</c:f>
              <c:numCache>
                <c:formatCode>0.00%</c:formatCode>
                <c:ptCount val="10"/>
                <c:pt idx="0">
                  <c:v>1.2699999999999999E-2</c:v>
                </c:pt>
                <c:pt idx="1">
                  <c:v>1.38E-2</c:v>
                </c:pt>
                <c:pt idx="2">
                  <c:v>1.03E-2</c:v>
                </c:pt>
                <c:pt idx="3">
                  <c:v>1.17E-2</c:v>
                </c:pt>
                <c:pt idx="4">
                  <c:v>1.3299999999999999E-2</c:v>
                </c:pt>
                <c:pt idx="5">
                  <c:v>1.2500000000000001E-2</c:v>
                </c:pt>
                <c:pt idx="6">
                  <c:v>0.01</c:v>
                </c:pt>
                <c:pt idx="7">
                  <c:v>1.15E-2</c:v>
                </c:pt>
                <c:pt idx="8">
                  <c:v>1.35E-2</c:v>
                </c:pt>
                <c:pt idx="9">
                  <c:v>2.2700000000000001E-2</c:v>
                </c:pt>
              </c:numCache>
            </c:numRef>
          </c:val>
          <c:extLst>
            <c:ext xmlns:c16="http://schemas.microsoft.com/office/drawing/2014/chart" uri="{C3380CC4-5D6E-409C-BE32-E72D297353CC}">
              <c16:uniqueId val="{00000001-2A87-4FCD-9211-F42E65C7D233}"/>
            </c:ext>
          </c:extLst>
        </c:ser>
        <c:dLbls>
          <c:showLegendKey val="0"/>
          <c:showVal val="1"/>
          <c:showCatName val="0"/>
          <c:showSerName val="0"/>
          <c:showPercent val="0"/>
          <c:showBubbleSize val="0"/>
        </c:dLbls>
        <c:gapWidth val="150"/>
        <c:overlap val="-10"/>
        <c:axId val="2091938128"/>
        <c:axId val="2081602160"/>
      </c:barChart>
      <c:catAx>
        <c:axId val="209193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602160"/>
        <c:crosses val="autoZero"/>
        <c:auto val="1"/>
        <c:lblAlgn val="ctr"/>
        <c:lblOffset val="100"/>
        <c:noMultiLvlLbl val="0"/>
      </c:catAx>
      <c:valAx>
        <c:axId val="2081602160"/>
        <c:scaling>
          <c:orientation val="minMax"/>
          <c:max val="3.0000000000000006E-2"/>
          <c:min val="0"/>
        </c:scaling>
        <c:delete val="1"/>
        <c:axPos val="l"/>
        <c:numFmt formatCode="0.00%" sourceLinked="1"/>
        <c:majorTickMark val="out"/>
        <c:minorTickMark val="none"/>
        <c:tickLblPos val="nextTo"/>
        <c:crossAx val="2091938128"/>
        <c:crosses val="autoZero"/>
        <c:crossBetween val="between"/>
        <c:maj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b="1"/>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a:t>RRRD and TOIL Banks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5663237311385461E-2"/>
          <c:y val="0.15029420342065086"/>
          <c:w val="0.95209190672153632"/>
          <c:h val="0.61970047861664346"/>
        </c:manualLayout>
      </c:layout>
      <c:barChart>
        <c:barDir val="col"/>
        <c:grouping val="clustered"/>
        <c:varyColors val="0"/>
        <c:ser>
          <c:idx val="0"/>
          <c:order val="0"/>
          <c:tx>
            <c:strRef>
              <c:f>'RRRD Toil'!$C$2</c:f>
              <c:strCache>
                <c:ptCount val="1"/>
                <c:pt idx="0">
                  <c:v>RRRD</c:v>
                </c:pt>
              </c:strCache>
            </c:strRef>
          </c:tx>
          <c:spPr>
            <a:solidFill>
              <a:schemeClr val="accent1">
                <a:lumMod val="7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'RRRD Toil'!$B$3:$B$5</c:f>
              <c:strCache>
                <c:ptCount val="3"/>
                <c:pt idx="0">
                  <c:v>Q2 2023/24</c:v>
                </c:pt>
                <c:pt idx="1">
                  <c:v>Q1 2024/25</c:v>
                </c:pt>
                <c:pt idx="2">
                  <c:v>Q2 2024/25</c:v>
                </c:pt>
              </c:strCache>
            </c:strRef>
          </c:cat>
          <c:val>
            <c:numRef>
              <c:f>'RRRD Toil'!$C$3:$C$5</c:f>
              <c:numCache>
                <c:formatCode>#,##0</c:formatCode>
                <c:ptCount val="3"/>
                <c:pt idx="0">
                  <c:v>58834</c:v>
                </c:pt>
                <c:pt idx="1">
                  <c:v>33407</c:v>
                </c:pt>
                <c:pt idx="2">
                  <c:v>32363</c:v>
                </c:pt>
              </c:numCache>
            </c:numRef>
          </c:val>
          <c:extLst>
            <c:ext xmlns:c16="http://schemas.microsoft.com/office/drawing/2014/chart" uri="{C3380CC4-5D6E-409C-BE32-E72D297353CC}">
              <c16:uniqueId val="{00000000-97AA-4C67-A6C3-F43653119631}"/>
            </c:ext>
          </c:extLst>
        </c:ser>
        <c:ser>
          <c:idx val="1"/>
          <c:order val="1"/>
          <c:tx>
            <c:strRef>
              <c:f>'RRRD Toil'!$D$2</c:f>
              <c:strCache>
                <c:ptCount val="1"/>
                <c:pt idx="0">
                  <c:v>TOIL hours</c:v>
                </c:pt>
              </c:strCache>
            </c:strRef>
          </c:tx>
          <c:spPr>
            <a:solidFill>
              <a:schemeClr val="accent1">
                <a:lumMod val="40000"/>
                <a:lumOff val="60000"/>
              </a:schemeClr>
            </a:solidFill>
            <a:ln>
              <a:solidFill>
                <a:schemeClr val="accent1">
                  <a:lumMod val="40000"/>
                  <a:lumOff val="6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'RRRD Toil'!$B$3:$B$5</c:f>
              <c:strCache>
                <c:ptCount val="3"/>
                <c:pt idx="0">
                  <c:v>Q2 2023/24</c:v>
                </c:pt>
                <c:pt idx="1">
                  <c:v>Q1 2024/25</c:v>
                </c:pt>
                <c:pt idx="2">
                  <c:v>Q2 2024/25</c:v>
                </c:pt>
              </c:strCache>
            </c:strRef>
          </c:cat>
          <c:val>
            <c:numRef>
              <c:f>'RRRD Toil'!$D$3:$D$5</c:f>
              <c:numCache>
                <c:formatCode>#,##0</c:formatCode>
                <c:ptCount val="3"/>
                <c:pt idx="0">
                  <c:v>31194</c:v>
                </c:pt>
                <c:pt idx="1">
                  <c:v>25418</c:v>
                </c:pt>
                <c:pt idx="2">
                  <c:v>24654</c:v>
                </c:pt>
              </c:numCache>
            </c:numRef>
          </c:val>
          <c:extLst>
            <c:ext xmlns:c16="http://schemas.microsoft.com/office/drawing/2014/chart" uri="{C3380CC4-5D6E-409C-BE32-E72D297353CC}">
              <c16:uniqueId val="{00000001-97AA-4C67-A6C3-F43653119631}"/>
            </c:ext>
          </c:extLst>
        </c:ser>
        <c:dLbls>
          <c:showLegendKey val="0"/>
          <c:showVal val="1"/>
          <c:showCatName val="0"/>
          <c:showSerName val="0"/>
          <c:showPercent val="0"/>
          <c:showBubbleSize val="0"/>
        </c:dLbls>
        <c:gapWidth val="150"/>
        <c:overlap val="-10"/>
        <c:axId val="2091938128"/>
        <c:axId val="2081602160"/>
      </c:barChart>
      <c:catAx>
        <c:axId val="209193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602160"/>
        <c:crosses val="autoZero"/>
        <c:auto val="1"/>
        <c:lblAlgn val="ctr"/>
        <c:lblOffset val="100"/>
        <c:noMultiLvlLbl val="0"/>
      </c:catAx>
      <c:valAx>
        <c:axId val="2081602160"/>
        <c:scaling>
          <c:orientation val="minMax"/>
          <c:max val="70000"/>
          <c:min val="0"/>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091938128"/>
        <c:crosses val="autoZero"/>
        <c:crossBetween val="between"/>
        <c:majorUnit val="1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b="1"/>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a:t>Officer and Staff FTE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5663237311385461E-2"/>
          <c:y val="0.15029420342065086"/>
          <c:w val="0.95209190672153632"/>
          <c:h val="0.61970047861664346"/>
        </c:manualLayout>
      </c:layout>
      <c:barChart>
        <c:barDir val="col"/>
        <c:grouping val="clustered"/>
        <c:varyColors val="0"/>
        <c:ser>
          <c:idx val="0"/>
          <c:order val="0"/>
          <c:tx>
            <c:strRef>
              <c:f>FTE!$C$2</c:f>
              <c:strCache>
                <c:ptCount val="1"/>
                <c:pt idx="0">
                  <c:v>Police Officers</c:v>
                </c:pt>
              </c:strCache>
            </c:strRef>
          </c:tx>
          <c:spPr>
            <a:solidFill>
              <a:schemeClr val="accent1">
                <a:lumMod val="7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FTE!$B$3:$B$5</c:f>
              <c:strCache>
                <c:ptCount val="3"/>
                <c:pt idx="0">
                  <c:v>Q2 2023/24</c:v>
                </c:pt>
                <c:pt idx="1">
                  <c:v>Q1 2024/25</c:v>
                </c:pt>
                <c:pt idx="2">
                  <c:v>Q2 2024/25</c:v>
                </c:pt>
              </c:strCache>
            </c:strRef>
          </c:cat>
          <c:val>
            <c:numRef>
              <c:f>FTE!$C$3:$C$5</c:f>
              <c:numCache>
                <c:formatCode>#,##0.00</c:formatCode>
                <c:ptCount val="3"/>
                <c:pt idx="0">
                  <c:v>16613.03</c:v>
                </c:pt>
                <c:pt idx="1">
                  <c:v>16207.22</c:v>
                </c:pt>
                <c:pt idx="2">
                  <c:v>16426.73</c:v>
                </c:pt>
              </c:numCache>
            </c:numRef>
          </c:val>
          <c:extLst>
            <c:ext xmlns:c16="http://schemas.microsoft.com/office/drawing/2014/chart" uri="{C3380CC4-5D6E-409C-BE32-E72D297353CC}">
              <c16:uniqueId val="{00000000-C06B-474F-83D1-8059B7964ADD}"/>
            </c:ext>
          </c:extLst>
        </c:ser>
        <c:ser>
          <c:idx val="1"/>
          <c:order val="1"/>
          <c:tx>
            <c:strRef>
              <c:f>FTE!$D$2</c:f>
              <c:strCache>
                <c:ptCount val="1"/>
                <c:pt idx="0">
                  <c:v>Police Staff</c:v>
                </c:pt>
              </c:strCache>
            </c:strRef>
          </c:tx>
          <c:spPr>
            <a:solidFill>
              <a:schemeClr val="accent1">
                <a:lumMod val="40000"/>
                <a:lumOff val="60000"/>
              </a:schemeClr>
            </a:solidFill>
            <a:ln>
              <a:solidFill>
                <a:schemeClr val="accent1">
                  <a:lumMod val="40000"/>
                  <a:lumOff val="6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FTE!$B$3:$B$5</c:f>
              <c:strCache>
                <c:ptCount val="3"/>
                <c:pt idx="0">
                  <c:v>Q2 2023/24</c:v>
                </c:pt>
                <c:pt idx="1">
                  <c:v>Q1 2024/25</c:v>
                </c:pt>
                <c:pt idx="2">
                  <c:v>Q2 2024/25</c:v>
                </c:pt>
              </c:strCache>
            </c:strRef>
          </c:cat>
          <c:val>
            <c:numRef>
              <c:f>FTE!$D$3:$D$5</c:f>
              <c:numCache>
                <c:formatCode>#,##0.00</c:formatCode>
                <c:ptCount val="3"/>
                <c:pt idx="0">
                  <c:v>5258.44</c:v>
                </c:pt>
                <c:pt idx="1">
                  <c:v>5130.3</c:v>
                </c:pt>
                <c:pt idx="2">
                  <c:v>5074.78</c:v>
                </c:pt>
              </c:numCache>
            </c:numRef>
          </c:val>
          <c:extLst>
            <c:ext xmlns:c16="http://schemas.microsoft.com/office/drawing/2014/chart" uri="{C3380CC4-5D6E-409C-BE32-E72D297353CC}">
              <c16:uniqueId val="{00000001-C06B-474F-83D1-8059B7964ADD}"/>
            </c:ext>
          </c:extLst>
        </c:ser>
        <c:dLbls>
          <c:showLegendKey val="0"/>
          <c:showVal val="1"/>
          <c:showCatName val="0"/>
          <c:showSerName val="0"/>
          <c:showPercent val="0"/>
          <c:showBubbleSize val="0"/>
        </c:dLbls>
        <c:gapWidth val="150"/>
        <c:overlap val="-10"/>
        <c:axId val="2091938128"/>
        <c:axId val="2081602160"/>
      </c:barChart>
      <c:catAx>
        <c:axId val="209193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602160"/>
        <c:crosses val="autoZero"/>
        <c:auto val="1"/>
        <c:lblAlgn val="ctr"/>
        <c:lblOffset val="100"/>
        <c:noMultiLvlLbl val="0"/>
      </c:catAx>
      <c:valAx>
        <c:axId val="2081602160"/>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09193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b="1"/>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a:t>Modified Duties by Deployability</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5663237311385461E-2"/>
          <c:y val="0.15029420342065086"/>
          <c:w val="0.95209190672153632"/>
          <c:h val="0.61970047861664346"/>
        </c:manualLayout>
      </c:layout>
      <c:barChart>
        <c:barDir val="col"/>
        <c:grouping val="clustered"/>
        <c:varyColors val="0"/>
        <c:ser>
          <c:idx val="0"/>
          <c:order val="0"/>
          <c:tx>
            <c:strRef>
              <c:f>'[Q2 Accessible Grayscale Graphs.xlsx]Modified'!$C$2</c:f>
              <c:strCache>
                <c:ptCount val="1"/>
                <c:pt idx="0">
                  <c:v>23/24 Q2</c:v>
                </c:pt>
              </c:strCache>
            </c:strRef>
          </c:tx>
          <c:spPr>
            <a:solidFill>
              <a:schemeClr val="accent1">
                <a:lumMod val="7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'[Q2 Accessible Grayscale Graphs.xlsx]Modified'!$A$3:$B$6</c:f>
              <c:multiLvlStrCache>
                <c:ptCount val="4"/>
                <c:lvl>
                  <c:pt idx="0">
                    <c:v>Deployable with restrictions</c:v>
                  </c:pt>
                  <c:pt idx="1">
                    <c:v>Non Deployable</c:v>
                  </c:pt>
                  <c:pt idx="2">
                    <c:v>Deployable with restrictions</c:v>
                  </c:pt>
                  <c:pt idx="3">
                    <c:v>Non Deployable</c:v>
                  </c:pt>
                </c:lvl>
                <c:lvl>
                  <c:pt idx="0">
                    <c:v>Police Officer</c:v>
                  </c:pt>
                  <c:pt idx="2">
                    <c:v>Police Staff</c:v>
                  </c:pt>
                </c:lvl>
              </c:multiLvlStrCache>
            </c:multiLvlStrRef>
          </c:cat>
          <c:val>
            <c:numRef>
              <c:f>'[Q2 Accessible Grayscale Graphs.xlsx]Modified'!$C$3:$C$6</c:f>
              <c:numCache>
                <c:formatCode>0</c:formatCode>
                <c:ptCount val="4"/>
                <c:pt idx="0">
                  <c:v>673</c:v>
                </c:pt>
                <c:pt idx="1">
                  <c:v>1241</c:v>
                </c:pt>
                <c:pt idx="2">
                  <c:v>82</c:v>
                </c:pt>
                <c:pt idx="3">
                  <c:v>55</c:v>
                </c:pt>
              </c:numCache>
            </c:numRef>
          </c:val>
          <c:extLst>
            <c:ext xmlns:c16="http://schemas.microsoft.com/office/drawing/2014/chart" uri="{C3380CC4-5D6E-409C-BE32-E72D297353CC}">
              <c16:uniqueId val="{00000000-D774-466E-BFDF-58C9587E9C90}"/>
            </c:ext>
          </c:extLst>
        </c:ser>
        <c:ser>
          <c:idx val="1"/>
          <c:order val="1"/>
          <c:tx>
            <c:strRef>
              <c:f>'[Q2 Accessible Grayscale Graphs.xlsx]Modified'!$D$2</c:f>
              <c:strCache>
                <c:ptCount val="1"/>
                <c:pt idx="0">
                  <c:v>24/25 Q1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'[Q2 Accessible Grayscale Graphs.xlsx]Modified'!$A$3:$B$6</c:f>
              <c:multiLvlStrCache>
                <c:ptCount val="4"/>
                <c:lvl>
                  <c:pt idx="0">
                    <c:v>Deployable with restrictions</c:v>
                  </c:pt>
                  <c:pt idx="1">
                    <c:v>Non Deployable</c:v>
                  </c:pt>
                  <c:pt idx="2">
                    <c:v>Deployable with restrictions</c:v>
                  </c:pt>
                  <c:pt idx="3">
                    <c:v>Non Deployable</c:v>
                  </c:pt>
                </c:lvl>
                <c:lvl>
                  <c:pt idx="0">
                    <c:v>Police Officer</c:v>
                  </c:pt>
                  <c:pt idx="2">
                    <c:v>Police Staff</c:v>
                  </c:pt>
                </c:lvl>
              </c:multiLvlStrCache>
            </c:multiLvlStrRef>
          </c:cat>
          <c:val>
            <c:numRef>
              <c:f>'[Q2 Accessible Grayscale Graphs.xlsx]Modified'!$D$3:$D$6</c:f>
              <c:numCache>
                <c:formatCode>0</c:formatCode>
                <c:ptCount val="4"/>
                <c:pt idx="0">
                  <c:v>759</c:v>
                </c:pt>
                <c:pt idx="1">
                  <c:v>1260</c:v>
                </c:pt>
                <c:pt idx="2">
                  <c:v>65</c:v>
                </c:pt>
                <c:pt idx="3">
                  <c:v>49</c:v>
                </c:pt>
              </c:numCache>
            </c:numRef>
          </c:val>
          <c:extLst>
            <c:ext xmlns:c16="http://schemas.microsoft.com/office/drawing/2014/chart" uri="{C3380CC4-5D6E-409C-BE32-E72D297353CC}">
              <c16:uniqueId val="{00000001-D774-466E-BFDF-58C9587E9C90}"/>
            </c:ext>
          </c:extLst>
        </c:ser>
        <c:ser>
          <c:idx val="2"/>
          <c:order val="2"/>
          <c:tx>
            <c:strRef>
              <c:f>'[Q2 Accessible Grayscale Graphs.xlsx]Modified'!$E$2</c:f>
              <c:strCache>
                <c:ptCount val="1"/>
                <c:pt idx="0">
                  <c:v>24/25 Q2</c:v>
                </c:pt>
              </c:strCache>
            </c:strRef>
          </c:tx>
          <c:spPr>
            <a:solidFill>
              <a:schemeClr val="accent1">
                <a:lumMod val="40000"/>
                <a:lumOff val="60000"/>
              </a:schemeClr>
            </a:solidFill>
            <a:ln>
              <a:solidFill>
                <a:schemeClr val="accent1">
                  <a:lumMod val="40000"/>
                  <a:lumOff val="6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'[Q2 Accessible Grayscale Graphs.xlsx]Modified'!$A$3:$B$6</c:f>
              <c:multiLvlStrCache>
                <c:ptCount val="4"/>
                <c:lvl>
                  <c:pt idx="0">
                    <c:v>Deployable with restrictions</c:v>
                  </c:pt>
                  <c:pt idx="1">
                    <c:v>Non Deployable</c:v>
                  </c:pt>
                  <c:pt idx="2">
                    <c:v>Deployable with restrictions</c:v>
                  </c:pt>
                  <c:pt idx="3">
                    <c:v>Non Deployable</c:v>
                  </c:pt>
                </c:lvl>
                <c:lvl>
                  <c:pt idx="0">
                    <c:v>Police Officer</c:v>
                  </c:pt>
                  <c:pt idx="2">
                    <c:v>Police Staff</c:v>
                  </c:pt>
                </c:lvl>
              </c:multiLvlStrCache>
            </c:multiLvlStrRef>
          </c:cat>
          <c:val>
            <c:numRef>
              <c:f>'[Q2 Accessible Grayscale Graphs.xlsx]Modified'!$E$3:$E$6</c:f>
              <c:numCache>
                <c:formatCode>0</c:formatCode>
                <c:ptCount val="4"/>
                <c:pt idx="0">
                  <c:v>783</c:v>
                </c:pt>
                <c:pt idx="1">
                  <c:v>1289</c:v>
                </c:pt>
                <c:pt idx="2">
                  <c:v>66</c:v>
                </c:pt>
                <c:pt idx="3">
                  <c:v>66</c:v>
                </c:pt>
              </c:numCache>
            </c:numRef>
          </c:val>
          <c:extLst>
            <c:ext xmlns:c16="http://schemas.microsoft.com/office/drawing/2014/chart" uri="{C3380CC4-5D6E-409C-BE32-E72D297353CC}">
              <c16:uniqueId val="{00000002-D774-466E-BFDF-58C9587E9C90}"/>
            </c:ext>
          </c:extLst>
        </c:ser>
        <c:dLbls>
          <c:showLegendKey val="0"/>
          <c:showVal val="1"/>
          <c:showCatName val="0"/>
          <c:showSerName val="0"/>
          <c:showPercent val="0"/>
          <c:showBubbleSize val="0"/>
        </c:dLbls>
        <c:gapWidth val="150"/>
        <c:overlap val="-10"/>
        <c:axId val="2091938128"/>
        <c:axId val="2081602160"/>
      </c:barChart>
      <c:catAx>
        <c:axId val="209193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602160"/>
        <c:crosses val="autoZero"/>
        <c:auto val="1"/>
        <c:lblAlgn val="ctr"/>
        <c:lblOffset val="100"/>
        <c:noMultiLvlLbl val="0"/>
      </c:catAx>
      <c:valAx>
        <c:axId val="2081602160"/>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09193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b="1"/>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22eb64b-2ec8-46fd-817b-73c63f822af1">PSOS-1155757008-35</_dlc_DocId>
    <_dlc_DocIdUrl xmlns="322eb64b-2ec8-46fd-817b-73c63f822af1">
      <Url>https://spi.spnet.local/policescotland/org-support/corp-services/corporate-communications/_layouts/15/DocIdRedir.aspx?ID=PSOS-1155757008-35</Url>
      <Description>PSOS-1155757008-35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211436E474B3A4C873F6FE409F47AE5" ma:contentTypeVersion="16" ma:contentTypeDescription="Create a new document." ma:contentTypeScope="" ma:versionID="44107a52688571692a4b7d379dccbd1b">
  <xsd:schema xmlns:xsd="http://www.w3.org/2001/XMLSchema" xmlns:xs="http://www.w3.org/2001/XMLSchema" xmlns:p="http://schemas.microsoft.com/office/2006/metadata/properties" xmlns:ns2="322eb64b-2ec8-46fd-817b-73c63f822af1" xmlns:ns3="5ce8f9be-fcf3-483e-8aa2-da494d347403" targetNamespace="http://schemas.microsoft.com/office/2006/metadata/properties" ma:root="true" ma:fieldsID="44888ac255a36936fcb9ee378c3e438b" ns2:_="" ns3:_="">
    <xsd:import namespace="322eb64b-2ec8-46fd-817b-73c63f822af1"/>
    <xsd:import namespace="5ce8f9be-fcf3-483e-8aa2-da494d34740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ce8f9be-fcf3-483e-8aa2-da494d34740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CF009EF4-C31E-4EEB-BA94-5CFF95F929ED}">
  <ds:schemaRefs>
    <ds:schemaRef ds:uri="http://purl.org/dc/dcmitype/"/>
    <ds:schemaRef ds:uri="http://www.w3.org/XML/1998/namespace"/>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5ce8f9be-fcf3-483e-8aa2-da494d347403"/>
    <ds:schemaRef ds:uri="322eb64b-2ec8-46fd-817b-73c63f822af1"/>
  </ds:schemaRefs>
</ds:datastoreItem>
</file>

<file path=customXml/itemProps2.xml><?xml version="1.0" encoding="utf-8"?>
<ds:datastoreItem xmlns:ds="http://schemas.openxmlformats.org/officeDocument/2006/customXml" ds:itemID="{87187A1B-D0D5-4206-9FFA-D0CD18198998}">
  <ds:schemaRefs>
    <ds:schemaRef ds:uri="http://schemas.microsoft.com/sharepoint/v3/contenttype/forms"/>
  </ds:schemaRefs>
</ds:datastoreItem>
</file>

<file path=customXml/itemProps3.xml><?xml version="1.0" encoding="utf-8"?>
<ds:datastoreItem xmlns:ds="http://schemas.openxmlformats.org/officeDocument/2006/customXml" ds:itemID="{AB35E7A6-AFBF-4FF0-9043-2821ACA7A5E2}">
  <ds:schemaRefs>
    <ds:schemaRef ds:uri="http://schemas.openxmlformats.org/officeDocument/2006/bibliography"/>
  </ds:schemaRefs>
</ds:datastoreItem>
</file>

<file path=customXml/itemProps4.xml><?xml version="1.0" encoding="utf-8"?>
<ds:datastoreItem xmlns:ds="http://schemas.openxmlformats.org/officeDocument/2006/customXml" ds:itemID="{57FAC497-12DE-4532-9C7F-9A43E6597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5ce8f9be-fcf3-483e-8aa2-da494d347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05240CB-3937-415B-8E8E-200ACB5D887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16481</Words>
  <Characters>93943</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110204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McLean, Linda</dc:creator>
  <cp:keywords/>
  <dc:description/>
  <cp:lastModifiedBy>Lambie, Alistair</cp:lastModifiedBy>
  <cp:revision>2</cp:revision>
  <cp:lastPrinted>2021-07-13T13:57:00Z</cp:lastPrinted>
  <dcterms:created xsi:type="dcterms:W3CDTF">2024-12-03T09:22:00Z</dcterms:created>
  <dcterms:modified xsi:type="dcterms:W3CDTF">2024-12-03T09:22:00Z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2021-03-10T13:52:29Z</vt:filetime>
  </property>
  <property fmtid="{D5CDD505-2E9C-101B-9397-08002B2CF9AE}" pid="7" name="ContentTypeId">
    <vt:lpwstr>0x010100C211436E474B3A4C873F6FE409F47AE5</vt:lpwstr>
  </property>
  <property fmtid="{D5CDD505-2E9C-101B-9397-08002B2CF9AE}" pid="8" name="_dlc_DocIdItemGuid">
    <vt:lpwstr>180ff81d-7586-457d-ac91-3121790494e2</vt:lpwstr>
  </property>
</Properties>
</file>