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80F95">
              <w:t>0688</w:t>
            </w:r>
          </w:p>
          <w:p w:rsidR="00B17211" w:rsidRDefault="00456324" w:rsidP="00B75DE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B75DEC">
              <w:t>29</w:t>
            </w:r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80F95" w:rsidRPr="00E80F95" w:rsidRDefault="00E80F95" w:rsidP="00E80F95">
      <w:pPr>
        <w:pStyle w:val="Heading2"/>
        <w:rPr>
          <w:rFonts w:cs="Arial"/>
          <w:color w:val="000000"/>
          <w:szCs w:val="24"/>
        </w:rPr>
      </w:pPr>
      <w:r w:rsidRPr="00E80F95">
        <w:rPr>
          <w:lang w:val="en-US"/>
        </w:rPr>
        <w:t>The number of drivers charged with drink driving in 2021 and 202</w:t>
      </w:r>
      <w:r w:rsidRPr="00E80F95">
        <w:rPr>
          <w:rFonts w:cs="Arial"/>
          <w:szCs w:val="24"/>
          <w:lang w:val="en-US"/>
        </w:rPr>
        <w:t xml:space="preserve">2 </w:t>
      </w:r>
      <w:r w:rsidRPr="00E80F95">
        <w:rPr>
          <w:rStyle w:val="xxxxnormaltextrun"/>
          <w:rFonts w:cs="Arial"/>
          <w:b w:val="0"/>
          <w:color w:val="000000"/>
          <w:szCs w:val="24"/>
          <w:lang w:val="en-US"/>
        </w:rPr>
        <w:t xml:space="preserve">- </w:t>
      </w:r>
      <w:r w:rsidRPr="00E80F95">
        <w:rPr>
          <w:rFonts w:cs="Arial"/>
          <w:color w:val="000000"/>
          <w:szCs w:val="24"/>
        </w:rPr>
        <w:t xml:space="preserve">please provide totals split by month Jan – Dec </w:t>
      </w:r>
    </w:p>
    <w:p w:rsidR="00496A08" w:rsidRDefault="00087DD0" w:rsidP="00793DD5">
      <w:pPr>
        <w:tabs>
          <w:tab w:val="left" w:pos="5400"/>
        </w:tabs>
      </w:pPr>
      <w:r>
        <w:t>In response, please see</w:t>
      </w:r>
      <w:bookmarkStart w:id="0" w:name="_GoBack"/>
      <w:bookmarkEnd w:id="0"/>
      <w:r w:rsidR="0093411F">
        <w:t xml:space="preserve"> table </w:t>
      </w:r>
      <w:r w:rsidR="00225F37">
        <w:t xml:space="preserve">1 </w:t>
      </w:r>
      <w:r w:rsidR="0093411F">
        <w:t>at the end of this letter.</w:t>
      </w:r>
    </w:p>
    <w:p w:rsidR="00225F37" w:rsidRDefault="00225F37" w:rsidP="00793DD5">
      <w:pPr>
        <w:tabs>
          <w:tab w:val="left" w:pos="5400"/>
        </w:tabs>
      </w:pPr>
    </w:p>
    <w:p w:rsidR="00E80F95" w:rsidRPr="00E80F95" w:rsidRDefault="00E80F95" w:rsidP="00E80F95">
      <w:pPr>
        <w:pStyle w:val="Heading2"/>
      </w:pPr>
      <w:r w:rsidRPr="00E80F95">
        <w:rPr>
          <w:lang w:val="en-US"/>
        </w:rPr>
        <w:t xml:space="preserve">The number of drivers stopped and asked to conduct a breathalyzer test in 2021 and 2022 - </w:t>
      </w:r>
      <w:r w:rsidRPr="00E80F95">
        <w:t xml:space="preserve">please provide totals split by month Jan – Dec </w:t>
      </w:r>
    </w:p>
    <w:p w:rsidR="00E80F95" w:rsidRPr="00E80F95" w:rsidRDefault="00E80F95" w:rsidP="00E80F95">
      <w:pPr>
        <w:pStyle w:val="Heading2"/>
      </w:pPr>
      <w:r w:rsidRPr="00E80F95">
        <w:rPr>
          <w:lang w:val="en-US"/>
        </w:rPr>
        <w:t xml:space="preserve">The number of drivers stopped and asked to conduct a breathalyzer test who </w:t>
      </w:r>
      <w:r w:rsidRPr="00E80F95">
        <w:rPr>
          <w:u w:val="single"/>
        </w:rPr>
        <w:t>tested positive</w:t>
      </w:r>
      <w:r w:rsidRPr="00E80F95">
        <w:t xml:space="preserve"> or refused a breathalyzer test 2021 and 2022</w:t>
      </w:r>
      <w:r w:rsidRPr="00E80F95">
        <w:rPr>
          <w:lang w:val="en-US"/>
        </w:rPr>
        <w:t xml:space="preserve"> -</w:t>
      </w:r>
      <w:r w:rsidRPr="00E80F95">
        <w:t xml:space="preserve">please provide totals split by month Jan – Dec </w:t>
      </w:r>
    </w:p>
    <w:p w:rsidR="0093411F" w:rsidRPr="0093411F" w:rsidRDefault="0093411F" w:rsidP="0093411F">
      <w:pPr>
        <w:tabs>
          <w:tab w:val="left" w:pos="5400"/>
        </w:tabs>
      </w:pPr>
      <w:r w:rsidRPr="0093411F">
        <w:t xml:space="preserve">Having considered </w:t>
      </w:r>
      <w:r>
        <w:t xml:space="preserve">these questions </w:t>
      </w:r>
      <w:r w:rsidRPr="0093411F">
        <w:t xml:space="preserve">in terms of the Act, I regret to inform you that I am unable to provide you with the information you have requested, as it would prove too costly to do so within the context of the fee regulations.  </w:t>
      </w:r>
    </w:p>
    <w:p w:rsidR="0093411F" w:rsidRPr="0093411F" w:rsidRDefault="0093411F" w:rsidP="0093411F">
      <w:pPr>
        <w:tabs>
          <w:tab w:val="left" w:pos="5400"/>
        </w:tabs>
      </w:pPr>
      <w:r w:rsidRPr="0093411F">
        <w:t xml:space="preserve">As you may be aware the current cost threshold is £600 and I estimate that it would cost well in excess of this amount to process your request. </w:t>
      </w:r>
    </w:p>
    <w:p w:rsidR="0093411F" w:rsidRPr="0093411F" w:rsidRDefault="0093411F" w:rsidP="0093411F">
      <w:pPr>
        <w:tabs>
          <w:tab w:val="left" w:pos="5400"/>
        </w:tabs>
      </w:pPr>
      <w:r w:rsidRPr="0093411F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93411F" w:rsidRPr="0093411F" w:rsidRDefault="0093411F" w:rsidP="0093411F">
      <w:pPr>
        <w:tabs>
          <w:tab w:val="left" w:pos="5400"/>
        </w:tabs>
      </w:pPr>
      <w:r w:rsidRPr="0093411F">
        <w:t xml:space="preserve">By way of explanation, </w:t>
      </w:r>
      <w:r>
        <w:t xml:space="preserve">there is no central recording system where persons stopped by police for any reason is recorded. Therefore </w:t>
      </w:r>
      <w:r w:rsidRPr="00A732CA">
        <w:t>case assessment of all offi</w:t>
      </w:r>
      <w:r>
        <w:t xml:space="preserve">cer notebooks would be required. This is </w:t>
      </w:r>
      <w:r w:rsidRPr="0093411F">
        <w:t>an exercise which I estimate would far exceed the cost limit set out in the Fees Regulations.</w:t>
      </w:r>
    </w:p>
    <w:p w:rsidR="00BF6B81" w:rsidRPr="00B11A55" w:rsidRDefault="0093411F" w:rsidP="00793DD5">
      <w:pPr>
        <w:tabs>
          <w:tab w:val="left" w:pos="5400"/>
        </w:tabs>
      </w:pPr>
      <w:r>
        <w:t xml:space="preserve">However to be of assistance the information shown in table 2 at the end of this letter is in relation to </w:t>
      </w:r>
      <w:r w:rsidR="00225F37">
        <w:t>stops conducted by our Roads Policing team specifically.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93411F" w:rsidRDefault="0093411F" w:rsidP="00793DD5">
      <w:pPr>
        <w:sectPr w:rsidR="0093411F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:rsidR="0093411F" w:rsidRDefault="0093411F" w:rsidP="0093411F">
      <w:pPr>
        <w:tabs>
          <w:tab w:val="left" w:pos="5400"/>
        </w:tabs>
      </w:pPr>
      <w:r>
        <w:lastRenderedPageBreak/>
        <w:t xml:space="preserve">Table 1: </w:t>
      </w:r>
      <w:r w:rsidRPr="0093411F">
        <w:t>Detected Specified Drink/Drug Driving Offence</w:t>
      </w:r>
      <w:r>
        <w:t xml:space="preserve">s, </w:t>
      </w:r>
      <w:r w:rsidRPr="0093411F">
        <w:t>1st January 2021 - 31st December 2022 (Calendar Years and Months)</w:t>
      </w:r>
    </w:p>
    <w:tbl>
      <w:tblPr>
        <w:tblStyle w:val="TableGrid"/>
        <w:tblW w:w="14737" w:type="dxa"/>
        <w:tblLook w:val="04A0" w:firstRow="1" w:lastRow="0" w:firstColumn="1" w:lastColumn="0" w:noHBand="0" w:noVBand="1"/>
        <w:tblCaption w:val="Table of offences"/>
        <w:tblDescription w:val="Table of offences"/>
      </w:tblPr>
      <w:tblGrid>
        <w:gridCol w:w="1898"/>
        <w:gridCol w:w="11138"/>
        <w:gridCol w:w="851"/>
        <w:gridCol w:w="850"/>
      </w:tblGrid>
      <w:tr w:rsidR="0093411F" w:rsidRPr="00557306" w:rsidTr="0093411F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:rsidR="0093411F" w:rsidRPr="00557306" w:rsidRDefault="0093411F" w:rsidP="00830EF1">
            <w:pPr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11138" w:type="dxa"/>
            <w:shd w:val="clear" w:color="auto" w:fill="D9D9D9" w:themeFill="background1" w:themeFillShade="D9"/>
          </w:tcPr>
          <w:p w:rsidR="0093411F" w:rsidRPr="00557306" w:rsidRDefault="0093411F" w:rsidP="00830EF1">
            <w:pPr>
              <w:rPr>
                <w:b/>
              </w:rPr>
            </w:pPr>
            <w:r>
              <w:rPr>
                <w:b/>
              </w:rPr>
              <w:t>Offence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3411F" w:rsidRPr="00557306" w:rsidRDefault="0093411F" w:rsidP="00830EF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3411F" w:rsidRPr="00557306" w:rsidRDefault="0093411F" w:rsidP="00830EF1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 w:val="restart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Jan</w:t>
            </w: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59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49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9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144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205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24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 specimen at the roadside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41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53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breath, blood or urine specimen at police station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89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77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 w:val="restart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Feb</w:t>
            </w: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42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6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142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242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22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21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 specimen at the roadside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35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53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breath, blood or urine specimen at police station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57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65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 w:val="restart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Mar</w:t>
            </w: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71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62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7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172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210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18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32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 specimen at the roadside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42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41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breath, blood or urine specimen at police station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68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60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 w:val="restart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Apr</w:t>
            </w: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80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61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8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205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249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21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29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 specimen at the roadside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48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50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breath, blood or urine specimen at police station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89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57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 w:val="restart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May</w:t>
            </w: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60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67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14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14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223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256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28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 specimen at the roadside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53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57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breath, blood or urine specimen at police station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71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86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 w:val="restart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Jun</w:t>
            </w: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72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70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12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237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231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16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33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 specimen at the roadside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42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49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breath, blood or urine specimen at police station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64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68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 w:val="restart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Jul</w:t>
            </w: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61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8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233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243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24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17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 specimen at the roadside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57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52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breath, blood or urine specimen at police station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99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78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 w:val="restart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Aug</w:t>
            </w: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45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48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15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265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255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25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21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 specimen at the roadside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54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52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breath, blood or urine specimen at police station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73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70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 w:val="restart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Sep</w:t>
            </w: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48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47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13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231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222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27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32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 specimen at the roadside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39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49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breath, blood or urine specimen at police station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54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77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 w:val="restart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Oct</w:t>
            </w: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57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53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242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234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21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 specimen at the roadside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62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38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breath, blood or urine specimen at police station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92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68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 w:val="restart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Nov</w:t>
            </w: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41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58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13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236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291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24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39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 specimen at the roadside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52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66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breath, blood or urine specimen at police station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73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79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 w:val="restart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Dec</w:t>
            </w: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42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43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while unfit through drink or drugs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5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Driving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231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312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In charge of motor vehicle with blood alcohol content above prescribed limit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24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24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 specimen at the roadside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39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61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vMerge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1138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Failure to provide breath, blood or urine specimen at police station</w:t>
            </w:r>
          </w:p>
        </w:tc>
        <w:tc>
          <w:tcPr>
            <w:tcW w:w="851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78</w:t>
            </w:r>
          </w:p>
        </w:tc>
        <w:tc>
          <w:tcPr>
            <w:tcW w:w="850" w:type="dxa"/>
            <w:noWrap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93411F">
              <w:rPr>
                <w:rFonts w:eastAsia="Times New Roman"/>
                <w:lang w:eastAsia="en-GB"/>
              </w:rPr>
              <w:t>68</w:t>
            </w:r>
          </w:p>
        </w:tc>
      </w:tr>
      <w:tr w:rsidR="0093411F" w:rsidRPr="0093411F" w:rsidTr="0093411F">
        <w:trPr>
          <w:trHeight w:val="300"/>
        </w:trPr>
        <w:tc>
          <w:tcPr>
            <w:tcW w:w="1898" w:type="dxa"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3411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1138" w:type="dxa"/>
            <w:hideMark/>
          </w:tcPr>
          <w:p w:rsidR="0093411F" w:rsidRPr="0093411F" w:rsidRDefault="0093411F" w:rsidP="0093411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3411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1" w:type="dxa"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3411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5057</w:t>
            </w:r>
          </w:p>
        </w:tc>
        <w:tc>
          <w:tcPr>
            <w:tcW w:w="850" w:type="dxa"/>
            <w:hideMark/>
          </w:tcPr>
          <w:p w:rsidR="0093411F" w:rsidRPr="0093411F" w:rsidRDefault="0093411F" w:rsidP="0093411F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3411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5521</w:t>
            </w:r>
          </w:p>
        </w:tc>
      </w:tr>
    </w:tbl>
    <w:p w:rsidR="0093411F" w:rsidRDefault="0093411F" w:rsidP="00793DD5">
      <w:r w:rsidRPr="0093411F">
        <w:t>All statistics are provisional and should be treated as management information. All data have been extracted from Police Scotland internal systems and ar</w:t>
      </w:r>
      <w:r>
        <w:t>e correct as at 20th March 2023.</w:t>
      </w:r>
    </w:p>
    <w:p w:rsidR="0093411F" w:rsidRDefault="0093411F" w:rsidP="00793DD5"/>
    <w:p w:rsidR="0093411F" w:rsidRDefault="0093411F" w:rsidP="00793DD5"/>
    <w:p w:rsidR="0093411F" w:rsidRDefault="0093411F" w:rsidP="00793DD5"/>
    <w:p w:rsidR="0093411F" w:rsidRDefault="0093411F" w:rsidP="00793DD5">
      <w:r>
        <w:lastRenderedPageBreak/>
        <w:t xml:space="preserve">Table 2: Roads Policing Data. </w:t>
      </w:r>
    </w:p>
    <w:tbl>
      <w:tblPr>
        <w:tblStyle w:val="TableGrid"/>
        <w:tblW w:w="12782" w:type="dxa"/>
        <w:tblLook w:val="04A0" w:firstRow="1" w:lastRow="0" w:firstColumn="1" w:lastColumn="0" w:noHBand="0" w:noVBand="1"/>
        <w:tblCaption w:val="Roads Policing Data"/>
        <w:tblDescription w:val="Roads Policing Data"/>
      </w:tblPr>
      <w:tblGrid>
        <w:gridCol w:w="1844"/>
        <w:gridCol w:w="1845"/>
        <w:gridCol w:w="1845"/>
        <w:gridCol w:w="1846"/>
        <w:gridCol w:w="1846"/>
        <w:gridCol w:w="1778"/>
        <w:gridCol w:w="1778"/>
      </w:tblGrid>
      <w:tr w:rsidR="0093411F" w:rsidRPr="00557306" w:rsidTr="00225F37">
        <w:trPr>
          <w:trHeight w:val="20"/>
          <w:tblHeader/>
        </w:trPr>
        <w:tc>
          <w:tcPr>
            <w:tcW w:w="1844" w:type="dxa"/>
            <w:vMerge w:val="restart"/>
            <w:shd w:val="clear" w:color="auto" w:fill="D9D9D9" w:themeFill="background1" w:themeFillShade="D9"/>
          </w:tcPr>
          <w:p w:rsidR="0093411F" w:rsidRPr="00557306" w:rsidRDefault="0093411F" w:rsidP="00830EF1">
            <w:pPr>
              <w:rPr>
                <w:b/>
              </w:rPr>
            </w:pPr>
          </w:p>
        </w:tc>
        <w:tc>
          <w:tcPr>
            <w:tcW w:w="5536" w:type="dxa"/>
            <w:gridSpan w:val="3"/>
            <w:shd w:val="clear" w:color="auto" w:fill="D9D9D9" w:themeFill="background1" w:themeFillShade="D9"/>
          </w:tcPr>
          <w:p w:rsidR="0093411F" w:rsidRPr="00557306" w:rsidRDefault="0093411F" w:rsidP="0093411F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5402" w:type="dxa"/>
            <w:gridSpan w:val="3"/>
            <w:shd w:val="clear" w:color="auto" w:fill="D9D9D9" w:themeFill="background1" w:themeFillShade="D9"/>
          </w:tcPr>
          <w:p w:rsidR="0093411F" w:rsidRPr="00557306" w:rsidRDefault="0093411F" w:rsidP="0093411F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93411F" w:rsidRPr="00557306" w:rsidTr="00225F37">
        <w:trPr>
          <w:trHeight w:val="20"/>
          <w:tblHeader/>
        </w:trPr>
        <w:tc>
          <w:tcPr>
            <w:tcW w:w="1844" w:type="dxa"/>
            <w:vMerge/>
            <w:shd w:val="clear" w:color="auto" w:fill="D9D9D9" w:themeFill="background1" w:themeFillShade="D9"/>
          </w:tcPr>
          <w:p w:rsidR="0093411F" w:rsidRPr="00557306" w:rsidRDefault="0093411F" w:rsidP="00830EF1">
            <w:pPr>
              <w:rPr>
                <w:b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93411F" w:rsidRPr="00557306" w:rsidRDefault="0093411F" w:rsidP="00830EF1">
            <w:pPr>
              <w:rPr>
                <w:b/>
              </w:rPr>
            </w:pPr>
            <w:r w:rsidRPr="0093411F">
              <w:rPr>
                <w:b/>
              </w:rPr>
              <w:t>Stopped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93411F" w:rsidRPr="00557306" w:rsidRDefault="0093411F" w:rsidP="00830EF1">
            <w:pPr>
              <w:rPr>
                <w:b/>
              </w:rPr>
            </w:pPr>
            <w:r w:rsidRPr="0093411F">
              <w:rPr>
                <w:b/>
              </w:rPr>
              <w:t>Positive</w:t>
            </w:r>
          </w:p>
        </w:tc>
        <w:tc>
          <w:tcPr>
            <w:tcW w:w="1846" w:type="dxa"/>
            <w:shd w:val="clear" w:color="auto" w:fill="D9D9D9" w:themeFill="background1" w:themeFillShade="D9"/>
          </w:tcPr>
          <w:p w:rsidR="0093411F" w:rsidRPr="00557306" w:rsidRDefault="0093411F" w:rsidP="00830EF1">
            <w:pPr>
              <w:rPr>
                <w:b/>
              </w:rPr>
            </w:pPr>
            <w:r w:rsidRPr="0093411F">
              <w:rPr>
                <w:b/>
              </w:rPr>
              <w:t>Refused</w:t>
            </w:r>
          </w:p>
        </w:tc>
        <w:tc>
          <w:tcPr>
            <w:tcW w:w="1846" w:type="dxa"/>
            <w:shd w:val="clear" w:color="auto" w:fill="D9D9D9" w:themeFill="background1" w:themeFillShade="D9"/>
          </w:tcPr>
          <w:p w:rsidR="0093411F" w:rsidRPr="00557306" w:rsidRDefault="0093411F" w:rsidP="00830EF1">
            <w:pPr>
              <w:rPr>
                <w:b/>
              </w:rPr>
            </w:pPr>
            <w:r w:rsidRPr="0093411F">
              <w:rPr>
                <w:b/>
              </w:rPr>
              <w:t>Stopped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:rsidR="0093411F" w:rsidRPr="00557306" w:rsidRDefault="0093411F" w:rsidP="00830EF1">
            <w:pPr>
              <w:rPr>
                <w:b/>
              </w:rPr>
            </w:pPr>
            <w:r w:rsidRPr="0093411F">
              <w:rPr>
                <w:b/>
              </w:rPr>
              <w:t>Positive</w:t>
            </w:r>
          </w:p>
        </w:tc>
        <w:tc>
          <w:tcPr>
            <w:tcW w:w="1778" w:type="dxa"/>
            <w:shd w:val="clear" w:color="auto" w:fill="D9D9D9" w:themeFill="background1" w:themeFillShade="D9"/>
          </w:tcPr>
          <w:p w:rsidR="0093411F" w:rsidRPr="00557306" w:rsidRDefault="0093411F" w:rsidP="00830EF1">
            <w:pPr>
              <w:rPr>
                <w:b/>
              </w:rPr>
            </w:pPr>
            <w:r w:rsidRPr="0093411F">
              <w:rPr>
                <w:b/>
              </w:rPr>
              <w:t>Refused</w:t>
            </w:r>
          </w:p>
        </w:tc>
      </w:tr>
      <w:tr w:rsidR="0093411F" w:rsidTr="00225F37">
        <w:trPr>
          <w:trHeight w:val="20"/>
        </w:trPr>
        <w:tc>
          <w:tcPr>
            <w:tcW w:w="1844" w:type="dxa"/>
            <w:noWrap/>
            <w:hideMark/>
          </w:tcPr>
          <w:p w:rsidR="0093411F" w:rsidRDefault="0093411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January 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553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65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1293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243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</w:tr>
      <w:tr w:rsidR="0093411F" w:rsidTr="00225F37">
        <w:trPr>
          <w:trHeight w:val="20"/>
        </w:trPr>
        <w:tc>
          <w:tcPr>
            <w:tcW w:w="1844" w:type="dxa"/>
            <w:noWrap/>
            <w:hideMark/>
          </w:tcPr>
          <w:p w:rsidR="0093411F" w:rsidRDefault="0093411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February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497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54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1044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217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</w:tr>
      <w:tr w:rsidR="0093411F" w:rsidTr="00225F37">
        <w:trPr>
          <w:trHeight w:val="20"/>
        </w:trPr>
        <w:tc>
          <w:tcPr>
            <w:tcW w:w="1844" w:type="dxa"/>
            <w:noWrap/>
            <w:hideMark/>
          </w:tcPr>
          <w:p w:rsidR="0093411F" w:rsidRDefault="0093411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March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666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75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598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86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</w:tr>
      <w:tr w:rsidR="0093411F" w:rsidTr="00225F37">
        <w:trPr>
          <w:trHeight w:val="20"/>
        </w:trPr>
        <w:tc>
          <w:tcPr>
            <w:tcW w:w="1844" w:type="dxa"/>
            <w:noWrap/>
            <w:hideMark/>
          </w:tcPr>
          <w:p w:rsidR="0093411F" w:rsidRDefault="0093411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April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924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265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1038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218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</w:tr>
      <w:tr w:rsidR="0093411F" w:rsidTr="00225F37">
        <w:trPr>
          <w:trHeight w:val="20"/>
        </w:trPr>
        <w:tc>
          <w:tcPr>
            <w:tcW w:w="1844" w:type="dxa"/>
            <w:noWrap/>
            <w:hideMark/>
          </w:tcPr>
          <w:p w:rsidR="0093411F" w:rsidRDefault="0093411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May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1000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239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1634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352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</w:tr>
      <w:tr w:rsidR="0093411F" w:rsidTr="00225F37">
        <w:trPr>
          <w:trHeight w:val="20"/>
        </w:trPr>
        <w:tc>
          <w:tcPr>
            <w:tcW w:w="1844" w:type="dxa"/>
            <w:noWrap/>
            <w:hideMark/>
          </w:tcPr>
          <w:p w:rsidR="0093411F" w:rsidRDefault="0093411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June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942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236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5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1826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322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</w:tr>
      <w:tr w:rsidR="0093411F" w:rsidTr="00225F37">
        <w:trPr>
          <w:trHeight w:val="20"/>
        </w:trPr>
        <w:tc>
          <w:tcPr>
            <w:tcW w:w="1844" w:type="dxa"/>
            <w:noWrap/>
            <w:hideMark/>
          </w:tcPr>
          <w:p w:rsidR="0093411F" w:rsidRDefault="0093411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July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1361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281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954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160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</w:tr>
      <w:tr w:rsidR="0093411F" w:rsidTr="00225F37">
        <w:trPr>
          <w:trHeight w:val="20"/>
        </w:trPr>
        <w:tc>
          <w:tcPr>
            <w:tcW w:w="1844" w:type="dxa"/>
            <w:noWrap/>
            <w:hideMark/>
          </w:tcPr>
          <w:p w:rsidR="0093411F" w:rsidRDefault="0093411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August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1136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268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663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163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</w:tr>
      <w:tr w:rsidR="0093411F" w:rsidTr="00225F37">
        <w:trPr>
          <w:trHeight w:val="20"/>
        </w:trPr>
        <w:tc>
          <w:tcPr>
            <w:tcW w:w="1844" w:type="dxa"/>
            <w:noWrap/>
            <w:hideMark/>
          </w:tcPr>
          <w:p w:rsidR="0093411F" w:rsidRDefault="0093411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September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1082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211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1103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226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</w:tr>
      <w:tr w:rsidR="0093411F" w:rsidTr="00225F37">
        <w:trPr>
          <w:trHeight w:val="20"/>
        </w:trPr>
        <w:tc>
          <w:tcPr>
            <w:tcW w:w="1844" w:type="dxa"/>
            <w:noWrap/>
            <w:hideMark/>
          </w:tcPr>
          <w:p w:rsidR="0093411F" w:rsidRDefault="0093411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October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1303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241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1165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228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</w:tr>
      <w:tr w:rsidR="0093411F" w:rsidTr="00225F37">
        <w:trPr>
          <w:trHeight w:val="20"/>
        </w:trPr>
        <w:tc>
          <w:tcPr>
            <w:tcW w:w="1844" w:type="dxa"/>
            <w:noWrap/>
            <w:hideMark/>
          </w:tcPr>
          <w:p w:rsidR="0093411F" w:rsidRDefault="0093411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November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1558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259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1250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220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0</w:t>
            </w:r>
          </w:p>
        </w:tc>
      </w:tr>
      <w:tr w:rsidR="0093411F" w:rsidTr="00225F37">
        <w:trPr>
          <w:trHeight w:val="20"/>
        </w:trPr>
        <w:tc>
          <w:tcPr>
            <w:tcW w:w="1844" w:type="dxa"/>
            <w:noWrap/>
            <w:hideMark/>
          </w:tcPr>
          <w:p w:rsidR="0093411F" w:rsidRDefault="0093411F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lastRenderedPageBreak/>
              <w:t>December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2199</w:t>
            </w:r>
          </w:p>
        </w:tc>
        <w:tc>
          <w:tcPr>
            <w:tcW w:w="1845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232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  <w:tc>
          <w:tcPr>
            <w:tcW w:w="1846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2091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285</w:t>
            </w:r>
          </w:p>
        </w:tc>
        <w:tc>
          <w:tcPr>
            <w:tcW w:w="1778" w:type="dxa"/>
            <w:noWrap/>
            <w:hideMark/>
          </w:tcPr>
          <w:p w:rsidR="0093411F" w:rsidRDefault="0093411F">
            <w:pPr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2</w:t>
            </w:r>
          </w:p>
        </w:tc>
      </w:tr>
    </w:tbl>
    <w:p w:rsidR="0093411F" w:rsidRDefault="0093411F" w:rsidP="00793DD5"/>
    <w:sectPr w:rsidR="0093411F" w:rsidSect="0093411F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7D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" name="Picture 1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2" name="Picture 2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7D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7D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7D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7D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7D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E16D7"/>
    <w:multiLevelType w:val="multilevel"/>
    <w:tmpl w:val="D9E6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314542"/>
    <w:multiLevelType w:val="multilevel"/>
    <w:tmpl w:val="56D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87DD0"/>
    <w:rsid w:val="00090F3B"/>
    <w:rsid w:val="000E6526"/>
    <w:rsid w:val="00141533"/>
    <w:rsid w:val="00167528"/>
    <w:rsid w:val="00195CC4"/>
    <w:rsid w:val="00225F37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3411F"/>
    <w:rsid w:val="009631A4"/>
    <w:rsid w:val="00977296"/>
    <w:rsid w:val="009A10A7"/>
    <w:rsid w:val="00A25E93"/>
    <w:rsid w:val="00A320FF"/>
    <w:rsid w:val="00A70AC0"/>
    <w:rsid w:val="00AC443C"/>
    <w:rsid w:val="00B11A55"/>
    <w:rsid w:val="00B17211"/>
    <w:rsid w:val="00B461B2"/>
    <w:rsid w:val="00B71B3C"/>
    <w:rsid w:val="00B75DE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80F95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xxxxnormaltextrun">
    <w:name w:val="x_x_x_x_normaltextrun"/>
    <w:basedOn w:val="DefaultParagraphFont"/>
    <w:rsid w:val="00E8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1344</Words>
  <Characters>7663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2023-03-29T09:57:00Z</cp:lastPrinted>
  <dcterms:created xsi:type="dcterms:W3CDTF">2021-10-06T12:31:00Z</dcterms:created>
  <dcterms:modified xsi:type="dcterms:W3CDTF">2023-03-29T09:57:00Z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