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28DA5BC" w:rsidR="00B17211" w:rsidRPr="00B17211" w:rsidRDefault="00B17211" w:rsidP="007F490F">
            <w:r w:rsidRPr="007F490F">
              <w:rPr>
                <w:rStyle w:val="Heading2Char"/>
              </w:rPr>
              <w:t>Our reference:</w:t>
            </w:r>
            <w:r>
              <w:t xml:space="preserve">  FOI 2</w:t>
            </w:r>
            <w:r w:rsidR="00EF0FBB">
              <w:t>5</w:t>
            </w:r>
            <w:r>
              <w:t>-</w:t>
            </w:r>
            <w:r w:rsidR="00301ABC">
              <w:t>2788</w:t>
            </w:r>
          </w:p>
          <w:p w14:paraId="34BDABA6" w14:textId="6551BF08" w:rsidR="00B17211" w:rsidRDefault="00456324" w:rsidP="00EE2373">
            <w:r w:rsidRPr="007F490F">
              <w:rPr>
                <w:rStyle w:val="Heading2Char"/>
              </w:rPr>
              <w:t>Respon</w:t>
            </w:r>
            <w:r w:rsidR="007D55F6">
              <w:rPr>
                <w:rStyle w:val="Heading2Char"/>
              </w:rPr>
              <w:t>ded to:</w:t>
            </w:r>
            <w:r w:rsidR="007F490F">
              <w:t xml:space="preserve">  </w:t>
            </w:r>
            <w:r w:rsidR="00CA46B2">
              <w:t>6</w:t>
            </w:r>
            <w:r w:rsidR="00CA46B2" w:rsidRPr="00CA46B2">
              <w:rPr>
                <w:vertAlign w:val="superscript"/>
              </w:rPr>
              <w:t>th</w:t>
            </w:r>
            <w:r w:rsidR="00CA46B2">
              <w:t xml:space="preserve">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F18566F" w14:textId="77777777" w:rsidR="00301ABC" w:rsidRPr="00301ABC" w:rsidRDefault="00301ABC" w:rsidP="00301ABC">
      <w:pPr>
        <w:pStyle w:val="Heading2"/>
      </w:pPr>
      <w:r w:rsidRPr="00301ABC">
        <w:t>1. How much money has Police Scotland spent on court cases in each of the last five years, with a breakdown on what the money was spent on, i.e what cases?</w:t>
      </w:r>
    </w:p>
    <w:p w14:paraId="34BDABA9" w14:textId="1F868809" w:rsidR="00496A08" w:rsidRDefault="00301ABC" w:rsidP="009D2AA5">
      <w:pPr>
        <w:pStyle w:val="Heading2"/>
      </w:pPr>
      <w:r>
        <w:t>[</w:t>
      </w:r>
      <w:r w:rsidRPr="00301ABC">
        <w:t>I mean all court cases Police Scotland have been involved in, i.e all of these settlements, employment tribunals, compensation claims and payments, cost of the case being held in court but not police officers giving evidence in criminal cases</w:t>
      </w:r>
      <w:r>
        <w:t>.]</w:t>
      </w:r>
    </w:p>
    <w:p w14:paraId="7D5B0662" w14:textId="7D8633D3" w:rsidR="000875AF" w:rsidRDefault="000875AF" w:rsidP="000875AF">
      <w:pPr>
        <w:jc w:val="both"/>
      </w:pPr>
      <w:r>
        <w:t>Unfortunately,</w:t>
      </w:r>
      <w:r w:rsidRPr="00453F0A">
        <w:t xml:space="preserve"> I</w:t>
      </w:r>
      <w:r>
        <w:t xml:space="preserve"> regret to inform you that I</w:t>
      </w:r>
      <w:r w:rsidRPr="00453F0A">
        <w:t xml:space="preserve"> 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7E231E29" w14:textId="75340674" w:rsidR="000875AF" w:rsidRDefault="000875AF" w:rsidP="000875AF">
      <w:pPr>
        <w:jc w:val="both"/>
      </w:pPr>
      <w:r>
        <w:t>By way of explanation, Police Scotland do not record legal expenses per court case. Instead, legal expenses for court cases are recorded and broken down into the following account codes: counsel’s opinion work fees, court dues, external solicitor fees, and legal costs.</w:t>
      </w:r>
    </w:p>
    <w:p w14:paraId="16CBA56E" w14:textId="7D0466FB" w:rsidR="009221A0" w:rsidRDefault="000875AF" w:rsidP="0027104B">
      <w:r>
        <w:t xml:space="preserve">However, it is important to note that these account codes are not specific to court-related costs. For example, counsel’s opinion costs will not be </w:t>
      </w:r>
      <w:r>
        <w:rPr>
          <w:i/>
          <w:iCs/>
        </w:rPr>
        <w:t xml:space="preserve">exclusively </w:t>
      </w:r>
      <w:r>
        <w:t>connected to court cases since their opinions are sought and obtained for various pur</w:t>
      </w:r>
      <w:r w:rsidR="009221A0">
        <w:t>poses, such as misconduct matters that are not concluded in court.</w:t>
      </w:r>
    </w:p>
    <w:p w14:paraId="26AF9FCA" w14:textId="41218A2D" w:rsidR="009221A0" w:rsidRPr="000875AF" w:rsidRDefault="009221A0" w:rsidP="003A2D53">
      <w:pPr>
        <w:jc w:val="both"/>
      </w:pPr>
      <w:r>
        <w:t xml:space="preserve">Furthermore, whilst information relating to Third Party Legal Expenses paid out to individual cases is held, details are recorded within the files relating to each individual case. </w:t>
      </w:r>
    </w:p>
    <w:p w14:paraId="3E87EE94" w14:textId="185C18FC" w:rsidR="003A2D53" w:rsidRDefault="009221A0" w:rsidP="003A2D53">
      <w:r>
        <w:t xml:space="preserve">As such, the only way to provide an accurate response to your request would be to manually review </w:t>
      </w:r>
      <w:r w:rsidR="003A2D53">
        <w:t>t</w:t>
      </w:r>
      <w:r>
        <w:t xml:space="preserve">he files associated with each individual court case that Police Scotland has been involved in to </w:t>
      </w:r>
      <w:r w:rsidR="003A2D53">
        <w:t>ascertain</w:t>
      </w:r>
      <w:r>
        <w:t xml:space="preserve"> </w:t>
      </w:r>
      <w:r w:rsidR="003A2D53">
        <w:t>all the associated costs case-by-case.</w:t>
      </w:r>
    </w:p>
    <w:p w14:paraId="067C0B3B" w14:textId="77777777" w:rsidR="00CF1EB4" w:rsidRDefault="003A2D53" w:rsidP="0027104B">
      <w:r>
        <w:t xml:space="preserve">Given the volume of material that would be required to be read through and calculated for the five-year period specified, this exercise would far exceed the cost limit set out in the Fees Regulations. </w:t>
      </w:r>
    </w:p>
    <w:p w14:paraId="0275E432" w14:textId="5FC778C0" w:rsidR="00497B76" w:rsidRDefault="002174FD" w:rsidP="00CF1EB4">
      <w:r>
        <w:lastRenderedPageBreak/>
        <w:t xml:space="preserve">To be of </w:t>
      </w:r>
      <w:r w:rsidR="00497B76">
        <w:t xml:space="preserve">some </w:t>
      </w:r>
      <w:r>
        <w:t>assistance, I have included a table below which details the total</w:t>
      </w:r>
      <w:r w:rsidR="00CF1EB4">
        <w:t xml:space="preserve"> </w:t>
      </w:r>
      <w:r>
        <w:t xml:space="preserve">expenditure recorded under each of the above-mentioned account codes </w:t>
      </w:r>
      <w:r w:rsidR="00CF1EB4">
        <w:t>o</w:t>
      </w:r>
      <w:r w:rsidR="00497B76">
        <w:t xml:space="preserve">ver the last five years, inclusive. </w:t>
      </w:r>
    </w:p>
    <w:p w14:paraId="6E53E1F2" w14:textId="7EFEFC69" w:rsidR="00497B76" w:rsidRPr="00B11A55" w:rsidRDefault="00CF1EB4" w:rsidP="00CF1EB4">
      <w:r>
        <w:t xml:space="preserve">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p w14:paraId="0F49E816" w14:textId="77777777" w:rsidR="00DE4418" w:rsidRDefault="00DE4418" w:rsidP="00793DD5"/>
    <w:p w14:paraId="095FBD51" w14:textId="77777777" w:rsidR="00DE4418" w:rsidRDefault="00DE4418" w:rsidP="00793DD5"/>
    <w:p w14:paraId="3076F50C" w14:textId="77777777" w:rsidR="00DE4418" w:rsidRDefault="00DE4418" w:rsidP="00793DD5"/>
    <w:p w14:paraId="477D3F42" w14:textId="77777777" w:rsidR="00DE4418" w:rsidRDefault="00DE4418" w:rsidP="00793DD5"/>
    <w:p w14:paraId="6E810AA3" w14:textId="77777777" w:rsidR="00DE4418" w:rsidRDefault="00DE4418" w:rsidP="00793DD5"/>
    <w:p w14:paraId="7F4F1EF6" w14:textId="77777777" w:rsidR="00DE4418" w:rsidRDefault="00DE4418" w:rsidP="00793DD5"/>
    <w:p w14:paraId="24ED975E" w14:textId="77777777" w:rsidR="00DE4418" w:rsidRDefault="00DE4418" w:rsidP="00793DD5"/>
    <w:p w14:paraId="4C9A3FA5" w14:textId="77777777" w:rsidR="00DE4418" w:rsidRDefault="00DE4418" w:rsidP="00793DD5">
      <w:pPr>
        <w:sectPr w:rsidR="00DE4418"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pPr>
    </w:p>
    <w:tbl>
      <w:tblPr>
        <w:tblStyle w:val="TableGrid"/>
        <w:tblW w:w="14070" w:type="dxa"/>
        <w:tblInd w:w="-5" w:type="dxa"/>
        <w:tblLook w:val="04A0" w:firstRow="1" w:lastRow="0" w:firstColumn="1" w:lastColumn="0" w:noHBand="0" w:noVBand="1"/>
        <w:tblCaption w:val="Example table"/>
        <w:tblDescription w:val="Example table"/>
      </w:tblPr>
      <w:tblGrid>
        <w:gridCol w:w="3872"/>
        <w:gridCol w:w="1618"/>
        <w:gridCol w:w="1618"/>
        <w:gridCol w:w="1618"/>
        <w:gridCol w:w="1589"/>
        <w:gridCol w:w="1618"/>
        <w:gridCol w:w="2137"/>
      </w:tblGrid>
      <w:tr w:rsidR="00FF1197" w:rsidRPr="00557306" w14:paraId="41FE82FC" w14:textId="3E301944" w:rsidTr="002D3C25">
        <w:trPr>
          <w:trHeight w:val="679"/>
          <w:tblHeader/>
        </w:trPr>
        <w:tc>
          <w:tcPr>
            <w:tcW w:w="3872" w:type="dxa"/>
            <w:shd w:val="clear" w:color="auto" w:fill="D9D9D9" w:themeFill="background1" w:themeFillShade="D9"/>
          </w:tcPr>
          <w:p w14:paraId="548886E4" w14:textId="33BE9A58" w:rsidR="00DE4418" w:rsidRPr="00557306" w:rsidRDefault="00E2411A" w:rsidP="00DA77C3">
            <w:pPr>
              <w:spacing w:line="240" w:lineRule="auto"/>
              <w:rPr>
                <w:b/>
              </w:rPr>
            </w:pPr>
            <w:r>
              <w:rPr>
                <w:b/>
              </w:rPr>
              <w:lastRenderedPageBreak/>
              <w:t xml:space="preserve">Legal </w:t>
            </w:r>
            <w:r w:rsidR="00DE4418">
              <w:rPr>
                <w:b/>
              </w:rPr>
              <w:t xml:space="preserve">Expense </w:t>
            </w:r>
          </w:p>
        </w:tc>
        <w:tc>
          <w:tcPr>
            <w:tcW w:w="1618" w:type="dxa"/>
            <w:shd w:val="clear" w:color="auto" w:fill="D9D9D9" w:themeFill="background1" w:themeFillShade="D9"/>
          </w:tcPr>
          <w:p w14:paraId="14ABAC87" w14:textId="77777777" w:rsidR="00DE4418" w:rsidRPr="00557306" w:rsidRDefault="00DE4418" w:rsidP="00DA77C3">
            <w:pPr>
              <w:spacing w:line="240" w:lineRule="auto"/>
              <w:rPr>
                <w:b/>
              </w:rPr>
            </w:pPr>
            <w:r>
              <w:rPr>
                <w:b/>
              </w:rPr>
              <w:t>2020/21</w:t>
            </w:r>
            <w:r w:rsidRPr="00557306">
              <w:rPr>
                <w:b/>
              </w:rPr>
              <w:t xml:space="preserve"> </w:t>
            </w:r>
          </w:p>
        </w:tc>
        <w:tc>
          <w:tcPr>
            <w:tcW w:w="1618" w:type="dxa"/>
            <w:shd w:val="clear" w:color="auto" w:fill="D9D9D9" w:themeFill="background1" w:themeFillShade="D9"/>
          </w:tcPr>
          <w:p w14:paraId="19066666" w14:textId="77777777" w:rsidR="00DE4418" w:rsidRPr="00557306" w:rsidRDefault="00DE4418" w:rsidP="00DA77C3">
            <w:pPr>
              <w:spacing w:line="240" w:lineRule="auto"/>
              <w:rPr>
                <w:b/>
              </w:rPr>
            </w:pPr>
            <w:r>
              <w:rPr>
                <w:b/>
              </w:rPr>
              <w:t>2021/22</w:t>
            </w:r>
          </w:p>
        </w:tc>
        <w:tc>
          <w:tcPr>
            <w:tcW w:w="1618" w:type="dxa"/>
            <w:shd w:val="clear" w:color="auto" w:fill="D9D9D9" w:themeFill="background1" w:themeFillShade="D9"/>
          </w:tcPr>
          <w:p w14:paraId="2593291A" w14:textId="77777777" w:rsidR="00DE4418" w:rsidRPr="00557306" w:rsidRDefault="00DE4418" w:rsidP="00DA77C3">
            <w:pPr>
              <w:spacing w:line="240" w:lineRule="auto"/>
              <w:rPr>
                <w:b/>
              </w:rPr>
            </w:pPr>
            <w:r>
              <w:rPr>
                <w:b/>
              </w:rPr>
              <w:t>2022/23</w:t>
            </w:r>
            <w:r w:rsidRPr="00557306">
              <w:rPr>
                <w:b/>
              </w:rPr>
              <w:t xml:space="preserve"> </w:t>
            </w:r>
          </w:p>
        </w:tc>
        <w:tc>
          <w:tcPr>
            <w:tcW w:w="1589" w:type="dxa"/>
            <w:shd w:val="clear" w:color="auto" w:fill="D9D9D9" w:themeFill="background1" w:themeFillShade="D9"/>
          </w:tcPr>
          <w:p w14:paraId="199CA051" w14:textId="77777777" w:rsidR="00DE4418" w:rsidRPr="00557306" w:rsidRDefault="00DE4418" w:rsidP="00DA77C3">
            <w:pPr>
              <w:spacing w:line="240" w:lineRule="auto"/>
              <w:rPr>
                <w:b/>
              </w:rPr>
            </w:pPr>
            <w:r>
              <w:rPr>
                <w:b/>
              </w:rPr>
              <w:t>2023/24</w:t>
            </w:r>
          </w:p>
        </w:tc>
        <w:tc>
          <w:tcPr>
            <w:tcW w:w="1618" w:type="dxa"/>
            <w:shd w:val="clear" w:color="auto" w:fill="D9D9D9" w:themeFill="background1" w:themeFillShade="D9"/>
          </w:tcPr>
          <w:p w14:paraId="28BEFD0C" w14:textId="77777777" w:rsidR="00DE4418" w:rsidRDefault="00DE4418" w:rsidP="00DA77C3">
            <w:pPr>
              <w:spacing w:line="240" w:lineRule="auto"/>
              <w:rPr>
                <w:b/>
              </w:rPr>
            </w:pPr>
            <w:r>
              <w:rPr>
                <w:b/>
              </w:rPr>
              <w:t>2024/25</w:t>
            </w:r>
          </w:p>
        </w:tc>
        <w:tc>
          <w:tcPr>
            <w:tcW w:w="2137" w:type="dxa"/>
            <w:shd w:val="clear" w:color="auto" w:fill="D9D9D9" w:themeFill="background1" w:themeFillShade="D9"/>
          </w:tcPr>
          <w:p w14:paraId="56462922" w14:textId="0BDE56D4" w:rsidR="00DE4418" w:rsidRDefault="00FF1197" w:rsidP="00DA77C3">
            <w:pPr>
              <w:spacing w:line="240" w:lineRule="auto"/>
              <w:rPr>
                <w:b/>
              </w:rPr>
            </w:pPr>
            <w:r>
              <w:rPr>
                <w:b/>
              </w:rPr>
              <w:t>Total (Expense)</w:t>
            </w:r>
          </w:p>
        </w:tc>
      </w:tr>
      <w:tr w:rsidR="00FF1197" w14:paraId="4B8A6EFE" w14:textId="5CA4D89D" w:rsidTr="002D3C25">
        <w:trPr>
          <w:trHeight w:val="141"/>
        </w:trPr>
        <w:tc>
          <w:tcPr>
            <w:tcW w:w="3872" w:type="dxa"/>
          </w:tcPr>
          <w:p w14:paraId="5BF3DE47" w14:textId="77777777" w:rsidR="00DE4418" w:rsidRDefault="00DE4418" w:rsidP="00DA77C3">
            <w:pPr>
              <w:tabs>
                <w:tab w:val="left" w:pos="5400"/>
              </w:tabs>
              <w:spacing w:line="240" w:lineRule="auto"/>
            </w:pPr>
            <w:r>
              <w:t>Counsel’s Opinion Work Fees</w:t>
            </w:r>
          </w:p>
        </w:tc>
        <w:tc>
          <w:tcPr>
            <w:tcW w:w="1618" w:type="dxa"/>
          </w:tcPr>
          <w:p w14:paraId="35A336BD" w14:textId="64F4828E" w:rsidR="00DE4418" w:rsidRDefault="00FF1197" w:rsidP="00FF1197">
            <w:pPr>
              <w:tabs>
                <w:tab w:val="left" w:pos="5400"/>
              </w:tabs>
              <w:spacing w:line="240" w:lineRule="auto"/>
              <w:jc w:val="right"/>
            </w:pPr>
            <w:r>
              <w:t>384,716.91</w:t>
            </w:r>
          </w:p>
        </w:tc>
        <w:tc>
          <w:tcPr>
            <w:tcW w:w="1618" w:type="dxa"/>
          </w:tcPr>
          <w:p w14:paraId="5177CE8B" w14:textId="134162EC" w:rsidR="00DE4418" w:rsidRDefault="00FF1197" w:rsidP="00FF1197">
            <w:pPr>
              <w:tabs>
                <w:tab w:val="left" w:pos="5400"/>
              </w:tabs>
              <w:spacing w:line="240" w:lineRule="auto"/>
              <w:jc w:val="right"/>
            </w:pPr>
            <w:r>
              <w:t>743,546.87</w:t>
            </w:r>
          </w:p>
        </w:tc>
        <w:tc>
          <w:tcPr>
            <w:tcW w:w="1618" w:type="dxa"/>
          </w:tcPr>
          <w:p w14:paraId="7C3B9B2F" w14:textId="4E7CA956" w:rsidR="00DE4418" w:rsidRDefault="00FF1197" w:rsidP="00FF1197">
            <w:pPr>
              <w:tabs>
                <w:tab w:val="left" w:pos="5400"/>
              </w:tabs>
              <w:spacing w:line="240" w:lineRule="auto"/>
              <w:jc w:val="right"/>
            </w:pPr>
            <w:r>
              <w:t>484,555.88</w:t>
            </w:r>
          </w:p>
        </w:tc>
        <w:tc>
          <w:tcPr>
            <w:tcW w:w="1589" w:type="dxa"/>
          </w:tcPr>
          <w:p w14:paraId="15BD6179" w14:textId="1F792B86" w:rsidR="00DE4418" w:rsidRDefault="00FF1197" w:rsidP="00FF1197">
            <w:pPr>
              <w:tabs>
                <w:tab w:val="left" w:pos="5400"/>
              </w:tabs>
              <w:spacing w:line="240" w:lineRule="auto"/>
              <w:jc w:val="right"/>
            </w:pPr>
            <w:r>
              <w:t>311,252.50</w:t>
            </w:r>
          </w:p>
        </w:tc>
        <w:tc>
          <w:tcPr>
            <w:tcW w:w="1618" w:type="dxa"/>
          </w:tcPr>
          <w:p w14:paraId="1D511B20" w14:textId="06878102" w:rsidR="00DE4418" w:rsidRDefault="00FF1197" w:rsidP="00FF1197">
            <w:pPr>
              <w:tabs>
                <w:tab w:val="left" w:pos="5400"/>
              </w:tabs>
              <w:spacing w:line="240" w:lineRule="auto"/>
              <w:jc w:val="right"/>
            </w:pPr>
            <w:r>
              <w:t>470,949.58</w:t>
            </w:r>
          </w:p>
        </w:tc>
        <w:tc>
          <w:tcPr>
            <w:tcW w:w="2137" w:type="dxa"/>
          </w:tcPr>
          <w:p w14:paraId="3B16E204" w14:textId="4909C78F" w:rsidR="00DE4418" w:rsidRDefault="00FF1197" w:rsidP="00FF1197">
            <w:pPr>
              <w:tabs>
                <w:tab w:val="left" w:pos="5400"/>
              </w:tabs>
              <w:spacing w:line="240" w:lineRule="auto"/>
              <w:jc w:val="right"/>
            </w:pPr>
            <w:r>
              <w:t>2,395,021.74</w:t>
            </w:r>
          </w:p>
        </w:tc>
      </w:tr>
      <w:tr w:rsidR="00FF1197" w14:paraId="294424C8" w14:textId="77E98B44" w:rsidTr="002D3C25">
        <w:trPr>
          <w:trHeight w:val="136"/>
        </w:trPr>
        <w:tc>
          <w:tcPr>
            <w:tcW w:w="3872" w:type="dxa"/>
          </w:tcPr>
          <w:p w14:paraId="18D0F459" w14:textId="6A78F7F6" w:rsidR="00DE4418" w:rsidRDefault="00FF1197" w:rsidP="00DA77C3">
            <w:pPr>
              <w:tabs>
                <w:tab w:val="left" w:pos="5400"/>
              </w:tabs>
              <w:spacing w:line="240" w:lineRule="auto"/>
            </w:pPr>
            <w:r>
              <w:t>Court Dues</w:t>
            </w:r>
          </w:p>
        </w:tc>
        <w:tc>
          <w:tcPr>
            <w:tcW w:w="1618" w:type="dxa"/>
          </w:tcPr>
          <w:p w14:paraId="233AA74B" w14:textId="656E5704" w:rsidR="00DE4418" w:rsidRDefault="00FF1197" w:rsidP="00FF1197">
            <w:pPr>
              <w:tabs>
                <w:tab w:val="left" w:pos="5400"/>
              </w:tabs>
              <w:spacing w:line="240" w:lineRule="auto"/>
              <w:jc w:val="right"/>
            </w:pPr>
            <w:r>
              <w:t>40,714.93</w:t>
            </w:r>
          </w:p>
        </w:tc>
        <w:tc>
          <w:tcPr>
            <w:tcW w:w="1618" w:type="dxa"/>
          </w:tcPr>
          <w:p w14:paraId="1C309B20" w14:textId="550D3448" w:rsidR="00DE4418" w:rsidRDefault="00FF1197" w:rsidP="00FF1197">
            <w:pPr>
              <w:tabs>
                <w:tab w:val="left" w:pos="5400"/>
              </w:tabs>
              <w:spacing w:line="240" w:lineRule="auto"/>
              <w:jc w:val="right"/>
            </w:pPr>
            <w:r>
              <w:t>91,158.51</w:t>
            </w:r>
          </w:p>
        </w:tc>
        <w:tc>
          <w:tcPr>
            <w:tcW w:w="1618" w:type="dxa"/>
          </w:tcPr>
          <w:p w14:paraId="0FBBDAEB" w14:textId="470ADB54" w:rsidR="00DE4418" w:rsidRDefault="00FF1197" w:rsidP="00FF1197">
            <w:pPr>
              <w:tabs>
                <w:tab w:val="left" w:pos="5400"/>
              </w:tabs>
              <w:spacing w:line="240" w:lineRule="auto"/>
              <w:jc w:val="right"/>
            </w:pPr>
            <w:r>
              <w:t>53,610.69</w:t>
            </w:r>
          </w:p>
        </w:tc>
        <w:tc>
          <w:tcPr>
            <w:tcW w:w="1589" w:type="dxa"/>
          </w:tcPr>
          <w:p w14:paraId="34CA1701" w14:textId="068CF1DF" w:rsidR="00DE4418" w:rsidRDefault="00FF1197" w:rsidP="00FF1197">
            <w:pPr>
              <w:tabs>
                <w:tab w:val="left" w:pos="5400"/>
              </w:tabs>
              <w:spacing w:line="240" w:lineRule="auto"/>
              <w:jc w:val="right"/>
            </w:pPr>
            <w:r>
              <w:t>42,836.47</w:t>
            </w:r>
          </w:p>
        </w:tc>
        <w:tc>
          <w:tcPr>
            <w:tcW w:w="1618" w:type="dxa"/>
          </w:tcPr>
          <w:p w14:paraId="47E14C97" w14:textId="6827AF02" w:rsidR="00DE4418" w:rsidRDefault="00FF1197" w:rsidP="00FF1197">
            <w:pPr>
              <w:tabs>
                <w:tab w:val="left" w:pos="5400"/>
              </w:tabs>
              <w:spacing w:line="240" w:lineRule="auto"/>
              <w:jc w:val="right"/>
            </w:pPr>
            <w:r>
              <w:t>42,028.71</w:t>
            </w:r>
          </w:p>
        </w:tc>
        <w:tc>
          <w:tcPr>
            <w:tcW w:w="2137" w:type="dxa"/>
          </w:tcPr>
          <w:p w14:paraId="5590AB69" w14:textId="5AC69BD4" w:rsidR="00DE4418" w:rsidRDefault="00FF1197" w:rsidP="00FF1197">
            <w:pPr>
              <w:tabs>
                <w:tab w:val="left" w:pos="5400"/>
              </w:tabs>
              <w:spacing w:line="240" w:lineRule="auto"/>
              <w:jc w:val="right"/>
            </w:pPr>
            <w:r>
              <w:t>270,349.31</w:t>
            </w:r>
          </w:p>
        </w:tc>
      </w:tr>
      <w:tr w:rsidR="00FF1197" w14:paraId="3A0FB54B" w14:textId="2A0CB0CA" w:rsidTr="002D3C25">
        <w:trPr>
          <w:trHeight w:val="159"/>
        </w:trPr>
        <w:tc>
          <w:tcPr>
            <w:tcW w:w="3872" w:type="dxa"/>
          </w:tcPr>
          <w:p w14:paraId="3643E406" w14:textId="2740A99F" w:rsidR="00DE4418" w:rsidRDefault="00FF1197" w:rsidP="00DA77C3">
            <w:pPr>
              <w:tabs>
                <w:tab w:val="left" w:pos="5400"/>
              </w:tabs>
              <w:spacing w:line="240" w:lineRule="auto"/>
            </w:pPr>
            <w:r>
              <w:t>External Solicitor Fees</w:t>
            </w:r>
          </w:p>
        </w:tc>
        <w:tc>
          <w:tcPr>
            <w:tcW w:w="1618" w:type="dxa"/>
          </w:tcPr>
          <w:p w14:paraId="658F8C13" w14:textId="78BD57F8" w:rsidR="00DE4418" w:rsidRDefault="00FF1197" w:rsidP="00FF1197">
            <w:pPr>
              <w:tabs>
                <w:tab w:val="left" w:pos="5400"/>
              </w:tabs>
              <w:spacing w:line="240" w:lineRule="auto"/>
              <w:jc w:val="right"/>
            </w:pPr>
            <w:r>
              <w:t>711</w:t>
            </w:r>
            <w:r w:rsidR="00AF42E4">
              <w:t>,</w:t>
            </w:r>
            <w:r>
              <w:t>075.92</w:t>
            </w:r>
          </w:p>
        </w:tc>
        <w:tc>
          <w:tcPr>
            <w:tcW w:w="1618" w:type="dxa"/>
          </w:tcPr>
          <w:p w14:paraId="4EFDA332" w14:textId="6A66C954" w:rsidR="00DE4418" w:rsidRDefault="00FF1197" w:rsidP="00FF1197">
            <w:pPr>
              <w:tabs>
                <w:tab w:val="left" w:pos="5400"/>
              </w:tabs>
              <w:spacing w:line="240" w:lineRule="auto"/>
              <w:jc w:val="right"/>
            </w:pPr>
            <w:r>
              <w:t>867</w:t>
            </w:r>
            <w:r w:rsidR="00AF42E4">
              <w:t>,</w:t>
            </w:r>
            <w:r>
              <w:t>435</w:t>
            </w:r>
            <w:r w:rsidR="00AF42E4">
              <w:t>.</w:t>
            </w:r>
            <w:r>
              <w:t>80</w:t>
            </w:r>
          </w:p>
        </w:tc>
        <w:tc>
          <w:tcPr>
            <w:tcW w:w="1618" w:type="dxa"/>
          </w:tcPr>
          <w:p w14:paraId="736A9D63" w14:textId="1EA38F23" w:rsidR="00DE4418" w:rsidRDefault="00FF1197" w:rsidP="00FF1197">
            <w:pPr>
              <w:tabs>
                <w:tab w:val="left" w:pos="5400"/>
              </w:tabs>
              <w:spacing w:line="240" w:lineRule="auto"/>
              <w:jc w:val="right"/>
            </w:pPr>
            <w:r>
              <w:t>412</w:t>
            </w:r>
            <w:r w:rsidR="00AF42E4">
              <w:t>,</w:t>
            </w:r>
            <w:r>
              <w:t>033</w:t>
            </w:r>
            <w:r w:rsidR="00AF42E4">
              <w:t>.</w:t>
            </w:r>
            <w:r>
              <w:t>85</w:t>
            </w:r>
          </w:p>
        </w:tc>
        <w:tc>
          <w:tcPr>
            <w:tcW w:w="1589" w:type="dxa"/>
          </w:tcPr>
          <w:p w14:paraId="5C24D234" w14:textId="1D7198B9" w:rsidR="00DE4418" w:rsidRDefault="00FF1197" w:rsidP="00FF1197">
            <w:pPr>
              <w:tabs>
                <w:tab w:val="left" w:pos="5400"/>
              </w:tabs>
              <w:spacing w:line="240" w:lineRule="auto"/>
              <w:jc w:val="right"/>
            </w:pPr>
            <w:r>
              <w:t>505</w:t>
            </w:r>
            <w:r w:rsidR="00AF42E4">
              <w:t>,</w:t>
            </w:r>
            <w:r>
              <w:t>216</w:t>
            </w:r>
            <w:r w:rsidR="00AF42E4">
              <w:t>.</w:t>
            </w:r>
            <w:r>
              <w:t>82</w:t>
            </w:r>
          </w:p>
        </w:tc>
        <w:tc>
          <w:tcPr>
            <w:tcW w:w="1618" w:type="dxa"/>
          </w:tcPr>
          <w:p w14:paraId="0BA0FCD2" w14:textId="5BFEC27A" w:rsidR="00DE4418" w:rsidRDefault="00AF42E4" w:rsidP="00FF1197">
            <w:pPr>
              <w:tabs>
                <w:tab w:val="left" w:pos="5400"/>
              </w:tabs>
              <w:spacing w:line="240" w:lineRule="auto"/>
              <w:jc w:val="right"/>
            </w:pPr>
            <w:r>
              <w:t>636,833.13</w:t>
            </w:r>
          </w:p>
        </w:tc>
        <w:tc>
          <w:tcPr>
            <w:tcW w:w="2137" w:type="dxa"/>
          </w:tcPr>
          <w:p w14:paraId="43E70076" w14:textId="1BB6969B" w:rsidR="00DE4418" w:rsidRDefault="00AF42E4" w:rsidP="00FF1197">
            <w:pPr>
              <w:tabs>
                <w:tab w:val="left" w:pos="5400"/>
              </w:tabs>
              <w:spacing w:line="240" w:lineRule="auto"/>
              <w:jc w:val="right"/>
            </w:pPr>
            <w:r>
              <w:t>3,132,595.52</w:t>
            </w:r>
          </w:p>
        </w:tc>
      </w:tr>
      <w:tr w:rsidR="00E2411A" w14:paraId="5DC9539B" w14:textId="77777777" w:rsidTr="002D3C25">
        <w:trPr>
          <w:trHeight w:val="183"/>
        </w:trPr>
        <w:tc>
          <w:tcPr>
            <w:tcW w:w="3872" w:type="dxa"/>
          </w:tcPr>
          <w:p w14:paraId="3F7FC818" w14:textId="436BE2FC" w:rsidR="00FF1197" w:rsidRDefault="00FF1197" w:rsidP="00DA77C3">
            <w:pPr>
              <w:tabs>
                <w:tab w:val="left" w:pos="5400"/>
              </w:tabs>
              <w:spacing w:line="240" w:lineRule="auto"/>
            </w:pPr>
            <w:r>
              <w:t xml:space="preserve">Legal Costs </w:t>
            </w:r>
          </w:p>
        </w:tc>
        <w:tc>
          <w:tcPr>
            <w:tcW w:w="1618" w:type="dxa"/>
          </w:tcPr>
          <w:p w14:paraId="242C1C35" w14:textId="4307403D" w:rsidR="00FF1197" w:rsidRDefault="00AF42E4" w:rsidP="00FF1197">
            <w:pPr>
              <w:tabs>
                <w:tab w:val="left" w:pos="5400"/>
              </w:tabs>
              <w:spacing w:line="240" w:lineRule="auto"/>
              <w:jc w:val="right"/>
            </w:pPr>
            <w:r>
              <w:t>67,938.23</w:t>
            </w:r>
          </w:p>
        </w:tc>
        <w:tc>
          <w:tcPr>
            <w:tcW w:w="1618" w:type="dxa"/>
          </w:tcPr>
          <w:p w14:paraId="4B42EEC7" w14:textId="57BF565D" w:rsidR="00FF1197" w:rsidRDefault="00AF42E4" w:rsidP="00FF1197">
            <w:pPr>
              <w:tabs>
                <w:tab w:val="left" w:pos="5400"/>
              </w:tabs>
              <w:spacing w:line="240" w:lineRule="auto"/>
              <w:jc w:val="right"/>
            </w:pPr>
            <w:r>
              <w:t>131,463.37</w:t>
            </w:r>
          </w:p>
        </w:tc>
        <w:tc>
          <w:tcPr>
            <w:tcW w:w="1618" w:type="dxa"/>
          </w:tcPr>
          <w:p w14:paraId="61CF13BE" w14:textId="23DACACD" w:rsidR="00FF1197" w:rsidRDefault="00AF42E4" w:rsidP="00FF1197">
            <w:pPr>
              <w:tabs>
                <w:tab w:val="left" w:pos="5400"/>
              </w:tabs>
              <w:spacing w:line="240" w:lineRule="auto"/>
              <w:jc w:val="right"/>
            </w:pPr>
            <w:r>
              <w:t>50,840.78</w:t>
            </w:r>
          </w:p>
        </w:tc>
        <w:tc>
          <w:tcPr>
            <w:tcW w:w="1589" w:type="dxa"/>
          </w:tcPr>
          <w:p w14:paraId="60355CDA" w14:textId="642416D4" w:rsidR="00FF1197" w:rsidRDefault="00AF42E4" w:rsidP="00FF1197">
            <w:pPr>
              <w:tabs>
                <w:tab w:val="left" w:pos="5400"/>
              </w:tabs>
              <w:spacing w:line="240" w:lineRule="auto"/>
              <w:jc w:val="right"/>
            </w:pPr>
            <w:r>
              <w:t>56,164.81</w:t>
            </w:r>
          </w:p>
        </w:tc>
        <w:tc>
          <w:tcPr>
            <w:tcW w:w="1618" w:type="dxa"/>
          </w:tcPr>
          <w:p w14:paraId="7A38088F" w14:textId="0E4F29E5" w:rsidR="00FF1197" w:rsidRDefault="00AF42E4" w:rsidP="00FF1197">
            <w:pPr>
              <w:tabs>
                <w:tab w:val="left" w:pos="5400"/>
              </w:tabs>
              <w:spacing w:line="240" w:lineRule="auto"/>
              <w:jc w:val="right"/>
            </w:pPr>
            <w:r>
              <w:t>114,606.86</w:t>
            </w:r>
          </w:p>
        </w:tc>
        <w:tc>
          <w:tcPr>
            <w:tcW w:w="2137" w:type="dxa"/>
          </w:tcPr>
          <w:p w14:paraId="52AD4F55" w14:textId="12DCA82B" w:rsidR="00FF1197" w:rsidRDefault="00AF42E4" w:rsidP="00FF1197">
            <w:pPr>
              <w:tabs>
                <w:tab w:val="left" w:pos="5400"/>
              </w:tabs>
              <w:spacing w:line="240" w:lineRule="auto"/>
              <w:jc w:val="right"/>
            </w:pPr>
            <w:r>
              <w:t>421,014.05</w:t>
            </w:r>
          </w:p>
        </w:tc>
      </w:tr>
      <w:tr w:rsidR="00BA4495" w14:paraId="1178C173" w14:textId="77777777" w:rsidTr="002D3C25">
        <w:trPr>
          <w:trHeight w:val="208"/>
        </w:trPr>
        <w:tc>
          <w:tcPr>
            <w:tcW w:w="3872" w:type="dxa"/>
            <w:shd w:val="clear" w:color="auto" w:fill="F2F2F2" w:themeFill="background1" w:themeFillShade="F2"/>
          </w:tcPr>
          <w:p w14:paraId="121ED9B6" w14:textId="627B0D10" w:rsidR="00BA4495" w:rsidRPr="00E2411A" w:rsidRDefault="00BA4495" w:rsidP="00BA4495">
            <w:pPr>
              <w:tabs>
                <w:tab w:val="left" w:pos="5400"/>
              </w:tabs>
              <w:spacing w:line="240" w:lineRule="auto"/>
              <w:rPr>
                <w:b/>
                <w:bCs/>
              </w:rPr>
            </w:pPr>
            <w:r w:rsidRPr="00E2411A">
              <w:rPr>
                <w:b/>
                <w:bCs/>
              </w:rPr>
              <w:t xml:space="preserve">Grand Total (Year) </w:t>
            </w:r>
          </w:p>
        </w:tc>
        <w:tc>
          <w:tcPr>
            <w:tcW w:w="1618" w:type="dxa"/>
            <w:shd w:val="clear" w:color="auto" w:fill="F2F2F2" w:themeFill="background1" w:themeFillShade="F2"/>
            <w:vAlign w:val="bottom"/>
          </w:tcPr>
          <w:p w14:paraId="4492D496" w14:textId="632EC20A" w:rsidR="00BA4495" w:rsidRPr="00BA4495" w:rsidRDefault="00BA4495" w:rsidP="00BA4495">
            <w:pPr>
              <w:tabs>
                <w:tab w:val="left" w:pos="5400"/>
              </w:tabs>
              <w:spacing w:line="240" w:lineRule="auto"/>
              <w:jc w:val="right"/>
              <w:rPr>
                <w:b/>
                <w:bCs/>
              </w:rPr>
            </w:pPr>
            <w:r w:rsidRPr="00BA4495">
              <w:rPr>
                <w:b/>
                <w:bCs/>
                <w:color w:val="000000"/>
                <w:lang w:eastAsia="en-GB"/>
              </w:rPr>
              <w:t>1,204,445.99</w:t>
            </w:r>
          </w:p>
        </w:tc>
        <w:tc>
          <w:tcPr>
            <w:tcW w:w="1618" w:type="dxa"/>
            <w:shd w:val="clear" w:color="auto" w:fill="F2F2F2" w:themeFill="background1" w:themeFillShade="F2"/>
            <w:vAlign w:val="bottom"/>
          </w:tcPr>
          <w:p w14:paraId="4FF2648B" w14:textId="13D6F199" w:rsidR="00BA4495" w:rsidRPr="00BA4495" w:rsidRDefault="00BA4495" w:rsidP="00BA4495">
            <w:pPr>
              <w:tabs>
                <w:tab w:val="left" w:pos="5400"/>
              </w:tabs>
              <w:spacing w:line="240" w:lineRule="auto"/>
              <w:jc w:val="right"/>
              <w:rPr>
                <w:b/>
                <w:bCs/>
              </w:rPr>
            </w:pPr>
            <w:r w:rsidRPr="00BA4495">
              <w:rPr>
                <w:b/>
                <w:bCs/>
                <w:color w:val="000000"/>
                <w:lang w:eastAsia="en-GB"/>
              </w:rPr>
              <w:t>1,833,604.55</w:t>
            </w:r>
          </w:p>
        </w:tc>
        <w:tc>
          <w:tcPr>
            <w:tcW w:w="1618" w:type="dxa"/>
            <w:shd w:val="clear" w:color="auto" w:fill="F2F2F2" w:themeFill="background1" w:themeFillShade="F2"/>
            <w:vAlign w:val="bottom"/>
          </w:tcPr>
          <w:p w14:paraId="21081179" w14:textId="37FF26A4" w:rsidR="00BA4495" w:rsidRPr="00BA4495" w:rsidRDefault="00BA4495" w:rsidP="00BA4495">
            <w:pPr>
              <w:tabs>
                <w:tab w:val="left" w:pos="5400"/>
              </w:tabs>
              <w:spacing w:line="240" w:lineRule="auto"/>
              <w:jc w:val="right"/>
              <w:rPr>
                <w:b/>
                <w:bCs/>
              </w:rPr>
            </w:pPr>
            <w:r w:rsidRPr="00BA4495">
              <w:rPr>
                <w:b/>
                <w:bCs/>
                <w:color w:val="000000"/>
                <w:lang w:eastAsia="en-GB"/>
              </w:rPr>
              <w:t>1,001,041.20</w:t>
            </w:r>
          </w:p>
        </w:tc>
        <w:tc>
          <w:tcPr>
            <w:tcW w:w="1589" w:type="dxa"/>
            <w:shd w:val="clear" w:color="auto" w:fill="F2F2F2" w:themeFill="background1" w:themeFillShade="F2"/>
            <w:vAlign w:val="bottom"/>
          </w:tcPr>
          <w:p w14:paraId="4D9314CA" w14:textId="527A33EC" w:rsidR="00BA4495" w:rsidRPr="00BA4495" w:rsidRDefault="00BA4495" w:rsidP="00BA4495">
            <w:pPr>
              <w:tabs>
                <w:tab w:val="left" w:pos="5400"/>
              </w:tabs>
              <w:spacing w:line="240" w:lineRule="auto"/>
              <w:jc w:val="right"/>
              <w:rPr>
                <w:b/>
                <w:bCs/>
              </w:rPr>
            </w:pPr>
            <w:r w:rsidRPr="00BA4495">
              <w:rPr>
                <w:b/>
                <w:bCs/>
                <w:color w:val="000000"/>
                <w:lang w:eastAsia="en-GB"/>
              </w:rPr>
              <w:t>915,470.60</w:t>
            </w:r>
          </w:p>
        </w:tc>
        <w:tc>
          <w:tcPr>
            <w:tcW w:w="1618" w:type="dxa"/>
            <w:shd w:val="clear" w:color="auto" w:fill="F2F2F2" w:themeFill="background1" w:themeFillShade="F2"/>
            <w:vAlign w:val="bottom"/>
          </w:tcPr>
          <w:p w14:paraId="1E916E50" w14:textId="3526D67A" w:rsidR="00BA4495" w:rsidRPr="00BA4495" w:rsidRDefault="00BA4495" w:rsidP="00BA4495">
            <w:pPr>
              <w:tabs>
                <w:tab w:val="left" w:pos="5400"/>
              </w:tabs>
              <w:spacing w:line="240" w:lineRule="auto"/>
              <w:jc w:val="right"/>
              <w:rPr>
                <w:b/>
                <w:bCs/>
              </w:rPr>
            </w:pPr>
            <w:r w:rsidRPr="00BA4495">
              <w:rPr>
                <w:b/>
                <w:bCs/>
                <w:color w:val="000000"/>
                <w:lang w:eastAsia="en-GB"/>
              </w:rPr>
              <w:t>1,264,418.28</w:t>
            </w:r>
          </w:p>
        </w:tc>
        <w:tc>
          <w:tcPr>
            <w:tcW w:w="2137" w:type="dxa"/>
            <w:shd w:val="clear" w:color="auto" w:fill="F2F2F2" w:themeFill="background1" w:themeFillShade="F2"/>
            <w:vAlign w:val="bottom"/>
          </w:tcPr>
          <w:p w14:paraId="4C41C03D" w14:textId="2DFED5D2" w:rsidR="00BA4495" w:rsidRPr="00BA4495" w:rsidRDefault="00BA4495" w:rsidP="00BA4495">
            <w:pPr>
              <w:tabs>
                <w:tab w:val="left" w:pos="5400"/>
              </w:tabs>
              <w:spacing w:line="240" w:lineRule="auto"/>
              <w:jc w:val="right"/>
              <w:rPr>
                <w:b/>
                <w:bCs/>
              </w:rPr>
            </w:pPr>
            <w:r w:rsidRPr="00BA4495">
              <w:rPr>
                <w:b/>
                <w:bCs/>
                <w:color w:val="000000"/>
                <w:lang w:eastAsia="en-GB"/>
              </w:rPr>
              <w:t>6,218,980.62</w:t>
            </w:r>
          </w:p>
        </w:tc>
      </w:tr>
    </w:tbl>
    <w:p w14:paraId="7BE54B56" w14:textId="4EFFA5DA" w:rsidR="00DE4418" w:rsidRDefault="00DE4418" w:rsidP="00793DD5"/>
    <w:sectPr w:rsidR="00DE4418" w:rsidSect="00DE4418">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60BDF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1C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2D64A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1C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A030B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1C7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3FDA8E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1C7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1A6692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1C7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F1012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1C7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792D"/>
    <w:rsid w:val="000875AF"/>
    <w:rsid w:val="00090F3B"/>
    <w:rsid w:val="000B7331"/>
    <w:rsid w:val="000E2F19"/>
    <w:rsid w:val="000E43FF"/>
    <w:rsid w:val="000E6526"/>
    <w:rsid w:val="00141533"/>
    <w:rsid w:val="00167528"/>
    <w:rsid w:val="00184727"/>
    <w:rsid w:val="00195CC4"/>
    <w:rsid w:val="001F2261"/>
    <w:rsid w:val="00207326"/>
    <w:rsid w:val="002174FD"/>
    <w:rsid w:val="00253DF6"/>
    <w:rsid w:val="00255F1E"/>
    <w:rsid w:val="00260FBC"/>
    <w:rsid w:val="0027104B"/>
    <w:rsid w:val="002D3C25"/>
    <w:rsid w:val="00301ABC"/>
    <w:rsid w:val="003229D1"/>
    <w:rsid w:val="0036503B"/>
    <w:rsid w:val="00376A4A"/>
    <w:rsid w:val="00381234"/>
    <w:rsid w:val="003A2D53"/>
    <w:rsid w:val="003D6D03"/>
    <w:rsid w:val="003E12CA"/>
    <w:rsid w:val="00400796"/>
    <w:rsid w:val="004010DC"/>
    <w:rsid w:val="00404563"/>
    <w:rsid w:val="004341F0"/>
    <w:rsid w:val="00456324"/>
    <w:rsid w:val="004645BD"/>
    <w:rsid w:val="00475460"/>
    <w:rsid w:val="00490317"/>
    <w:rsid w:val="00491644"/>
    <w:rsid w:val="00496A08"/>
    <w:rsid w:val="00497B76"/>
    <w:rsid w:val="004D3390"/>
    <w:rsid w:val="004E1605"/>
    <w:rsid w:val="004F653C"/>
    <w:rsid w:val="00540A52"/>
    <w:rsid w:val="00557306"/>
    <w:rsid w:val="005E57AA"/>
    <w:rsid w:val="006029D9"/>
    <w:rsid w:val="0060390B"/>
    <w:rsid w:val="00645CFA"/>
    <w:rsid w:val="00685219"/>
    <w:rsid w:val="006D5799"/>
    <w:rsid w:val="00743B0E"/>
    <w:rsid w:val="007440EA"/>
    <w:rsid w:val="00750D83"/>
    <w:rsid w:val="00785DBC"/>
    <w:rsid w:val="00793DD5"/>
    <w:rsid w:val="007D55F6"/>
    <w:rsid w:val="007F490F"/>
    <w:rsid w:val="00820689"/>
    <w:rsid w:val="0086779C"/>
    <w:rsid w:val="00874BFD"/>
    <w:rsid w:val="008964EF"/>
    <w:rsid w:val="008C0436"/>
    <w:rsid w:val="008F500F"/>
    <w:rsid w:val="00901152"/>
    <w:rsid w:val="00915E01"/>
    <w:rsid w:val="009221A0"/>
    <w:rsid w:val="0093207F"/>
    <w:rsid w:val="009631A4"/>
    <w:rsid w:val="00964752"/>
    <w:rsid w:val="009677D3"/>
    <w:rsid w:val="00977296"/>
    <w:rsid w:val="009B2208"/>
    <w:rsid w:val="009D2AA5"/>
    <w:rsid w:val="00A205F8"/>
    <w:rsid w:val="00A25E93"/>
    <w:rsid w:val="00A320FF"/>
    <w:rsid w:val="00A70AC0"/>
    <w:rsid w:val="00A84EA9"/>
    <w:rsid w:val="00AC443C"/>
    <w:rsid w:val="00AE5211"/>
    <w:rsid w:val="00AF42E4"/>
    <w:rsid w:val="00B033D6"/>
    <w:rsid w:val="00B11A55"/>
    <w:rsid w:val="00B121D9"/>
    <w:rsid w:val="00B17211"/>
    <w:rsid w:val="00B23E25"/>
    <w:rsid w:val="00B461B2"/>
    <w:rsid w:val="00B54A05"/>
    <w:rsid w:val="00B654B6"/>
    <w:rsid w:val="00B71B3C"/>
    <w:rsid w:val="00BA29F9"/>
    <w:rsid w:val="00BA4495"/>
    <w:rsid w:val="00BC389E"/>
    <w:rsid w:val="00BC7A8D"/>
    <w:rsid w:val="00BD0588"/>
    <w:rsid w:val="00BD41F6"/>
    <w:rsid w:val="00BE1888"/>
    <w:rsid w:val="00BF6B81"/>
    <w:rsid w:val="00C077A8"/>
    <w:rsid w:val="00C14FF4"/>
    <w:rsid w:val="00C1679F"/>
    <w:rsid w:val="00C5065B"/>
    <w:rsid w:val="00C606A2"/>
    <w:rsid w:val="00C63872"/>
    <w:rsid w:val="00C84948"/>
    <w:rsid w:val="00C94ED8"/>
    <w:rsid w:val="00CA46B2"/>
    <w:rsid w:val="00CC7C79"/>
    <w:rsid w:val="00CD79A8"/>
    <w:rsid w:val="00CE09FA"/>
    <w:rsid w:val="00CF1111"/>
    <w:rsid w:val="00CF1EB4"/>
    <w:rsid w:val="00D05706"/>
    <w:rsid w:val="00D27DC5"/>
    <w:rsid w:val="00D47E36"/>
    <w:rsid w:val="00DE4418"/>
    <w:rsid w:val="00DE463E"/>
    <w:rsid w:val="00E11C70"/>
    <w:rsid w:val="00E1646E"/>
    <w:rsid w:val="00E2411A"/>
    <w:rsid w:val="00E55D79"/>
    <w:rsid w:val="00E627D7"/>
    <w:rsid w:val="00E84590"/>
    <w:rsid w:val="00EE2373"/>
    <w:rsid w:val="00EF0FBB"/>
    <w:rsid w:val="00EF4761"/>
    <w:rsid w:val="00FA43E6"/>
    <w:rsid w:val="00FC2DA7"/>
    <w:rsid w:val="00FE44E2"/>
    <w:rsid w:val="00FF0273"/>
    <w:rsid w:val="00FF1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60">
      <w:bodyDiv w:val="1"/>
      <w:marLeft w:val="0"/>
      <w:marRight w:val="0"/>
      <w:marTop w:val="0"/>
      <w:marBottom w:val="0"/>
      <w:divBdr>
        <w:top w:val="none" w:sz="0" w:space="0" w:color="auto"/>
        <w:left w:val="none" w:sz="0" w:space="0" w:color="auto"/>
        <w:bottom w:val="none" w:sz="0" w:space="0" w:color="auto"/>
        <w:right w:val="none" w:sz="0" w:space="0" w:color="auto"/>
      </w:divBdr>
    </w:div>
    <w:div w:id="107428997">
      <w:bodyDiv w:val="1"/>
      <w:marLeft w:val="0"/>
      <w:marRight w:val="0"/>
      <w:marTop w:val="0"/>
      <w:marBottom w:val="0"/>
      <w:divBdr>
        <w:top w:val="none" w:sz="0" w:space="0" w:color="auto"/>
        <w:left w:val="none" w:sz="0" w:space="0" w:color="auto"/>
        <w:bottom w:val="none" w:sz="0" w:space="0" w:color="auto"/>
        <w:right w:val="none" w:sz="0" w:space="0" w:color="auto"/>
      </w:divBdr>
    </w:div>
    <w:div w:id="663050773">
      <w:bodyDiv w:val="1"/>
      <w:marLeft w:val="0"/>
      <w:marRight w:val="0"/>
      <w:marTop w:val="0"/>
      <w:marBottom w:val="0"/>
      <w:divBdr>
        <w:top w:val="none" w:sz="0" w:space="0" w:color="auto"/>
        <w:left w:val="none" w:sz="0" w:space="0" w:color="auto"/>
        <w:bottom w:val="none" w:sz="0" w:space="0" w:color="auto"/>
        <w:right w:val="none" w:sz="0" w:space="0" w:color="auto"/>
      </w:divBdr>
    </w:div>
    <w:div w:id="989018723">
      <w:bodyDiv w:val="1"/>
      <w:marLeft w:val="0"/>
      <w:marRight w:val="0"/>
      <w:marTop w:val="0"/>
      <w:marBottom w:val="0"/>
      <w:divBdr>
        <w:top w:val="none" w:sz="0" w:space="0" w:color="auto"/>
        <w:left w:val="none" w:sz="0" w:space="0" w:color="auto"/>
        <w:bottom w:val="none" w:sz="0" w:space="0" w:color="auto"/>
        <w:right w:val="none" w:sz="0" w:space="0" w:color="auto"/>
      </w:divBdr>
    </w:div>
    <w:div w:id="1146823828">
      <w:bodyDiv w:val="1"/>
      <w:marLeft w:val="0"/>
      <w:marRight w:val="0"/>
      <w:marTop w:val="0"/>
      <w:marBottom w:val="0"/>
      <w:divBdr>
        <w:top w:val="none" w:sz="0" w:space="0" w:color="auto"/>
        <w:left w:val="none" w:sz="0" w:space="0" w:color="auto"/>
        <w:bottom w:val="none" w:sz="0" w:space="0" w:color="auto"/>
        <w:right w:val="none" w:sz="0" w:space="0" w:color="auto"/>
      </w:divBdr>
    </w:div>
    <w:div w:id="1270818506">
      <w:bodyDiv w:val="1"/>
      <w:marLeft w:val="0"/>
      <w:marRight w:val="0"/>
      <w:marTop w:val="0"/>
      <w:marBottom w:val="0"/>
      <w:divBdr>
        <w:top w:val="none" w:sz="0" w:space="0" w:color="auto"/>
        <w:left w:val="none" w:sz="0" w:space="0" w:color="auto"/>
        <w:bottom w:val="none" w:sz="0" w:space="0" w:color="auto"/>
        <w:right w:val="none" w:sz="0" w:space="0" w:color="auto"/>
      </w:divBdr>
    </w:div>
    <w:div w:id="1400860018">
      <w:bodyDiv w:val="1"/>
      <w:marLeft w:val="0"/>
      <w:marRight w:val="0"/>
      <w:marTop w:val="0"/>
      <w:marBottom w:val="0"/>
      <w:divBdr>
        <w:top w:val="none" w:sz="0" w:space="0" w:color="auto"/>
        <w:left w:val="none" w:sz="0" w:space="0" w:color="auto"/>
        <w:bottom w:val="none" w:sz="0" w:space="0" w:color="auto"/>
        <w:right w:val="none" w:sz="0" w:space="0" w:color="auto"/>
      </w:divBdr>
    </w:div>
    <w:div w:id="1616137895">
      <w:bodyDiv w:val="1"/>
      <w:marLeft w:val="0"/>
      <w:marRight w:val="0"/>
      <w:marTop w:val="0"/>
      <w:marBottom w:val="0"/>
      <w:divBdr>
        <w:top w:val="none" w:sz="0" w:space="0" w:color="auto"/>
        <w:left w:val="none" w:sz="0" w:space="0" w:color="auto"/>
        <w:bottom w:val="none" w:sz="0" w:space="0" w:color="auto"/>
        <w:right w:val="none" w:sz="0" w:space="0" w:color="auto"/>
      </w:divBdr>
    </w:div>
    <w:div w:id="1674868880">
      <w:bodyDiv w:val="1"/>
      <w:marLeft w:val="0"/>
      <w:marRight w:val="0"/>
      <w:marTop w:val="0"/>
      <w:marBottom w:val="0"/>
      <w:divBdr>
        <w:top w:val="none" w:sz="0" w:space="0" w:color="auto"/>
        <w:left w:val="none" w:sz="0" w:space="0" w:color="auto"/>
        <w:bottom w:val="none" w:sz="0" w:space="0" w:color="auto"/>
        <w:right w:val="none" w:sz="0" w:space="0" w:color="auto"/>
      </w:divBdr>
    </w:div>
    <w:div w:id="1795906267">
      <w:bodyDiv w:val="1"/>
      <w:marLeft w:val="0"/>
      <w:marRight w:val="0"/>
      <w:marTop w:val="0"/>
      <w:marBottom w:val="0"/>
      <w:divBdr>
        <w:top w:val="none" w:sz="0" w:space="0" w:color="auto"/>
        <w:left w:val="none" w:sz="0" w:space="0" w:color="auto"/>
        <w:bottom w:val="none" w:sz="0" w:space="0" w:color="auto"/>
        <w:right w:val="none" w:sz="0" w:space="0" w:color="auto"/>
      </w:divBdr>
    </w:div>
    <w:div w:id="1862237318">
      <w:bodyDiv w:val="1"/>
      <w:marLeft w:val="0"/>
      <w:marRight w:val="0"/>
      <w:marTop w:val="0"/>
      <w:marBottom w:val="0"/>
      <w:divBdr>
        <w:top w:val="none" w:sz="0" w:space="0" w:color="auto"/>
        <w:left w:val="none" w:sz="0" w:space="0" w:color="auto"/>
        <w:bottom w:val="none" w:sz="0" w:space="0" w:color="auto"/>
        <w:right w:val="none" w:sz="0" w:space="0" w:color="auto"/>
      </w:divBdr>
    </w:div>
    <w:div w:id="191485526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0e32d40b-a8f5-4c24-a46b-b72b5f0b9b5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588</Words>
  <Characters>3353</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2025-11-06T11:55:00Z</cp:lastPrinted>
  <dcterms:created xsi:type="dcterms:W3CDTF">2025-11-06T11:50:00Z</dcterms:created>
  <dcterms:modified xsi:type="dcterms:W3CDTF">2025-11-06T11:59:00Z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