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4CFA30" w:rsidR="00B17211" w:rsidRPr="00B17211" w:rsidRDefault="00B17211" w:rsidP="007F490F">
            <w:r w:rsidRPr="007F490F">
              <w:rPr>
                <w:rStyle w:val="Heading2Char"/>
              </w:rPr>
              <w:t>Our reference:</w:t>
            </w:r>
            <w:r>
              <w:t xml:space="preserve">  FOI 2</w:t>
            </w:r>
            <w:r w:rsidR="00EF0FBB">
              <w:t>5</w:t>
            </w:r>
            <w:r>
              <w:t>-</w:t>
            </w:r>
            <w:r w:rsidR="00642223">
              <w:t>2089</w:t>
            </w:r>
          </w:p>
          <w:p w14:paraId="34BDABA6" w14:textId="052B7F44" w:rsidR="00B17211" w:rsidRDefault="00456324" w:rsidP="00EE2373">
            <w:r w:rsidRPr="007F490F">
              <w:rPr>
                <w:rStyle w:val="Heading2Char"/>
              </w:rPr>
              <w:t>Respon</w:t>
            </w:r>
            <w:r w:rsidR="007D55F6">
              <w:rPr>
                <w:rStyle w:val="Heading2Char"/>
              </w:rPr>
              <w:t>ded to:</w:t>
            </w:r>
            <w:r w:rsidR="007F490F">
              <w:t xml:space="preserve">  </w:t>
            </w:r>
            <w:r w:rsidR="00962C10">
              <w:t>07</w:t>
            </w:r>
            <w:r w:rsidR="006D5799">
              <w:t xml:space="preserve"> </w:t>
            </w:r>
            <w:r w:rsidR="00987250">
              <w:t>August</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74A8CF" w14:textId="52A64899" w:rsidR="00B4470B" w:rsidRPr="00B4470B" w:rsidRDefault="00B4470B" w:rsidP="00B4470B">
      <w:pPr>
        <w:tabs>
          <w:tab w:val="left" w:pos="5400"/>
        </w:tabs>
        <w:rPr>
          <w:rFonts w:eastAsiaTheme="majorEastAsia" w:cstheme="majorBidi"/>
          <w:b/>
          <w:color w:val="000000" w:themeColor="text1"/>
          <w:szCs w:val="26"/>
        </w:rPr>
      </w:pPr>
      <w:r w:rsidRPr="00B4470B">
        <w:rPr>
          <w:rFonts w:eastAsiaTheme="majorEastAsia" w:cstheme="majorBidi"/>
          <w:b/>
          <w:color w:val="000000" w:themeColor="text1"/>
          <w:szCs w:val="26"/>
        </w:rPr>
        <w:t>A blank copy or template of any form(s) currently used by Police Scotland for the submission of digital devices or digital exhibits to your Digital Forensics Unit (e.g. mobile phones, computers, tablets). This may include local versions of the MG21 form, or any other documentation routinely used to request digital forensic examinations.</w:t>
      </w:r>
      <w:r w:rsidR="006B203B">
        <w:rPr>
          <w:rFonts w:eastAsiaTheme="majorEastAsia" w:cstheme="majorBidi"/>
          <w:b/>
          <w:color w:val="000000" w:themeColor="text1"/>
          <w:szCs w:val="26"/>
        </w:rPr>
        <w:t xml:space="preserve">  </w:t>
      </w:r>
      <w:r w:rsidRPr="00B4470B">
        <w:rPr>
          <w:rFonts w:eastAsiaTheme="majorEastAsia" w:cstheme="majorBidi"/>
          <w:b/>
          <w:color w:val="000000" w:themeColor="text1"/>
          <w:szCs w:val="26"/>
        </w:rPr>
        <w:t>If available, I would be grateful to receive:</w:t>
      </w:r>
    </w:p>
    <w:p w14:paraId="46F60471" w14:textId="77777777" w:rsidR="006B203B" w:rsidRDefault="00B4470B" w:rsidP="006B203B">
      <w:pPr>
        <w:pStyle w:val="ListParagraph"/>
        <w:numPr>
          <w:ilvl w:val="0"/>
          <w:numId w:val="4"/>
        </w:numPr>
        <w:tabs>
          <w:tab w:val="num" w:pos="720"/>
          <w:tab w:val="left" w:pos="5400"/>
        </w:tabs>
        <w:rPr>
          <w:rFonts w:eastAsiaTheme="majorEastAsia" w:cstheme="majorBidi"/>
          <w:b/>
          <w:color w:val="000000" w:themeColor="text1"/>
          <w:szCs w:val="26"/>
        </w:rPr>
      </w:pPr>
      <w:r w:rsidRPr="006B203B">
        <w:rPr>
          <w:rFonts w:eastAsiaTheme="majorEastAsia" w:cstheme="majorBidi"/>
          <w:b/>
          <w:color w:val="000000" w:themeColor="text1"/>
          <w:szCs w:val="26"/>
        </w:rPr>
        <w:t>Any local guidance or instructional materials provided to officers completing the form.</w:t>
      </w:r>
    </w:p>
    <w:p w14:paraId="1585E0E8" w14:textId="6CEC794A" w:rsidR="00B4470B" w:rsidRPr="006B203B" w:rsidRDefault="00B4470B" w:rsidP="006B203B">
      <w:pPr>
        <w:pStyle w:val="ListParagraph"/>
        <w:numPr>
          <w:ilvl w:val="0"/>
          <w:numId w:val="4"/>
        </w:numPr>
        <w:tabs>
          <w:tab w:val="num" w:pos="720"/>
          <w:tab w:val="left" w:pos="5400"/>
        </w:tabs>
        <w:rPr>
          <w:rFonts w:eastAsiaTheme="majorEastAsia" w:cstheme="majorBidi"/>
          <w:b/>
          <w:color w:val="000000" w:themeColor="text1"/>
          <w:szCs w:val="26"/>
        </w:rPr>
      </w:pPr>
      <w:r w:rsidRPr="006B203B">
        <w:rPr>
          <w:rFonts w:eastAsiaTheme="majorEastAsia" w:cstheme="majorBidi"/>
          <w:b/>
          <w:color w:val="000000" w:themeColor="text1"/>
          <w:szCs w:val="26"/>
        </w:rPr>
        <w:t>Confirmation of whether your force uses the national MG21 template, or a locally adapted version.</w:t>
      </w:r>
    </w:p>
    <w:p w14:paraId="04E856A6" w14:textId="77777777" w:rsidR="00273405" w:rsidRDefault="00273405" w:rsidP="00273405">
      <w:pPr>
        <w:tabs>
          <w:tab w:val="left" w:pos="5400"/>
        </w:tabs>
      </w:pPr>
      <w:r>
        <w:t>I can advise the MG21 form is not used by Police Scotland, it is our understanding that it applies in England and Wales.</w:t>
      </w:r>
    </w:p>
    <w:p w14:paraId="02A205E3" w14:textId="6050BE73" w:rsidR="00273405" w:rsidRDefault="00273405" w:rsidP="00273405">
      <w:pPr>
        <w:tabs>
          <w:tab w:val="left" w:pos="5400"/>
        </w:tabs>
      </w:pPr>
      <w:r>
        <w:t xml:space="preserve">In response to your request, please see the attached documents: </w:t>
      </w:r>
    </w:p>
    <w:p w14:paraId="55AA46AC" w14:textId="77777777" w:rsidR="00273405" w:rsidRDefault="00273405" w:rsidP="00273405">
      <w:pPr>
        <w:pStyle w:val="ListParagraph"/>
        <w:numPr>
          <w:ilvl w:val="0"/>
          <w:numId w:val="3"/>
        </w:numPr>
        <w:tabs>
          <w:tab w:val="left" w:pos="5400"/>
        </w:tabs>
      </w:pPr>
      <w:r>
        <w:t>Cybercrime Examination Request Form</w:t>
      </w:r>
    </w:p>
    <w:p w14:paraId="0066081C" w14:textId="77777777" w:rsidR="00273405" w:rsidRDefault="00273405" w:rsidP="00273405">
      <w:pPr>
        <w:pStyle w:val="ListParagraph"/>
        <w:numPr>
          <w:ilvl w:val="0"/>
          <w:numId w:val="3"/>
        </w:numPr>
        <w:tabs>
          <w:tab w:val="left" w:pos="5400"/>
        </w:tabs>
      </w:pPr>
      <w:r>
        <w:t>Cybercrime App User Guide</w:t>
      </w:r>
    </w:p>
    <w:p w14:paraId="70FBA97B" w14:textId="4A79B3A5" w:rsidR="00273405" w:rsidRPr="00FE635B" w:rsidRDefault="00273405" w:rsidP="00273405">
      <w:pPr>
        <w:tabs>
          <w:tab w:val="left" w:pos="5400"/>
        </w:tabs>
        <w:rPr>
          <w:color w:val="000000" w:themeColor="text1"/>
        </w:rPr>
      </w:pPr>
      <w:r w:rsidRPr="00FE635B">
        <w:t xml:space="preserve">You will note that some of the information contained within the User Guide has been redacted. I am refusing to provide this information in terms of section 16(1) of the Act on </w:t>
      </w:r>
      <w:r w:rsidRPr="00FE635B">
        <w:rPr>
          <w:color w:val="000000" w:themeColor="text1"/>
        </w:rPr>
        <w:t>the basis that the following exemptions apply:</w:t>
      </w:r>
    </w:p>
    <w:p w14:paraId="00D019C8" w14:textId="77777777" w:rsidR="00A4394D" w:rsidRDefault="00A4394D" w:rsidP="00C71CB2">
      <w:pPr>
        <w:tabs>
          <w:tab w:val="left" w:pos="5400"/>
        </w:tabs>
      </w:pPr>
    </w:p>
    <w:p w14:paraId="60E6A8D0" w14:textId="77777777" w:rsidR="00A4394D" w:rsidRPr="00C15EAF" w:rsidRDefault="00A4394D" w:rsidP="00A4394D">
      <w:pPr>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30(c) - Prejudice to the Effective Conduct of Public Affairs </w:t>
      </w:r>
    </w:p>
    <w:p w14:paraId="0756B98B" w14:textId="77777777" w:rsidR="002656A2" w:rsidRDefault="002656A2" w:rsidP="00A65D1E">
      <w:pPr>
        <w:rPr>
          <w:color w:val="000000"/>
        </w:rPr>
      </w:pPr>
      <w:r w:rsidRPr="002656A2">
        <w:rPr>
          <w:color w:val="000000"/>
        </w:rPr>
        <w:t>Disclosure would prejudice substantially the effective conduct of public affairs.</w:t>
      </w:r>
    </w:p>
    <w:p w14:paraId="0F719722" w14:textId="48BA54C9" w:rsidR="00A65D1E" w:rsidRDefault="00A65D1E" w:rsidP="00A65D1E">
      <w:r w:rsidRPr="00D85936">
        <w:rPr>
          <w:color w:val="000000"/>
        </w:rPr>
        <w:t>Where necessary some</w:t>
      </w:r>
      <w:r w:rsidR="002656A2">
        <w:rPr>
          <w:color w:val="000000"/>
        </w:rPr>
        <w:t xml:space="preserve"> </w:t>
      </w:r>
      <w:r>
        <w:rPr>
          <w:color w:val="000000"/>
        </w:rPr>
        <w:t>file paths, reference numbers,</w:t>
      </w:r>
      <w:r w:rsidRPr="00D85936">
        <w:rPr>
          <w:color w:val="000000"/>
        </w:rPr>
        <w:t xml:space="preserve"> names</w:t>
      </w:r>
      <w:r>
        <w:rPr>
          <w:color w:val="000000"/>
        </w:rPr>
        <w:t xml:space="preserve">, </w:t>
      </w:r>
      <w:r w:rsidRPr="00D85936">
        <w:rPr>
          <w:color w:val="000000"/>
        </w:rPr>
        <w:t xml:space="preserve">telephone numbers and email addresses have been redacted. </w:t>
      </w:r>
      <w:r>
        <w:rPr>
          <w:color w:val="000000"/>
        </w:rPr>
        <w:t xml:space="preserve">These are </w:t>
      </w:r>
      <w:r>
        <w:t xml:space="preserve">used for </w:t>
      </w:r>
      <w:r w:rsidRPr="00C15EAF">
        <w:t>operational/</w:t>
      </w:r>
      <w:r>
        <w:t xml:space="preserve"> </w:t>
      </w:r>
      <w:r w:rsidRPr="00C15EAF">
        <w:t xml:space="preserve">business purposes </w:t>
      </w:r>
      <w:r>
        <w:t xml:space="preserve">and </w:t>
      </w:r>
      <w:r w:rsidRPr="00C15EAF">
        <w:t>ha</w:t>
      </w:r>
      <w:r>
        <w:t xml:space="preserve">ve </w:t>
      </w:r>
      <w:r w:rsidRPr="00C15EAF">
        <w:t xml:space="preserve">been removed in order to ensure that </w:t>
      </w:r>
      <w:r>
        <w:t>those</w:t>
      </w:r>
      <w:r w:rsidRPr="00C15EAF">
        <w:t xml:space="preserve"> processes are protected</w:t>
      </w:r>
      <w:r>
        <w:t>.</w:t>
      </w:r>
    </w:p>
    <w:p w14:paraId="4A1B2D21" w14:textId="77777777" w:rsidR="00A65D1E" w:rsidRDefault="00A65D1E" w:rsidP="00A65D1E">
      <w:r w:rsidRPr="00C15EAF">
        <w:lastRenderedPageBreak/>
        <w:t>This is a non-absolute exemption which requires the application of the Public Interest Test.</w:t>
      </w:r>
    </w:p>
    <w:p w14:paraId="42DF0A27" w14:textId="77777777" w:rsidR="00A4394D" w:rsidRPr="00F62776" w:rsidRDefault="00A4394D" w:rsidP="00A4394D">
      <w:r w:rsidRPr="00C15EAF">
        <w:rPr>
          <w:rFonts w:eastAsiaTheme="majorEastAsia" w:cstheme="majorBidi"/>
          <w:b/>
          <w:color w:val="000000" w:themeColor="text1"/>
          <w:szCs w:val="26"/>
        </w:rPr>
        <w:t>Public Interest Test</w:t>
      </w:r>
    </w:p>
    <w:p w14:paraId="352F211F" w14:textId="49DE18E4" w:rsidR="002656A2" w:rsidRDefault="002656A2" w:rsidP="00A4394D">
      <w:r>
        <w:t>I</w:t>
      </w:r>
      <w:r w:rsidR="00A4394D">
        <w:t xml:space="preserve"> would suggest that </w:t>
      </w:r>
      <w:r>
        <w:t xml:space="preserve">disclosure of the information would support transparency and better inform the public as to how the organisation conducts this </w:t>
      </w:r>
      <w:r w:rsidR="00D0181F">
        <w:t>process</w:t>
      </w:r>
      <w:r>
        <w:t xml:space="preserve">. </w:t>
      </w:r>
    </w:p>
    <w:p w14:paraId="395AAA63" w14:textId="78E54BCB" w:rsidR="00D0181F" w:rsidRDefault="002656A2" w:rsidP="00A4394D">
      <w:r>
        <w:t xml:space="preserve">Disclosure of the file paths and reference numbers </w:t>
      </w:r>
      <w:r w:rsidR="00D0181F">
        <w:t xml:space="preserve">could </w:t>
      </w:r>
      <w:r w:rsidR="00D0181F" w:rsidRPr="00D85936">
        <w:rPr>
          <w:color w:val="000000"/>
        </w:rPr>
        <w:t>negatively impact</w:t>
      </w:r>
      <w:r w:rsidR="00D0181F">
        <w:rPr>
          <w:color w:val="000000"/>
        </w:rPr>
        <w:t xml:space="preserve"> </w:t>
      </w:r>
      <w:r w:rsidR="00D0181F" w:rsidRPr="00D85936">
        <w:rPr>
          <w:color w:val="000000"/>
        </w:rPr>
        <w:t xml:space="preserve">the operational effectiveness of departments. </w:t>
      </w:r>
      <w:r w:rsidR="00D0181F">
        <w:rPr>
          <w:color w:val="000000"/>
        </w:rPr>
        <w:t xml:space="preserve">Additionally, </w:t>
      </w:r>
      <w:r w:rsidR="00D0181F">
        <w:t xml:space="preserve">there are </w:t>
      </w:r>
      <w:r>
        <w:t xml:space="preserve">already established routes for the public to contact Police Scotland </w:t>
      </w:r>
      <w:r w:rsidR="00D0181F">
        <w:t xml:space="preserve">therefore the </w:t>
      </w:r>
      <w:r>
        <w:t xml:space="preserve">disclosure of </w:t>
      </w:r>
      <w:r w:rsidR="00D0181F">
        <w:t>contact</w:t>
      </w:r>
      <w:r>
        <w:t xml:space="preserve"> details would not support the effective conduct of public affairs. </w:t>
      </w:r>
    </w:p>
    <w:p w14:paraId="57B0AED0" w14:textId="71CBFA9F" w:rsidR="00A4394D" w:rsidRDefault="00A65D1E" w:rsidP="00A4394D">
      <w:r>
        <w:rPr>
          <w:color w:val="000000"/>
        </w:rPr>
        <w:t>T</w:t>
      </w:r>
      <w:r w:rsidR="00A4394D">
        <w:t xml:space="preserve">he need to ensure effective conduct of the service clearly favour non-disclosure of the </w:t>
      </w:r>
      <w:r>
        <w:t>redacted information</w:t>
      </w:r>
      <w:r w:rsidR="00A4394D">
        <w:t xml:space="preserve">. </w:t>
      </w:r>
    </w:p>
    <w:p w14:paraId="302F46F1" w14:textId="77777777" w:rsidR="00A4394D" w:rsidRPr="00907E81" w:rsidRDefault="00A4394D" w:rsidP="00A4394D">
      <w:r w:rsidRPr="00435450">
        <w:t xml:space="preserve">On balance the public interest on this occasion favours non-disclosure of this data. </w:t>
      </w:r>
    </w:p>
    <w:p w14:paraId="36B1BB1F" w14:textId="77777777" w:rsidR="00A4394D" w:rsidRDefault="00A4394D" w:rsidP="00A4394D">
      <w:pPr>
        <w:tabs>
          <w:tab w:val="left" w:pos="3416"/>
        </w:tabs>
        <w:rPr>
          <w:b/>
          <w:bCs/>
          <w:color w:val="385623" w:themeColor="accent6" w:themeShade="80"/>
        </w:rPr>
      </w:pPr>
    </w:p>
    <w:p w14:paraId="2A31F8C0" w14:textId="20C167A4" w:rsidR="00A4394D" w:rsidRPr="00A4394D" w:rsidRDefault="00A4394D" w:rsidP="00A4394D">
      <w:pPr>
        <w:tabs>
          <w:tab w:val="left" w:pos="3416"/>
        </w:tabs>
        <w:rPr>
          <w:b/>
          <w:bCs/>
          <w:color w:val="000000" w:themeColor="text1"/>
        </w:rPr>
      </w:pPr>
      <w:r w:rsidRPr="00A4394D">
        <w:rPr>
          <w:b/>
          <w:bCs/>
          <w:color w:val="000000" w:themeColor="text1"/>
        </w:rPr>
        <w:t>Section 38(1)(b) – Third Party Personal Data</w:t>
      </w:r>
    </w:p>
    <w:p w14:paraId="2EF82731" w14:textId="169BFD45" w:rsidR="00273405" w:rsidRPr="00A4394D" w:rsidRDefault="00273405" w:rsidP="00273405">
      <w:pPr>
        <w:rPr>
          <w:color w:val="000000" w:themeColor="text1"/>
        </w:rPr>
      </w:pPr>
      <w:r w:rsidRPr="00A4394D">
        <w:rPr>
          <w:color w:val="000000" w:themeColor="text1"/>
        </w:rPr>
        <w:t>Personal data is defined in Article 4 of the General Data Protection Regulation (GDPR) as: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104512E" w14:textId="77777777" w:rsidR="00273405" w:rsidRPr="00A4394D" w:rsidRDefault="00273405" w:rsidP="00273405">
      <w:pPr>
        <w:rPr>
          <w:color w:val="000000" w:themeColor="text1"/>
        </w:rPr>
      </w:pPr>
      <w:r w:rsidRPr="00A4394D">
        <w:rPr>
          <w:color w:val="000000" w:themeColor="text1"/>
        </w:rPr>
        <w:t>Section 38(2A) of the Act provides that personal data is exempt from disclosure where disclosure would contravene any of the data protection principles set out at Article 5(1) of the GDPR which states that:</w:t>
      </w:r>
    </w:p>
    <w:p w14:paraId="1DAB050A" w14:textId="77777777" w:rsidR="00273405" w:rsidRPr="00A4394D" w:rsidRDefault="00273405" w:rsidP="00273405">
      <w:pPr>
        <w:rPr>
          <w:color w:val="000000" w:themeColor="text1"/>
        </w:rPr>
      </w:pPr>
      <w:r w:rsidRPr="00A4394D">
        <w:rPr>
          <w:color w:val="000000" w:themeColor="text1"/>
        </w:rPr>
        <w:t>‘Personal data shall be processed lawfully, fairly and in a transparent manner in relation to the data subject’</w:t>
      </w:r>
    </w:p>
    <w:p w14:paraId="44ED145F" w14:textId="77777777" w:rsidR="00273405" w:rsidRPr="00A4394D" w:rsidRDefault="00273405" w:rsidP="00273405">
      <w:pPr>
        <w:rPr>
          <w:color w:val="000000" w:themeColor="text1"/>
        </w:rPr>
      </w:pPr>
      <w:r w:rsidRPr="00A4394D">
        <w:rPr>
          <w:color w:val="000000" w:themeColor="text1"/>
        </w:rPr>
        <w:t>Article 6 of the GDPR goes on to state that processing shall be lawful only if certain conditions are met.</w:t>
      </w:r>
    </w:p>
    <w:p w14:paraId="56334748" w14:textId="77777777" w:rsidR="00273405" w:rsidRPr="00A4394D" w:rsidRDefault="00273405" w:rsidP="00273405">
      <w:pPr>
        <w:rPr>
          <w:color w:val="000000" w:themeColor="text1"/>
        </w:rPr>
      </w:pPr>
      <w:r w:rsidRPr="00A4394D">
        <w:rPr>
          <w:color w:val="000000" w:themeColor="text1"/>
        </w:rPr>
        <w:t xml:space="preserve">The only potentially applicable condition is set out at Article 6(1)(f) which states: ‘Processing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08427152" w14:textId="77777777" w:rsidR="00273405" w:rsidRPr="00A4394D" w:rsidRDefault="00273405" w:rsidP="00273405">
      <w:pPr>
        <w:rPr>
          <w:color w:val="000000" w:themeColor="text1"/>
        </w:rPr>
      </w:pPr>
      <w:r w:rsidRPr="00A4394D">
        <w:rPr>
          <w:color w:val="000000" w:themeColor="text1"/>
        </w:rPr>
        <w:lastRenderedPageBreak/>
        <w:t xml:space="preserve">Whilst I accept that you may have a legitimate interest with regards the disclosure, I am nonetheless of the view that those interests are overridden by the interests or fundamental rights and freedoms of the data subject(s). </w:t>
      </w:r>
    </w:p>
    <w:p w14:paraId="78021A4C" w14:textId="4204E66F" w:rsidR="00273405" w:rsidRPr="00A4394D" w:rsidRDefault="00273405" w:rsidP="00273405">
      <w:pPr>
        <w:rPr>
          <w:color w:val="000000" w:themeColor="text1"/>
        </w:rPr>
      </w:pPr>
      <w:r w:rsidRPr="00A4394D">
        <w:rPr>
          <w:color w:val="000000" w:themeColor="text1"/>
        </w:rPr>
        <w:t xml:space="preserve">Accordingly, it is my view that disclosure of </w:t>
      </w:r>
      <w:r w:rsidR="00B974A2">
        <w:rPr>
          <w:color w:val="000000" w:themeColor="text1"/>
        </w:rPr>
        <w:t xml:space="preserve">staff names and identifiers, </w:t>
      </w:r>
      <w:r w:rsidR="004879D5" w:rsidRPr="00A4394D">
        <w:rPr>
          <w:color w:val="000000" w:themeColor="text1"/>
        </w:rPr>
        <w:t>within the guide would</w:t>
      </w:r>
      <w:r w:rsidRPr="00A4394D">
        <w:rPr>
          <w:color w:val="000000" w:themeColor="text1"/>
        </w:rPr>
        <w:t xml:space="preserve"> be unlawful.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625BA"/>
    <w:multiLevelType w:val="hybridMultilevel"/>
    <w:tmpl w:val="17F0B378"/>
    <w:lvl w:ilvl="0" w:tplc="7256ABB4">
      <w:start w:val="1"/>
      <w:numFmt w:val="bullet"/>
      <w:lvlText w:val="-"/>
      <w:lvlJc w:val="left"/>
      <w:pPr>
        <w:ind w:left="502" w:hanging="360"/>
      </w:pPr>
      <w:rPr>
        <w:rFonts w:ascii="Arial" w:hAnsi="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6129362F"/>
    <w:multiLevelType w:val="hybridMultilevel"/>
    <w:tmpl w:val="BF8CF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69792C"/>
    <w:multiLevelType w:val="multilevel"/>
    <w:tmpl w:val="DF60E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966618297">
    <w:abstractNumId w:val="2"/>
  </w:num>
  <w:num w:numId="3" w16cid:durableId="519583289">
    <w:abstractNumId w:val="1"/>
  </w:num>
  <w:num w:numId="4" w16cid:durableId="160183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B87"/>
    <w:rsid w:val="00090F3B"/>
    <w:rsid w:val="000E2F19"/>
    <w:rsid w:val="000E6526"/>
    <w:rsid w:val="001323A2"/>
    <w:rsid w:val="0013699E"/>
    <w:rsid w:val="00141533"/>
    <w:rsid w:val="00151DD0"/>
    <w:rsid w:val="00167528"/>
    <w:rsid w:val="00195CC4"/>
    <w:rsid w:val="001C4938"/>
    <w:rsid w:val="00207326"/>
    <w:rsid w:val="00230BD1"/>
    <w:rsid w:val="00253DF6"/>
    <w:rsid w:val="00255F1E"/>
    <w:rsid w:val="002656A2"/>
    <w:rsid w:val="00273405"/>
    <w:rsid w:val="002F5274"/>
    <w:rsid w:val="0033715C"/>
    <w:rsid w:val="0036503B"/>
    <w:rsid w:val="00376A4A"/>
    <w:rsid w:val="003D6D03"/>
    <w:rsid w:val="003E12CA"/>
    <w:rsid w:val="004010DC"/>
    <w:rsid w:val="004341F0"/>
    <w:rsid w:val="00455E14"/>
    <w:rsid w:val="00456324"/>
    <w:rsid w:val="00475460"/>
    <w:rsid w:val="004879D5"/>
    <w:rsid w:val="00490317"/>
    <w:rsid w:val="00491644"/>
    <w:rsid w:val="00496A08"/>
    <w:rsid w:val="004A3D77"/>
    <w:rsid w:val="004E1605"/>
    <w:rsid w:val="004F653C"/>
    <w:rsid w:val="00540A52"/>
    <w:rsid w:val="00546624"/>
    <w:rsid w:val="00557306"/>
    <w:rsid w:val="0057524F"/>
    <w:rsid w:val="005D3CDA"/>
    <w:rsid w:val="0060085E"/>
    <w:rsid w:val="00642223"/>
    <w:rsid w:val="00645CFA"/>
    <w:rsid w:val="00683C02"/>
    <w:rsid w:val="00685219"/>
    <w:rsid w:val="006B203B"/>
    <w:rsid w:val="006D5799"/>
    <w:rsid w:val="007440EA"/>
    <w:rsid w:val="00750D83"/>
    <w:rsid w:val="007616E3"/>
    <w:rsid w:val="00785DBC"/>
    <w:rsid w:val="00793DD5"/>
    <w:rsid w:val="007D55F6"/>
    <w:rsid w:val="007F490F"/>
    <w:rsid w:val="0082788C"/>
    <w:rsid w:val="0086779C"/>
    <w:rsid w:val="00874BFD"/>
    <w:rsid w:val="008846B0"/>
    <w:rsid w:val="008964EF"/>
    <w:rsid w:val="00915E01"/>
    <w:rsid w:val="00962C10"/>
    <w:rsid w:val="009631A4"/>
    <w:rsid w:val="00976B5E"/>
    <w:rsid w:val="00977296"/>
    <w:rsid w:val="00987250"/>
    <w:rsid w:val="00A04A7E"/>
    <w:rsid w:val="00A25E93"/>
    <w:rsid w:val="00A320FF"/>
    <w:rsid w:val="00A4394D"/>
    <w:rsid w:val="00A65D1E"/>
    <w:rsid w:val="00A70AC0"/>
    <w:rsid w:val="00A84EA9"/>
    <w:rsid w:val="00AC443C"/>
    <w:rsid w:val="00B033D6"/>
    <w:rsid w:val="00B11A55"/>
    <w:rsid w:val="00B17211"/>
    <w:rsid w:val="00B330EB"/>
    <w:rsid w:val="00B4470B"/>
    <w:rsid w:val="00B461B2"/>
    <w:rsid w:val="00B654B6"/>
    <w:rsid w:val="00B71B3C"/>
    <w:rsid w:val="00B974A2"/>
    <w:rsid w:val="00BB13B3"/>
    <w:rsid w:val="00BC389E"/>
    <w:rsid w:val="00BE1888"/>
    <w:rsid w:val="00BE4F44"/>
    <w:rsid w:val="00BF40C1"/>
    <w:rsid w:val="00BF6B81"/>
    <w:rsid w:val="00C049D1"/>
    <w:rsid w:val="00C077A8"/>
    <w:rsid w:val="00C14FF4"/>
    <w:rsid w:val="00C1679F"/>
    <w:rsid w:val="00C22FF9"/>
    <w:rsid w:val="00C46DFA"/>
    <w:rsid w:val="00C606A2"/>
    <w:rsid w:val="00C63872"/>
    <w:rsid w:val="00C71CB2"/>
    <w:rsid w:val="00C84948"/>
    <w:rsid w:val="00C94ED8"/>
    <w:rsid w:val="00CF1111"/>
    <w:rsid w:val="00D0181F"/>
    <w:rsid w:val="00D05706"/>
    <w:rsid w:val="00D27DC5"/>
    <w:rsid w:val="00D47E36"/>
    <w:rsid w:val="00D77D25"/>
    <w:rsid w:val="00DA1167"/>
    <w:rsid w:val="00DF3689"/>
    <w:rsid w:val="00E25AB4"/>
    <w:rsid w:val="00E55D79"/>
    <w:rsid w:val="00E73024"/>
    <w:rsid w:val="00EE2373"/>
    <w:rsid w:val="00EF0FBB"/>
    <w:rsid w:val="00EF4761"/>
    <w:rsid w:val="00FC2DA7"/>
    <w:rsid w:val="00FC3266"/>
    <w:rsid w:val="00FD65B4"/>
    <w:rsid w:val="00FE44E2"/>
    <w:rsid w:val="00FE6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71CB2"/>
    <w:rPr>
      <w:color w:val="605E5C"/>
      <w:shd w:val="clear" w:color="auto" w:fill="E1DFDD"/>
    </w:rPr>
  </w:style>
  <w:style w:type="character" w:styleId="FollowedHyperlink">
    <w:name w:val="FollowedHyperlink"/>
    <w:basedOn w:val="DefaultParagraphFont"/>
    <w:uiPriority w:val="99"/>
    <w:semiHidden/>
    <w:unhideWhenUsed/>
    <w:rsid w:val="005D3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8650">
      <w:bodyDiv w:val="1"/>
      <w:marLeft w:val="0"/>
      <w:marRight w:val="0"/>
      <w:marTop w:val="0"/>
      <w:marBottom w:val="0"/>
      <w:divBdr>
        <w:top w:val="none" w:sz="0" w:space="0" w:color="auto"/>
        <w:left w:val="none" w:sz="0" w:space="0" w:color="auto"/>
        <w:bottom w:val="none" w:sz="0" w:space="0" w:color="auto"/>
        <w:right w:val="none" w:sz="0" w:space="0" w:color="auto"/>
      </w:divBdr>
    </w:div>
    <w:div w:id="331297844">
      <w:bodyDiv w:val="1"/>
      <w:marLeft w:val="0"/>
      <w:marRight w:val="0"/>
      <w:marTop w:val="0"/>
      <w:marBottom w:val="0"/>
      <w:divBdr>
        <w:top w:val="none" w:sz="0" w:space="0" w:color="auto"/>
        <w:left w:val="none" w:sz="0" w:space="0" w:color="auto"/>
        <w:bottom w:val="none" w:sz="0" w:space="0" w:color="auto"/>
        <w:right w:val="none" w:sz="0" w:space="0" w:color="auto"/>
      </w:divBdr>
    </w:div>
    <w:div w:id="1575701518">
      <w:bodyDiv w:val="1"/>
      <w:marLeft w:val="0"/>
      <w:marRight w:val="0"/>
      <w:marTop w:val="0"/>
      <w:marBottom w:val="0"/>
      <w:divBdr>
        <w:top w:val="none" w:sz="0" w:space="0" w:color="auto"/>
        <w:left w:val="none" w:sz="0" w:space="0" w:color="auto"/>
        <w:bottom w:val="none" w:sz="0" w:space="0" w:color="auto"/>
        <w:right w:val="none" w:sz="0" w:space="0" w:color="auto"/>
      </w:divBdr>
    </w:div>
    <w:div w:id="1736126209">
      <w:bodyDiv w:val="1"/>
      <w:marLeft w:val="0"/>
      <w:marRight w:val="0"/>
      <w:marTop w:val="0"/>
      <w:marBottom w:val="0"/>
      <w:divBdr>
        <w:top w:val="none" w:sz="0" w:space="0" w:color="auto"/>
        <w:left w:val="none" w:sz="0" w:space="0" w:color="auto"/>
        <w:bottom w:val="none" w:sz="0" w:space="0" w:color="auto"/>
        <w:right w:val="none" w:sz="0" w:space="0" w:color="auto"/>
      </w:divBdr>
    </w:div>
    <w:div w:id="1798185279">
      <w:bodyDiv w:val="1"/>
      <w:marLeft w:val="0"/>
      <w:marRight w:val="0"/>
      <w:marTop w:val="0"/>
      <w:marBottom w:val="0"/>
      <w:divBdr>
        <w:top w:val="none" w:sz="0" w:space="0" w:color="auto"/>
        <w:left w:val="none" w:sz="0" w:space="0" w:color="auto"/>
        <w:bottom w:val="none" w:sz="0" w:space="0" w:color="auto"/>
        <w:right w:val="none" w:sz="0" w:space="0" w:color="auto"/>
      </w:divBdr>
    </w:div>
    <w:div w:id="19654261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786</Words>
  <Characters>4484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