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4646A0C" w:rsidR="00B17211" w:rsidRPr="00B17211" w:rsidRDefault="00B17211" w:rsidP="007F490F">
            <w:r w:rsidRPr="007F490F">
              <w:rPr>
                <w:rStyle w:val="Heading2Char"/>
              </w:rPr>
              <w:t>Our reference:</w:t>
            </w:r>
            <w:r>
              <w:t xml:space="preserve">  FOI 2</w:t>
            </w:r>
            <w:r w:rsidR="00EF0FBB">
              <w:t>5</w:t>
            </w:r>
            <w:r>
              <w:t>-</w:t>
            </w:r>
            <w:r w:rsidR="0019469A">
              <w:t>0852</w:t>
            </w:r>
          </w:p>
          <w:p w14:paraId="34BDABA6" w14:textId="3B736A2A" w:rsidR="00B17211" w:rsidRDefault="00456324" w:rsidP="00EE2373">
            <w:r w:rsidRPr="007F490F">
              <w:rPr>
                <w:rStyle w:val="Heading2Char"/>
              </w:rPr>
              <w:t>Respon</w:t>
            </w:r>
            <w:r w:rsidR="007D55F6">
              <w:rPr>
                <w:rStyle w:val="Heading2Char"/>
              </w:rPr>
              <w:t>ded to:</w:t>
            </w:r>
            <w:r w:rsidR="007F490F">
              <w:t xml:space="preserve">  </w:t>
            </w:r>
            <w:r w:rsidR="00E36774">
              <w:t>02</w:t>
            </w:r>
            <w:r w:rsidR="006D5799">
              <w:t xml:space="preserve"> </w:t>
            </w:r>
            <w:r w:rsidR="00E36774">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23AF25" w14:textId="4AF65F98" w:rsidR="0019469A" w:rsidRPr="0019469A" w:rsidRDefault="0019469A" w:rsidP="0019469A">
      <w:pPr>
        <w:numPr>
          <w:ilvl w:val="0"/>
          <w:numId w:val="2"/>
        </w:numPr>
        <w:tabs>
          <w:tab w:val="left" w:pos="5400"/>
        </w:tabs>
        <w:rPr>
          <w:rFonts w:eastAsiaTheme="majorEastAsia" w:cstheme="majorBidi"/>
          <w:b/>
          <w:color w:val="000000" w:themeColor="text1"/>
          <w:szCs w:val="26"/>
        </w:rPr>
      </w:pPr>
      <w:r w:rsidRPr="0019469A">
        <w:rPr>
          <w:rFonts w:eastAsiaTheme="majorEastAsia" w:cstheme="majorBidi"/>
          <w:b/>
          <w:color w:val="000000" w:themeColor="text1"/>
          <w:szCs w:val="26"/>
        </w:rPr>
        <w:t>The total cost of policing football matches in Scotland during 2024, 2023, 2022 (to include the costs of policing inside stadiums and land owned by clubs, as well as the costs of managing travelling supporters or maintaining order outside grounds).</w:t>
      </w:r>
    </w:p>
    <w:p w14:paraId="460319C6" w14:textId="77777777" w:rsidR="0019469A" w:rsidRPr="0019469A" w:rsidRDefault="0019469A" w:rsidP="0019469A">
      <w:pPr>
        <w:numPr>
          <w:ilvl w:val="0"/>
          <w:numId w:val="2"/>
        </w:numPr>
        <w:tabs>
          <w:tab w:val="left" w:pos="5400"/>
        </w:tabs>
        <w:rPr>
          <w:rFonts w:eastAsiaTheme="majorEastAsia" w:cstheme="majorBidi"/>
          <w:b/>
          <w:color w:val="000000" w:themeColor="text1"/>
          <w:szCs w:val="26"/>
        </w:rPr>
      </w:pPr>
      <w:r w:rsidRPr="0019469A">
        <w:rPr>
          <w:rFonts w:eastAsiaTheme="majorEastAsia" w:cstheme="majorBidi"/>
          <w:b/>
          <w:color w:val="000000" w:themeColor="text1"/>
          <w:szCs w:val="26"/>
        </w:rPr>
        <w:t xml:space="preserve">A breakdown of who has met these costs in each of those years </w:t>
      </w:r>
      <w:proofErr w:type="gramStart"/>
      <w:r w:rsidRPr="0019469A">
        <w:rPr>
          <w:rFonts w:eastAsiaTheme="majorEastAsia" w:cstheme="majorBidi"/>
          <w:b/>
          <w:color w:val="000000" w:themeColor="text1"/>
          <w:szCs w:val="26"/>
        </w:rPr>
        <w:t>by:</w:t>
      </w:r>
      <w:proofErr w:type="gramEnd"/>
      <w:r w:rsidRPr="0019469A">
        <w:rPr>
          <w:rFonts w:eastAsiaTheme="majorEastAsia" w:cstheme="majorBidi"/>
          <w:b/>
          <w:color w:val="000000" w:themeColor="text1"/>
          <w:szCs w:val="26"/>
        </w:rPr>
        <w:t xml:space="preserve"> a) Police Scotland; b) football clubs; c) local authorities; d) others</w:t>
      </w:r>
    </w:p>
    <w:p w14:paraId="0FF6DC3A" w14:textId="77777777" w:rsidR="006E0DF8" w:rsidRDefault="006E0DF8" w:rsidP="00793DD5">
      <w:pPr>
        <w:tabs>
          <w:tab w:val="left" w:pos="5400"/>
        </w:tabs>
      </w:pPr>
      <w:r w:rsidRPr="006E0DF8">
        <w:t xml:space="preserve">Unfortunately, I estimate that it would cost well </w:t>
      </w:r>
      <w:proofErr w:type="gramStart"/>
      <w:r w:rsidRPr="006E0DF8">
        <w:t>in excess of</w:t>
      </w:r>
      <w:proofErr w:type="gramEnd"/>
      <w:r w:rsidRPr="006E0DF8">
        <w:t xml:space="preserve"> the current FOI cost threshold of £600 to process your request.  I am therefore refusing to provide the information sought in terms of section 12(1) of the Act - Excessive Cost of Compliance.</w:t>
      </w:r>
    </w:p>
    <w:p w14:paraId="742CF2FB" w14:textId="6126304E" w:rsidR="006E0DF8" w:rsidRDefault="006E0DF8" w:rsidP="006E0DF8">
      <w:pPr>
        <w:tabs>
          <w:tab w:val="left" w:pos="5400"/>
        </w:tabs>
      </w:pPr>
      <w:r w:rsidRPr="006E0DF8">
        <w:t xml:space="preserve">To explain, we are generally unable to provide the true cost of any police investigation/ operation or </w:t>
      </w:r>
      <w:proofErr w:type="gramStart"/>
      <w:r w:rsidRPr="006E0DF8">
        <w:t>particular type of event</w:t>
      </w:r>
      <w:proofErr w:type="gramEnd"/>
      <w:r w:rsidRPr="006E0DF8">
        <w:t xml:space="preserve">. The nature of policing means that officers are deployed to wherever their services are most required, and the number of officers required throughout will fluctuate.  Officers can also be redeployed to other duties at any time, dependant on their skillsets.  </w:t>
      </w:r>
    </w:p>
    <w:p w14:paraId="72288513" w14:textId="6C6EAC98" w:rsidR="006E0DF8" w:rsidRPr="006E0DF8" w:rsidRDefault="006E0DF8" w:rsidP="006E0DF8">
      <w:pPr>
        <w:tabs>
          <w:tab w:val="left" w:pos="5400"/>
        </w:tabs>
      </w:pPr>
      <w:r w:rsidRPr="006E0DF8">
        <w:t>To be of assistance, I can provide the total cost recovery billed to football clubs</w:t>
      </w:r>
      <w:r w:rsidR="00E36774">
        <w:t xml:space="preserve"> and advise that </w:t>
      </w:r>
      <w:r w:rsidR="00E36774" w:rsidRPr="00E36774">
        <w:t xml:space="preserve">Local Authorities do not meet any of the </w:t>
      </w:r>
      <w:r w:rsidR="00E36774" w:rsidRPr="00E36774">
        <w:t>associated</w:t>
      </w:r>
      <w:r w:rsidR="00E36774" w:rsidRPr="00E36774">
        <w:t xml:space="preserve"> costs. </w:t>
      </w:r>
    </w:p>
    <w:p w14:paraId="2B2211BC" w14:textId="48976C01" w:rsidR="003004FD" w:rsidRPr="00F91D7E" w:rsidRDefault="00806A0C" w:rsidP="00793DD5">
      <w:pPr>
        <w:tabs>
          <w:tab w:val="left" w:pos="5400"/>
        </w:tabs>
        <w:rPr>
          <w:i/>
          <w:iCs/>
        </w:rPr>
      </w:pPr>
      <w:r w:rsidRPr="00F91D7E">
        <w:rPr>
          <w:i/>
          <w:iCs/>
        </w:rPr>
        <w:t>Table:</w:t>
      </w:r>
      <w:r w:rsidR="00F91D7E" w:rsidRPr="00F91D7E">
        <w:rPr>
          <w:i/>
          <w:iCs/>
        </w:rPr>
        <w:t xml:space="preserve"> Total cost recovery billed to football clubs – financial years 2021/22 – 2024/25</w:t>
      </w:r>
      <w:r w:rsidR="00F91D7E">
        <w:rPr>
          <w:i/>
          <w:iCs/>
        </w:rPr>
        <w:t xml:space="preserve"> (to date)</w:t>
      </w:r>
    </w:p>
    <w:tbl>
      <w:tblPr>
        <w:tblStyle w:val="TableGrid"/>
        <w:tblW w:w="7062" w:type="dxa"/>
        <w:tblLook w:val="04A0" w:firstRow="1" w:lastRow="0" w:firstColumn="1" w:lastColumn="0" w:noHBand="0" w:noVBand="1"/>
        <w:tblCaption w:val="Table: Total cost recovery billed to football clubs – financial years 2021/22 – 2024/25"/>
        <w:tblDescription w:val="Table: Total cost recovery billed to football clubs – financial years 2021/22 – 2024/25"/>
      </w:tblPr>
      <w:tblGrid>
        <w:gridCol w:w="1898"/>
        <w:gridCol w:w="5164"/>
      </w:tblGrid>
      <w:tr w:rsidR="00F91D7E" w:rsidRPr="00557306" w14:paraId="35D8B7A6" w14:textId="77777777" w:rsidTr="00F91D7E">
        <w:trPr>
          <w:tblHeader/>
        </w:trPr>
        <w:tc>
          <w:tcPr>
            <w:tcW w:w="1898" w:type="dxa"/>
            <w:shd w:val="clear" w:color="auto" w:fill="D9D9D9" w:themeFill="background1" w:themeFillShade="D9"/>
          </w:tcPr>
          <w:p w14:paraId="3FE5E84E" w14:textId="1625851F" w:rsidR="00F91D7E" w:rsidRPr="00557306" w:rsidRDefault="00F91D7E" w:rsidP="00D6440F">
            <w:pPr>
              <w:spacing w:line="240" w:lineRule="auto"/>
              <w:rPr>
                <w:b/>
              </w:rPr>
            </w:pPr>
            <w:r>
              <w:rPr>
                <w:b/>
              </w:rPr>
              <w:t>Financial Year</w:t>
            </w:r>
          </w:p>
        </w:tc>
        <w:tc>
          <w:tcPr>
            <w:tcW w:w="5164" w:type="dxa"/>
            <w:shd w:val="clear" w:color="auto" w:fill="D9D9D9" w:themeFill="background1" w:themeFillShade="D9"/>
          </w:tcPr>
          <w:p w14:paraId="720DD8EA" w14:textId="5A35BE3E" w:rsidR="00F91D7E" w:rsidRPr="00557306" w:rsidRDefault="00F91D7E" w:rsidP="00D6440F">
            <w:pPr>
              <w:spacing w:line="240" w:lineRule="auto"/>
              <w:rPr>
                <w:b/>
              </w:rPr>
            </w:pPr>
            <w:r>
              <w:rPr>
                <w:b/>
              </w:rPr>
              <w:t>Total cost recovery billed to football clubs</w:t>
            </w:r>
          </w:p>
        </w:tc>
      </w:tr>
      <w:tr w:rsidR="00F91D7E" w14:paraId="009480DA" w14:textId="77777777" w:rsidTr="00F91D7E">
        <w:tc>
          <w:tcPr>
            <w:tcW w:w="1898" w:type="dxa"/>
          </w:tcPr>
          <w:p w14:paraId="560A1A3E" w14:textId="6F12058F" w:rsidR="00F91D7E" w:rsidRDefault="00F91D7E" w:rsidP="00D6440F">
            <w:pPr>
              <w:tabs>
                <w:tab w:val="left" w:pos="5400"/>
              </w:tabs>
              <w:spacing w:line="240" w:lineRule="auto"/>
            </w:pPr>
            <w:r>
              <w:t xml:space="preserve">2021-22 </w:t>
            </w:r>
          </w:p>
        </w:tc>
        <w:tc>
          <w:tcPr>
            <w:tcW w:w="5164" w:type="dxa"/>
          </w:tcPr>
          <w:p w14:paraId="5C9DAC8A" w14:textId="63C8ED6E" w:rsidR="00F91D7E" w:rsidRDefault="00F91D7E" w:rsidP="00D6440F">
            <w:pPr>
              <w:tabs>
                <w:tab w:val="left" w:pos="5400"/>
              </w:tabs>
              <w:spacing w:line="240" w:lineRule="auto"/>
            </w:pPr>
            <w:r>
              <w:t>£1,866,182</w:t>
            </w:r>
          </w:p>
        </w:tc>
      </w:tr>
      <w:tr w:rsidR="00F91D7E" w14:paraId="3E5FFDFD" w14:textId="77777777" w:rsidTr="00F91D7E">
        <w:tc>
          <w:tcPr>
            <w:tcW w:w="1898" w:type="dxa"/>
          </w:tcPr>
          <w:p w14:paraId="172F2AF8" w14:textId="0C8D9B20" w:rsidR="00F91D7E" w:rsidRDefault="00F91D7E" w:rsidP="00D6440F">
            <w:pPr>
              <w:tabs>
                <w:tab w:val="left" w:pos="5400"/>
              </w:tabs>
              <w:spacing w:line="240" w:lineRule="auto"/>
            </w:pPr>
            <w:r>
              <w:t>2022-23</w:t>
            </w:r>
          </w:p>
        </w:tc>
        <w:tc>
          <w:tcPr>
            <w:tcW w:w="5164" w:type="dxa"/>
          </w:tcPr>
          <w:p w14:paraId="07901AC7" w14:textId="51DBB64E" w:rsidR="00F91D7E" w:rsidRDefault="00F91D7E" w:rsidP="00D6440F">
            <w:pPr>
              <w:tabs>
                <w:tab w:val="left" w:pos="5400"/>
              </w:tabs>
              <w:spacing w:line="240" w:lineRule="auto"/>
            </w:pPr>
            <w:r>
              <w:t>£2,117,502</w:t>
            </w:r>
          </w:p>
        </w:tc>
      </w:tr>
      <w:tr w:rsidR="00F91D7E" w14:paraId="7C36B39D" w14:textId="77777777" w:rsidTr="00F91D7E">
        <w:tc>
          <w:tcPr>
            <w:tcW w:w="1898" w:type="dxa"/>
          </w:tcPr>
          <w:p w14:paraId="0CBBFB48" w14:textId="3817138A" w:rsidR="00F91D7E" w:rsidRDefault="00F91D7E" w:rsidP="00D6440F">
            <w:pPr>
              <w:tabs>
                <w:tab w:val="left" w:pos="5400"/>
              </w:tabs>
              <w:spacing w:line="240" w:lineRule="auto"/>
            </w:pPr>
            <w:r>
              <w:t>2023-24</w:t>
            </w:r>
          </w:p>
        </w:tc>
        <w:tc>
          <w:tcPr>
            <w:tcW w:w="5164" w:type="dxa"/>
          </w:tcPr>
          <w:p w14:paraId="22A3AD29" w14:textId="1CE00F66" w:rsidR="00F91D7E" w:rsidRDefault="00F91D7E" w:rsidP="00D6440F">
            <w:pPr>
              <w:tabs>
                <w:tab w:val="left" w:pos="5400"/>
              </w:tabs>
              <w:spacing w:line="240" w:lineRule="auto"/>
            </w:pPr>
            <w:r>
              <w:t>£2,422,928</w:t>
            </w:r>
          </w:p>
        </w:tc>
      </w:tr>
      <w:tr w:rsidR="00F91D7E" w14:paraId="060F508B" w14:textId="77777777" w:rsidTr="00F91D7E">
        <w:tc>
          <w:tcPr>
            <w:tcW w:w="1898" w:type="dxa"/>
          </w:tcPr>
          <w:p w14:paraId="5995974D" w14:textId="004B9138" w:rsidR="00F91D7E" w:rsidRDefault="00F91D7E" w:rsidP="00D6440F">
            <w:pPr>
              <w:tabs>
                <w:tab w:val="left" w:pos="5400"/>
              </w:tabs>
              <w:spacing w:line="240" w:lineRule="auto"/>
            </w:pPr>
            <w:r>
              <w:t>2024-25</w:t>
            </w:r>
          </w:p>
        </w:tc>
        <w:tc>
          <w:tcPr>
            <w:tcW w:w="5164" w:type="dxa"/>
          </w:tcPr>
          <w:p w14:paraId="5ADA5C2F" w14:textId="7C9000F1" w:rsidR="00F91D7E" w:rsidRDefault="00F91D7E" w:rsidP="00D6440F">
            <w:pPr>
              <w:tabs>
                <w:tab w:val="left" w:pos="5400"/>
              </w:tabs>
              <w:spacing w:line="240" w:lineRule="auto"/>
            </w:pPr>
            <w:r>
              <w:t>£2,149,347</w:t>
            </w:r>
          </w:p>
        </w:tc>
      </w:tr>
      <w:tr w:rsidR="00F91D7E" w14:paraId="3802671B" w14:textId="77777777" w:rsidTr="00F91D7E">
        <w:tc>
          <w:tcPr>
            <w:tcW w:w="1898" w:type="dxa"/>
          </w:tcPr>
          <w:p w14:paraId="04110F29" w14:textId="29E6C2F5" w:rsidR="00F91D7E" w:rsidRPr="00F91D7E" w:rsidRDefault="00F91D7E" w:rsidP="00D6440F">
            <w:pPr>
              <w:tabs>
                <w:tab w:val="left" w:pos="5400"/>
              </w:tabs>
              <w:spacing w:line="240" w:lineRule="auto"/>
              <w:rPr>
                <w:b/>
                <w:bCs/>
              </w:rPr>
            </w:pPr>
            <w:r w:rsidRPr="00F91D7E">
              <w:rPr>
                <w:b/>
                <w:bCs/>
              </w:rPr>
              <w:lastRenderedPageBreak/>
              <w:t>Total</w:t>
            </w:r>
          </w:p>
        </w:tc>
        <w:tc>
          <w:tcPr>
            <w:tcW w:w="5164" w:type="dxa"/>
          </w:tcPr>
          <w:p w14:paraId="1D7F4EE5" w14:textId="6EA1546E" w:rsidR="00F91D7E" w:rsidRPr="00F91D7E" w:rsidRDefault="00F91D7E" w:rsidP="00D6440F">
            <w:pPr>
              <w:tabs>
                <w:tab w:val="left" w:pos="5400"/>
              </w:tabs>
              <w:spacing w:line="240" w:lineRule="auto"/>
              <w:rPr>
                <w:b/>
                <w:bCs/>
              </w:rPr>
            </w:pPr>
            <w:r>
              <w:rPr>
                <w:b/>
                <w:bCs/>
              </w:rPr>
              <w:t>£8,555,959</w:t>
            </w:r>
          </w:p>
        </w:tc>
      </w:tr>
    </w:tbl>
    <w:p w14:paraId="2DFA35AC" w14:textId="6D00A324" w:rsidR="000778A1" w:rsidRDefault="000778A1" w:rsidP="00793DD5">
      <w:pPr>
        <w:tabs>
          <w:tab w:val="left" w:pos="5400"/>
        </w:tabs>
      </w:pPr>
    </w:p>
    <w:p w14:paraId="71006991" w14:textId="77777777" w:rsidR="00E36774" w:rsidRPr="00B11A55" w:rsidRDefault="00E36774"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B7D09"/>
    <w:multiLevelType w:val="hybridMultilevel"/>
    <w:tmpl w:val="1AFE0B6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019042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8A1"/>
    <w:rsid w:val="00090F3B"/>
    <w:rsid w:val="000E2F19"/>
    <w:rsid w:val="000E6526"/>
    <w:rsid w:val="00141533"/>
    <w:rsid w:val="00167528"/>
    <w:rsid w:val="0019469A"/>
    <w:rsid w:val="00195CC4"/>
    <w:rsid w:val="00201042"/>
    <w:rsid w:val="00205659"/>
    <w:rsid w:val="00207326"/>
    <w:rsid w:val="00253DF6"/>
    <w:rsid w:val="00255F1E"/>
    <w:rsid w:val="003004FD"/>
    <w:rsid w:val="00310520"/>
    <w:rsid w:val="0036503B"/>
    <w:rsid w:val="00376A4A"/>
    <w:rsid w:val="003D6D03"/>
    <w:rsid w:val="003E12CA"/>
    <w:rsid w:val="004010DC"/>
    <w:rsid w:val="004164D9"/>
    <w:rsid w:val="004341F0"/>
    <w:rsid w:val="00456324"/>
    <w:rsid w:val="00475460"/>
    <w:rsid w:val="00490317"/>
    <w:rsid w:val="00491644"/>
    <w:rsid w:val="00496A08"/>
    <w:rsid w:val="004B3EC8"/>
    <w:rsid w:val="004E1605"/>
    <w:rsid w:val="004F653C"/>
    <w:rsid w:val="00540A52"/>
    <w:rsid w:val="00557306"/>
    <w:rsid w:val="005648AA"/>
    <w:rsid w:val="005B3882"/>
    <w:rsid w:val="00636B5D"/>
    <w:rsid w:val="00645CFA"/>
    <w:rsid w:val="00676275"/>
    <w:rsid w:val="00685219"/>
    <w:rsid w:val="006B5832"/>
    <w:rsid w:val="006D5799"/>
    <w:rsid w:val="006E0DF8"/>
    <w:rsid w:val="00715B28"/>
    <w:rsid w:val="007440EA"/>
    <w:rsid w:val="00750D83"/>
    <w:rsid w:val="00785DBC"/>
    <w:rsid w:val="00793DD5"/>
    <w:rsid w:val="007D55F6"/>
    <w:rsid w:val="007F490F"/>
    <w:rsid w:val="00806A0C"/>
    <w:rsid w:val="00833C93"/>
    <w:rsid w:val="0086779C"/>
    <w:rsid w:val="00874BFD"/>
    <w:rsid w:val="008964EF"/>
    <w:rsid w:val="0089744F"/>
    <w:rsid w:val="008B12B6"/>
    <w:rsid w:val="008D62C0"/>
    <w:rsid w:val="008F5D43"/>
    <w:rsid w:val="00915E01"/>
    <w:rsid w:val="009631A4"/>
    <w:rsid w:val="00977296"/>
    <w:rsid w:val="009A7CE4"/>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1C5C"/>
    <w:rsid w:val="00C63872"/>
    <w:rsid w:val="00C80E4E"/>
    <w:rsid w:val="00C84948"/>
    <w:rsid w:val="00C94ED8"/>
    <w:rsid w:val="00CF1111"/>
    <w:rsid w:val="00D05706"/>
    <w:rsid w:val="00D27DC5"/>
    <w:rsid w:val="00D47E36"/>
    <w:rsid w:val="00E36774"/>
    <w:rsid w:val="00E55D79"/>
    <w:rsid w:val="00EE2373"/>
    <w:rsid w:val="00EF0FBB"/>
    <w:rsid w:val="00EF4761"/>
    <w:rsid w:val="00F3210F"/>
    <w:rsid w:val="00F91D7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925377">
      <w:bodyDiv w:val="1"/>
      <w:marLeft w:val="0"/>
      <w:marRight w:val="0"/>
      <w:marTop w:val="0"/>
      <w:marBottom w:val="0"/>
      <w:divBdr>
        <w:top w:val="none" w:sz="0" w:space="0" w:color="auto"/>
        <w:left w:val="none" w:sz="0" w:space="0" w:color="auto"/>
        <w:bottom w:val="none" w:sz="0" w:space="0" w:color="auto"/>
        <w:right w:val="none" w:sz="0" w:space="0" w:color="auto"/>
      </w:divBdr>
    </w:div>
    <w:div w:id="1246185209">
      <w:bodyDiv w:val="1"/>
      <w:marLeft w:val="0"/>
      <w:marRight w:val="0"/>
      <w:marTop w:val="0"/>
      <w:marBottom w:val="0"/>
      <w:divBdr>
        <w:top w:val="none" w:sz="0" w:space="0" w:color="auto"/>
        <w:left w:val="none" w:sz="0" w:space="0" w:color="auto"/>
        <w:bottom w:val="none" w:sz="0" w:space="0" w:color="auto"/>
        <w:right w:val="none" w:sz="0" w:space="0" w:color="auto"/>
      </w:divBdr>
    </w:div>
    <w:div w:id="1514685726">
      <w:bodyDiv w:val="1"/>
      <w:marLeft w:val="0"/>
      <w:marRight w:val="0"/>
      <w:marTop w:val="0"/>
      <w:marBottom w:val="0"/>
      <w:divBdr>
        <w:top w:val="none" w:sz="0" w:space="0" w:color="auto"/>
        <w:left w:val="none" w:sz="0" w:space="0" w:color="auto"/>
        <w:bottom w:val="none" w:sz="0" w:space="0" w:color="auto"/>
        <w:right w:val="none" w:sz="0" w:space="0" w:color="auto"/>
      </w:divBdr>
    </w:div>
    <w:div w:id="17405170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415</Words>
  <Characters>2370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