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0B49F5" w:rsidR="00B17211" w:rsidRPr="00B17211" w:rsidRDefault="00B17211" w:rsidP="007F490F">
            <w:r w:rsidRPr="007F490F">
              <w:rPr>
                <w:rStyle w:val="Heading2Char"/>
              </w:rPr>
              <w:t>Our reference:</w:t>
            </w:r>
            <w:r>
              <w:t xml:space="preserve">  FOI 2</w:t>
            </w:r>
            <w:r w:rsidR="00AC443C">
              <w:t>3</w:t>
            </w:r>
            <w:r w:rsidR="007A5951">
              <w:t>-3117</w:t>
            </w:r>
          </w:p>
          <w:p w14:paraId="34BDABA6" w14:textId="27DC8B6E" w:rsidR="00B17211" w:rsidRDefault="00456324" w:rsidP="00EE2373">
            <w:r w:rsidRPr="007F490F">
              <w:rPr>
                <w:rStyle w:val="Heading2Char"/>
              </w:rPr>
              <w:t>Respon</w:t>
            </w:r>
            <w:r w:rsidR="007D55F6">
              <w:rPr>
                <w:rStyle w:val="Heading2Char"/>
              </w:rPr>
              <w:t>ded to:</w:t>
            </w:r>
            <w:r w:rsidR="007F490F">
              <w:t xml:space="preserve">  </w:t>
            </w:r>
            <w:r w:rsidR="000609E8">
              <w:t>3 January 2024</w:t>
            </w:r>
          </w:p>
        </w:tc>
      </w:tr>
    </w:tbl>
    <w:p w14:paraId="647858A1" w14:textId="77777777" w:rsidR="007A5951" w:rsidRDefault="00793DD5" w:rsidP="007A5951">
      <w:r w:rsidRPr="00793DD5">
        <w:t xml:space="preserve">Your recent request for information is replicated below, together with </w:t>
      </w:r>
      <w:r w:rsidR="004341F0">
        <w:t>our</w:t>
      </w:r>
      <w:r w:rsidRPr="00793DD5">
        <w:t xml:space="preserve"> response.</w:t>
      </w:r>
    </w:p>
    <w:p w14:paraId="3155C71F" w14:textId="275B6849" w:rsidR="007A5951" w:rsidRDefault="007A5951" w:rsidP="0094515F">
      <w:pPr>
        <w:pStyle w:val="Heading2"/>
        <w:numPr>
          <w:ilvl w:val="0"/>
          <w:numId w:val="5"/>
        </w:numPr>
      </w:pPr>
      <w:r>
        <w:t>Information including sight of any written or electronic communication detailing any records of other accidents which have occurred on the unnamed stretch of road near Auchmuirbridge, Glenrothes which is situated on a latitude of 56.194203 and a longitude of -3.264195 from the 10 October 2016 until the present date.</w:t>
      </w:r>
    </w:p>
    <w:p w14:paraId="087E17AD" w14:textId="6E8719F2" w:rsidR="007A5951" w:rsidRDefault="007A5951" w:rsidP="0094515F">
      <w:pPr>
        <w:pStyle w:val="Heading2"/>
        <w:numPr>
          <w:ilvl w:val="0"/>
          <w:numId w:val="5"/>
        </w:numPr>
      </w:pPr>
      <w:r>
        <w:t xml:space="preserve">Information including sight of any written or electronic communication detailing all reported near misses on the unnamed stretch of road near Auchmuirbridge, Glenrothes which is situated on a latitude of 56.194203 and a longitude of -3.264195 from the 10 October 2016 until the present date. </w:t>
      </w:r>
    </w:p>
    <w:p w14:paraId="155BF64C" w14:textId="4FFB5C56" w:rsidR="007A5951" w:rsidRDefault="007A5951" w:rsidP="0094515F">
      <w:pPr>
        <w:pStyle w:val="Heading2"/>
        <w:numPr>
          <w:ilvl w:val="0"/>
          <w:numId w:val="5"/>
        </w:numPr>
      </w:pPr>
      <w:r w:rsidRPr="00D82D9F">
        <w:t xml:space="preserve">Information including sight of any written or electronic communication detailing </w:t>
      </w:r>
      <w:r>
        <w:t xml:space="preserve">any complaints on the layout/set-up of </w:t>
      </w:r>
      <w:r w:rsidRPr="00D6358D">
        <w:t>the unnamed stretch of road near Auchmuirbridge, Glenrothes which</w:t>
      </w:r>
      <w:r>
        <w:t xml:space="preserve"> is</w:t>
      </w:r>
      <w:r w:rsidRPr="00D6358D">
        <w:t xml:space="preserve"> situated on a latitude of 56.194203 and a longitude of -3.264195</w:t>
      </w:r>
      <w:r>
        <w:t xml:space="preserve"> from the 10 October 2016 until the present date. </w:t>
      </w:r>
    </w:p>
    <w:p w14:paraId="70E72F78" w14:textId="74407E0C" w:rsidR="0094515F" w:rsidRPr="00453F0A" w:rsidRDefault="002B308E" w:rsidP="001D720D">
      <w:r>
        <w:t xml:space="preserve">Firstly, with regards to providing any </w:t>
      </w:r>
      <w:r w:rsidR="0094515F">
        <w:t>‘</w:t>
      </w:r>
      <w:r>
        <w:t xml:space="preserve">written or electronic </w:t>
      </w:r>
      <w:r w:rsidR="00A52891">
        <w:t>communication</w:t>
      </w:r>
      <w:r w:rsidR="0094515F">
        <w:t>’</w:t>
      </w:r>
      <w:r w:rsidR="00A52891">
        <w:t xml:space="preserve"> </w:t>
      </w:r>
      <w:r w:rsidR="0094515F">
        <w:t>regarding the above,</w:t>
      </w:r>
      <w:r w:rsidR="0094515F" w:rsidRPr="00453F0A">
        <w:t xml:space="preserve"> I estimate that it would cost well in excess</w:t>
      </w:r>
      <w:r w:rsidR="0094515F">
        <w:t xml:space="preserve"> of</w:t>
      </w:r>
      <w:r w:rsidR="0094515F" w:rsidRPr="00453F0A">
        <w:t xml:space="preserve"> </w:t>
      </w:r>
      <w:r w:rsidR="0094515F">
        <w:t>t</w:t>
      </w:r>
      <w:r w:rsidR="0094515F" w:rsidRPr="00453F0A">
        <w:t xml:space="preserve">he </w:t>
      </w:r>
      <w:r w:rsidR="0094515F" w:rsidRPr="00982D19">
        <w:t>current FOI cost threshold</w:t>
      </w:r>
      <w:r w:rsidR="0094515F">
        <w:t xml:space="preserve"> of </w:t>
      </w:r>
      <w:r w:rsidR="0094515F" w:rsidRPr="00453F0A">
        <w:t>£600</w:t>
      </w:r>
      <w:r w:rsidR="0094515F">
        <w:t xml:space="preserve"> to process your request.  I am therefore refusing to provide the information sought in terms of s</w:t>
      </w:r>
      <w:r w:rsidR="0094515F" w:rsidRPr="00453F0A">
        <w:t xml:space="preserve">ection 12(1) </w:t>
      </w:r>
      <w:r w:rsidR="0094515F">
        <w:t xml:space="preserve">- </w:t>
      </w:r>
      <w:r w:rsidR="0094515F" w:rsidRPr="00453F0A">
        <w:t>Excessive Cost of Compliance.</w:t>
      </w:r>
    </w:p>
    <w:p w14:paraId="5639E7FD" w14:textId="6DFE5EDD" w:rsidR="002B308E" w:rsidRDefault="0094515F" w:rsidP="002B308E">
      <w:r>
        <w:t>To explain,</w:t>
      </w:r>
      <w:r w:rsidR="002B308E">
        <w:t xml:space="preserve"> </w:t>
      </w:r>
      <w:r w:rsidR="002B308E" w:rsidRPr="00843754">
        <w:t>we would</w:t>
      </w:r>
      <w:r>
        <w:t>, as a minimum,</w:t>
      </w:r>
      <w:r w:rsidR="002B308E" w:rsidRPr="00843754">
        <w:t xml:space="preserve"> need to ask all Officers w</w:t>
      </w:r>
      <w:r w:rsidR="002B308E">
        <w:t>ho worked within th</w:t>
      </w:r>
      <w:r>
        <w:t>e</w:t>
      </w:r>
      <w:r w:rsidR="002B308E">
        <w:t xml:space="preserve"> division</w:t>
      </w:r>
      <w:r w:rsidR="002B308E" w:rsidRPr="00843754">
        <w:t xml:space="preserve"> </w:t>
      </w:r>
      <w:r w:rsidR="002B308E">
        <w:t>during th</w:t>
      </w:r>
      <w:r>
        <w:t>e</w:t>
      </w:r>
      <w:r w:rsidR="002B308E">
        <w:t xml:space="preserve"> time period t</w:t>
      </w:r>
      <w:r w:rsidR="002B308E" w:rsidRPr="00843754">
        <w:t xml:space="preserve">o search their </w:t>
      </w:r>
      <w:r w:rsidR="002B308E">
        <w:t>notebooks/</w:t>
      </w:r>
      <w:r>
        <w:t xml:space="preserve"> </w:t>
      </w:r>
      <w:r w:rsidR="002B308E">
        <w:t xml:space="preserve">electronic devices </w:t>
      </w:r>
      <w:r w:rsidR="002B308E" w:rsidRPr="00843754">
        <w:t xml:space="preserve">to identify any relevant </w:t>
      </w:r>
      <w:r w:rsidR="002B308E">
        <w:t>data</w:t>
      </w:r>
      <w:r w:rsidR="002B308E" w:rsidRPr="00843754">
        <w:t xml:space="preserve">.  </w:t>
      </w:r>
    </w:p>
    <w:p w14:paraId="040475B0" w14:textId="13C8893B" w:rsidR="007A5951" w:rsidRPr="00E61159" w:rsidRDefault="00A52891" w:rsidP="00E61159">
      <w:r>
        <w:t xml:space="preserve">However, to </w:t>
      </w:r>
      <w:r w:rsidR="00E61159">
        <w:t xml:space="preserve">be of assistance </w:t>
      </w:r>
      <w:r w:rsidR="0094515F">
        <w:t>the tables at the end of this document detail road traffic collisions, related casualties and road traffic incidents recorded at the locus.</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E40D496" w14:textId="77777777" w:rsidR="0094515F" w:rsidRDefault="0094515F" w:rsidP="007F490F">
      <w:pPr>
        <w:jc w:val="both"/>
      </w:pPr>
    </w:p>
    <w:p w14:paraId="7C78D894" w14:textId="4319ADC3" w:rsidR="0094515F" w:rsidRDefault="0094515F">
      <w:r>
        <w:br w:type="page"/>
      </w:r>
    </w:p>
    <w:p w14:paraId="4B2BDF64" w14:textId="501E3102" w:rsidR="0094515F" w:rsidRDefault="0094515F" w:rsidP="007F490F">
      <w:pPr>
        <w:jc w:val="both"/>
        <w:rPr>
          <w:b/>
          <w:bCs/>
        </w:rPr>
      </w:pPr>
      <w:r>
        <w:rPr>
          <w:b/>
          <w:bCs/>
        </w:rPr>
        <w:lastRenderedPageBreak/>
        <w:t>Appendix A</w:t>
      </w:r>
    </w:p>
    <w:p w14:paraId="4AFA75D7" w14:textId="2475D0D3" w:rsidR="0094515F" w:rsidRPr="0094515F" w:rsidRDefault="0094515F" w:rsidP="0094515F">
      <w:pPr>
        <w:rPr>
          <w:b/>
          <w:bCs/>
        </w:rPr>
      </w:pPr>
      <w:r w:rsidRPr="0094515F">
        <w:rPr>
          <w:b/>
          <w:bCs/>
        </w:rPr>
        <w:t>Road Traffic Collisions, Specified Area, Tayside Division</w:t>
      </w:r>
      <w:r>
        <w:rPr>
          <w:b/>
          <w:bCs/>
        </w:rPr>
        <w:t xml:space="preserve"> - </w:t>
      </w:r>
      <w:r w:rsidRPr="0094515F">
        <w:rPr>
          <w:b/>
          <w:bCs/>
        </w:rPr>
        <w:t>10th October 2016 - 30th November 2023, Calendar Year</w:t>
      </w: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024"/>
        <w:gridCol w:w="871"/>
        <w:gridCol w:w="871"/>
        <w:gridCol w:w="884"/>
        <w:gridCol w:w="871"/>
        <w:gridCol w:w="871"/>
        <w:gridCol w:w="884"/>
        <w:gridCol w:w="977"/>
      </w:tblGrid>
      <w:tr w:rsidR="0094515F" w:rsidRPr="0094515F" w14:paraId="5B33832A" w14:textId="77777777" w:rsidTr="0094515F">
        <w:trPr>
          <w:trHeight w:val="330"/>
        </w:trPr>
        <w:tc>
          <w:tcPr>
            <w:tcW w:w="2364" w:type="dxa"/>
            <w:shd w:val="clear" w:color="auto" w:fill="BFBFBF" w:themeFill="background1" w:themeFillShade="BF"/>
            <w:noWrap/>
            <w:vAlign w:val="bottom"/>
            <w:hideMark/>
          </w:tcPr>
          <w:p w14:paraId="189145CC"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Collision Severity</w:t>
            </w:r>
          </w:p>
        </w:tc>
        <w:tc>
          <w:tcPr>
            <w:tcW w:w="1024" w:type="dxa"/>
            <w:shd w:val="clear" w:color="auto" w:fill="BFBFBF" w:themeFill="background1" w:themeFillShade="BF"/>
            <w:noWrap/>
            <w:vAlign w:val="bottom"/>
            <w:hideMark/>
          </w:tcPr>
          <w:p w14:paraId="182F6EF1"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2016*</w:t>
            </w:r>
          </w:p>
        </w:tc>
        <w:tc>
          <w:tcPr>
            <w:tcW w:w="871" w:type="dxa"/>
            <w:shd w:val="clear" w:color="auto" w:fill="BFBFBF" w:themeFill="background1" w:themeFillShade="BF"/>
            <w:noWrap/>
            <w:vAlign w:val="center"/>
            <w:hideMark/>
          </w:tcPr>
          <w:p w14:paraId="6EBFC021"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2017</w:t>
            </w:r>
          </w:p>
        </w:tc>
        <w:tc>
          <w:tcPr>
            <w:tcW w:w="871" w:type="dxa"/>
            <w:shd w:val="clear" w:color="auto" w:fill="BFBFBF" w:themeFill="background1" w:themeFillShade="BF"/>
            <w:noWrap/>
            <w:vAlign w:val="bottom"/>
            <w:hideMark/>
          </w:tcPr>
          <w:p w14:paraId="4D3AB51D"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2018</w:t>
            </w:r>
          </w:p>
        </w:tc>
        <w:tc>
          <w:tcPr>
            <w:tcW w:w="884" w:type="dxa"/>
            <w:shd w:val="clear" w:color="auto" w:fill="BFBFBF" w:themeFill="background1" w:themeFillShade="BF"/>
            <w:noWrap/>
            <w:vAlign w:val="center"/>
            <w:hideMark/>
          </w:tcPr>
          <w:p w14:paraId="6042EE94"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2019</w:t>
            </w:r>
          </w:p>
        </w:tc>
        <w:tc>
          <w:tcPr>
            <w:tcW w:w="871" w:type="dxa"/>
            <w:shd w:val="clear" w:color="auto" w:fill="BFBFBF" w:themeFill="background1" w:themeFillShade="BF"/>
            <w:noWrap/>
            <w:vAlign w:val="bottom"/>
            <w:hideMark/>
          </w:tcPr>
          <w:p w14:paraId="02C783D4"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2020</w:t>
            </w:r>
          </w:p>
        </w:tc>
        <w:tc>
          <w:tcPr>
            <w:tcW w:w="871" w:type="dxa"/>
            <w:shd w:val="clear" w:color="auto" w:fill="BFBFBF" w:themeFill="background1" w:themeFillShade="BF"/>
            <w:noWrap/>
            <w:vAlign w:val="center"/>
            <w:hideMark/>
          </w:tcPr>
          <w:p w14:paraId="3B190A3F"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2021</w:t>
            </w:r>
          </w:p>
        </w:tc>
        <w:tc>
          <w:tcPr>
            <w:tcW w:w="884" w:type="dxa"/>
            <w:shd w:val="clear" w:color="auto" w:fill="BFBFBF" w:themeFill="background1" w:themeFillShade="BF"/>
            <w:noWrap/>
            <w:vAlign w:val="bottom"/>
            <w:hideMark/>
          </w:tcPr>
          <w:p w14:paraId="4AAAEF80"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2022</w:t>
            </w:r>
          </w:p>
        </w:tc>
        <w:tc>
          <w:tcPr>
            <w:tcW w:w="977" w:type="dxa"/>
            <w:shd w:val="clear" w:color="auto" w:fill="BFBFBF" w:themeFill="background1" w:themeFillShade="BF"/>
            <w:noWrap/>
            <w:vAlign w:val="center"/>
            <w:hideMark/>
          </w:tcPr>
          <w:p w14:paraId="1AB2DF76" w14:textId="77777777" w:rsidR="0094515F" w:rsidRPr="0094515F" w:rsidRDefault="0094515F" w:rsidP="0094515F">
            <w:pPr>
              <w:spacing w:line="276" w:lineRule="auto"/>
              <w:rPr>
                <w:rFonts w:eastAsia="Times New Roman"/>
                <w:b/>
                <w:bCs/>
                <w:color w:val="000000"/>
                <w:lang w:eastAsia="en-GB"/>
              </w:rPr>
            </w:pPr>
            <w:r w:rsidRPr="0094515F">
              <w:rPr>
                <w:rFonts w:eastAsia="Times New Roman"/>
                <w:b/>
                <w:bCs/>
                <w:color w:val="000000"/>
                <w:lang w:eastAsia="en-GB"/>
              </w:rPr>
              <w:t>2023*</w:t>
            </w:r>
          </w:p>
        </w:tc>
      </w:tr>
      <w:tr w:rsidR="0094515F" w:rsidRPr="0094515F" w14:paraId="62A659C1" w14:textId="77777777" w:rsidTr="0094515F">
        <w:trPr>
          <w:trHeight w:val="300"/>
        </w:trPr>
        <w:tc>
          <w:tcPr>
            <w:tcW w:w="2364" w:type="dxa"/>
            <w:shd w:val="clear" w:color="auto" w:fill="auto"/>
            <w:noWrap/>
            <w:vAlign w:val="bottom"/>
            <w:hideMark/>
          </w:tcPr>
          <w:p w14:paraId="365ECD91"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Fatal</w:t>
            </w:r>
          </w:p>
        </w:tc>
        <w:tc>
          <w:tcPr>
            <w:tcW w:w="1024" w:type="dxa"/>
            <w:shd w:val="clear" w:color="auto" w:fill="auto"/>
            <w:noWrap/>
            <w:vAlign w:val="bottom"/>
            <w:hideMark/>
          </w:tcPr>
          <w:p w14:paraId="6E00F66F"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35FAFA75"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78673756"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84" w:type="dxa"/>
            <w:shd w:val="clear" w:color="auto" w:fill="auto"/>
            <w:noWrap/>
            <w:vAlign w:val="bottom"/>
            <w:hideMark/>
          </w:tcPr>
          <w:p w14:paraId="2AC2E078"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112A29BF"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1990492C"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84" w:type="dxa"/>
            <w:shd w:val="clear" w:color="auto" w:fill="auto"/>
            <w:noWrap/>
            <w:vAlign w:val="bottom"/>
            <w:hideMark/>
          </w:tcPr>
          <w:p w14:paraId="4F53ED15"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977" w:type="dxa"/>
            <w:shd w:val="clear" w:color="auto" w:fill="auto"/>
            <w:noWrap/>
            <w:vAlign w:val="bottom"/>
            <w:hideMark/>
          </w:tcPr>
          <w:p w14:paraId="61BB1F23"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r>
      <w:tr w:rsidR="0094515F" w:rsidRPr="0094515F" w14:paraId="61CA782E" w14:textId="77777777" w:rsidTr="0094515F">
        <w:trPr>
          <w:trHeight w:val="300"/>
        </w:trPr>
        <w:tc>
          <w:tcPr>
            <w:tcW w:w="2364" w:type="dxa"/>
            <w:shd w:val="clear" w:color="auto" w:fill="auto"/>
            <w:noWrap/>
            <w:vAlign w:val="bottom"/>
            <w:hideMark/>
          </w:tcPr>
          <w:p w14:paraId="22CE2B5D"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Serious</w:t>
            </w:r>
          </w:p>
        </w:tc>
        <w:tc>
          <w:tcPr>
            <w:tcW w:w="1024" w:type="dxa"/>
            <w:shd w:val="clear" w:color="auto" w:fill="auto"/>
            <w:noWrap/>
            <w:vAlign w:val="bottom"/>
            <w:hideMark/>
          </w:tcPr>
          <w:p w14:paraId="5A6257FD"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09D67083"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871" w:type="dxa"/>
            <w:shd w:val="clear" w:color="auto" w:fill="auto"/>
            <w:noWrap/>
            <w:vAlign w:val="bottom"/>
            <w:hideMark/>
          </w:tcPr>
          <w:p w14:paraId="02A6FEC7"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84" w:type="dxa"/>
            <w:shd w:val="clear" w:color="auto" w:fill="auto"/>
            <w:noWrap/>
            <w:vAlign w:val="bottom"/>
            <w:hideMark/>
          </w:tcPr>
          <w:p w14:paraId="5B88B9B6"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27495569"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435E62E7"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84" w:type="dxa"/>
            <w:shd w:val="clear" w:color="auto" w:fill="auto"/>
            <w:noWrap/>
            <w:vAlign w:val="bottom"/>
            <w:hideMark/>
          </w:tcPr>
          <w:p w14:paraId="170515E2"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977" w:type="dxa"/>
            <w:shd w:val="clear" w:color="auto" w:fill="auto"/>
            <w:noWrap/>
            <w:vAlign w:val="bottom"/>
            <w:hideMark/>
          </w:tcPr>
          <w:p w14:paraId="39252A09"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r>
      <w:tr w:rsidR="0094515F" w:rsidRPr="0094515F" w14:paraId="79B02892" w14:textId="77777777" w:rsidTr="0094515F">
        <w:trPr>
          <w:trHeight w:val="300"/>
        </w:trPr>
        <w:tc>
          <w:tcPr>
            <w:tcW w:w="2364" w:type="dxa"/>
            <w:shd w:val="clear" w:color="auto" w:fill="auto"/>
            <w:noWrap/>
            <w:vAlign w:val="bottom"/>
            <w:hideMark/>
          </w:tcPr>
          <w:p w14:paraId="2F715F8B"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Slight</w:t>
            </w:r>
          </w:p>
        </w:tc>
        <w:tc>
          <w:tcPr>
            <w:tcW w:w="1024" w:type="dxa"/>
            <w:shd w:val="clear" w:color="auto" w:fill="auto"/>
            <w:noWrap/>
            <w:vAlign w:val="center"/>
            <w:hideMark/>
          </w:tcPr>
          <w:p w14:paraId="2B6B2161"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center"/>
            <w:hideMark/>
          </w:tcPr>
          <w:p w14:paraId="47EC3D76"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871" w:type="dxa"/>
            <w:shd w:val="clear" w:color="auto" w:fill="auto"/>
            <w:noWrap/>
            <w:vAlign w:val="bottom"/>
            <w:hideMark/>
          </w:tcPr>
          <w:p w14:paraId="4CFEACB0"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84" w:type="dxa"/>
            <w:shd w:val="clear" w:color="auto" w:fill="auto"/>
            <w:noWrap/>
            <w:vAlign w:val="bottom"/>
            <w:hideMark/>
          </w:tcPr>
          <w:p w14:paraId="6133A717"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871" w:type="dxa"/>
            <w:shd w:val="clear" w:color="auto" w:fill="auto"/>
            <w:noWrap/>
            <w:vAlign w:val="bottom"/>
            <w:hideMark/>
          </w:tcPr>
          <w:p w14:paraId="159DFE51"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69321E8C"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884" w:type="dxa"/>
            <w:shd w:val="clear" w:color="auto" w:fill="auto"/>
            <w:noWrap/>
            <w:vAlign w:val="bottom"/>
            <w:hideMark/>
          </w:tcPr>
          <w:p w14:paraId="42CAD8BF"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977" w:type="dxa"/>
            <w:shd w:val="clear" w:color="auto" w:fill="auto"/>
            <w:noWrap/>
            <w:vAlign w:val="bottom"/>
            <w:hideMark/>
          </w:tcPr>
          <w:p w14:paraId="7AE9E2D6"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2</w:t>
            </w:r>
          </w:p>
        </w:tc>
      </w:tr>
      <w:tr w:rsidR="0094515F" w:rsidRPr="0094515F" w14:paraId="292B7F85" w14:textId="77777777" w:rsidTr="0094515F">
        <w:trPr>
          <w:trHeight w:val="312"/>
        </w:trPr>
        <w:tc>
          <w:tcPr>
            <w:tcW w:w="2364" w:type="dxa"/>
            <w:shd w:val="clear" w:color="auto" w:fill="auto"/>
            <w:noWrap/>
            <w:vAlign w:val="bottom"/>
            <w:hideMark/>
          </w:tcPr>
          <w:p w14:paraId="5A1DA88C"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Total</w:t>
            </w:r>
          </w:p>
        </w:tc>
        <w:tc>
          <w:tcPr>
            <w:tcW w:w="1024" w:type="dxa"/>
            <w:shd w:val="clear" w:color="auto" w:fill="auto"/>
            <w:noWrap/>
            <w:vAlign w:val="bottom"/>
            <w:hideMark/>
          </w:tcPr>
          <w:p w14:paraId="3ED7EFE1"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7D1A6F97"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2</w:t>
            </w:r>
          </w:p>
        </w:tc>
        <w:tc>
          <w:tcPr>
            <w:tcW w:w="871" w:type="dxa"/>
            <w:shd w:val="clear" w:color="auto" w:fill="auto"/>
            <w:noWrap/>
            <w:vAlign w:val="bottom"/>
            <w:hideMark/>
          </w:tcPr>
          <w:p w14:paraId="7A37E06C"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84" w:type="dxa"/>
            <w:shd w:val="clear" w:color="auto" w:fill="auto"/>
            <w:noWrap/>
            <w:vAlign w:val="bottom"/>
            <w:hideMark/>
          </w:tcPr>
          <w:p w14:paraId="4CA99714"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871" w:type="dxa"/>
            <w:shd w:val="clear" w:color="auto" w:fill="auto"/>
            <w:noWrap/>
            <w:vAlign w:val="bottom"/>
            <w:hideMark/>
          </w:tcPr>
          <w:p w14:paraId="2115C03F"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0</w:t>
            </w:r>
          </w:p>
        </w:tc>
        <w:tc>
          <w:tcPr>
            <w:tcW w:w="871" w:type="dxa"/>
            <w:shd w:val="clear" w:color="auto" w:fill="auto"/>
            <w:noWrap/>
            <w:vAlign w:val="bottom"/>
            <w:hideMark/>
          </w:tcPr>
          <w:p w14:paraId="5A7CEC87"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1</w:t>
            </w:r>
          </w:p>
        </w:tc>
        <w:tc>
          <w:tcPr>
            <w:tcW w:w="884" w:type="dxa"/>
            <w:shd w:val="clear" w:color="auto" w:fill="auto"/>
            <w:noWrap/>
            <w:vAlign w:val="bottom"/>
            <w:hideMark/>
          </w:tcPr>
          <w:p w14:paraId="058AE75D"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2</w:t>
            </w:r>
          </w:p>
        </w:tc>
        <w:tc>
          <w:tcPr>
            <w:tcW w:w="977" w:type="dxa"/>
            <w:shd w:val="clear" w:color="auto" w:fill="auto"/>
            <w:noWrap/>
            <w:vAlign w:val="bottom"/>
            <w:hideMark/>
          </w:tcPr>
          <w:p w14:paraId="3CDA98FA" w14:textId="77777777" w:rsidR="0094515F" w:rsidRPr="0094515F" w:rsidRDefault="0094515F" w:rsidP="0094515F">
            <w:pPr>
              <w:spacing w:line="276" w:lineRule="auto"/>
              <w:rPr>
                <w:rFonts w:eastAsia="Times New Roman"/>
                <w:color w:val="000000"/>
                <w:lang w:eastAsia="en-GB"/>
              </w:rPr>
            </w:pPr>
            <w:r w:rsidRPr="0094515F">
              <w:rPr>
                <w:rFonts w:eastAsia="Times New Roman"/>
                <w:color w:val="000000"/>
                <w:lang w:eastAsia="en-GB"/>
              </w:rPr>
              <w:t>2</w:t>
            </w:r>
          </w:p>
        </w:tc>
      </w:tr>
    </w:tbl>
    <w:p w14:paraId="3C6447AB" w14:textId="77777777" w:rsidR="0094515F" w:rsidRDefault="0094515F" w:rsidP="0094515F">
      <w:pPr>
        <w:rPr>
          <w:b/>
          <w:bCs/>
        </w:rPr>
      </w:pPr>
    </w:p>
    <w:p w14:paraId="51A6CC97" w14:textId="22EB6A93" w:rsidR="0094515F" w:rsidRPr="0094515F" w:rsidRDefault="0094515F" w:rsidP="0094515F">
      <w:pPr>
        <w:rPr>
          <w:b/>
          <w:bCs/>
        </w:rPr>
      </w:pPr>
      <w:r w:rsidRPr="0094515F">
        <w:rPr>
          <w:b/>
          <w:bCs/>
        </w:rPr>
        <w:t>Road Traffic Casualties, Specified Area, Tayside Division</w:t>
      </w:r>
      <w:r>
        <w:rPr>
          <w:b/>
          <w:bCs/>
        </w:rPr>
        <w:t xml:space="preserve"> -</w:t>
      </w:r>
      <w:r w:rsidRPr="0094515F">
        <w:rPr>
          <w:b/>
          <w:bCs/>
        </w:rPr>
        <w:t xml:space="preserve"> 10th October 2016 - 30th November 2023, Calendar Year</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977"/>
        <w:gridCol w:w="884"/>
        <w:gridCol w:w="884"/>
        <w:gridCol w:w="884"/>
        <w:gridCol w:w="884"/>
        <w:gridCol w:w="884"/>
        <w:gridCol w:w="884"/>
        <w:gridCol w:w="977"/>
      </w:tblGrid>
      <w:tr w:rsidR="0094515F" w:rsidRPr="0094515F" w14:paraId="52823BC7" w14:textId="77777777" w:rsidTr="0094515F">
        <w:trPr>
          <w:trHeight w:val="330"/>
        </w:trPr>
        <w:tc>
          <w:tcPr>
            <w:tcW w:w="2576" w:type="dxa"/>
            <w:shd w:val="clear" w:color="auto" w:fill="BFBFBF" w:themeFill="background1" w:themeFillShade="BF"/>
            <w:noWrap/>
            <w:vAlign w:val="center"/>
            <w:hideMark/>
          </w:tcPr>
          <w:p w14:paraId="2A63F387" w14:textId="77777777" w:rsidR="0094515F" w:rsidRPr="0094515F" w:rsidRDefault="0094515F" w:rsidP="0094515F">
            <w:pPr>
              <w:spacing w:line="276" w:lineRule="auto"/>
              <w:rPr>
                <w:b/>
                <w:bCs/>
              </w:rPr>
            </w:pPr>
            <w:r w:rsidRPr="0094515F">
              <w:rPr>
                <w:b/>
                <w:bCs/>
              </w:rPr>
              <w:t>Casualty Severity</w:t>
            </w:r>
          </w:p>
        </w:tc>
        <w:tc>
          <w:tcPr>
            <w:tcW w:w="977" w:type="dxa"/>
            <w:shd w:val="clear" w:color="auto" w:fill="BFBFBF" w:themeFill="background1" w:themeFillShade="BF"/>
            <w:noWrap/>
            <w:vAlign w:val="center"/>
            <w:hideMark/>
          </w:tcPr>
          <w:p w14:paraId="57825536" w14:textId="77777777" w:rsidR="0094515F" w:rsidRPr="0094515F" w:rsidRDefault="0094515F" w:rsidP="0094515F">
            <w:pPr>
              <w:spacing w:line="276" w:lineRule="auto"/>
              <w:rPr>
                <w:b/>
                <w:bCs/>
              </w:rPr>
            </w:pPr>
            <w:r w:rsidRPr="0094515F">
              <w:rPr>
                <w:b/>
                <w:bCs/>
              </w:rPr>
              <w:t>2016*</w:t>
            </w:r>
          </w:p>
        </w:tc>
        <w:tc>
          <w:tcPr>
            <w:tcW w:w="884" w:type="dxa"/>
            <w:shd w:val="clear" w:color="auto" w:fill="BFBFBF" w:themeFill="background1" w:themeFillShade="BF"/>
            <w:noWrap/>
            <w:vAlign w:val="center"/>
            <w:hideMark/>
          </w:tcPr>
          <w:p w14:paraId="3E0BEA49" w14:textId="77777777" w:rsidR="0094515F" w:rsidRPr="0094515F" w:rsidRDefault="0094515F" w:rsidP="0094515F">
            <w:pPr>
              <w:spacing w:line="276" w:lineRule="auto"/>
              <w:rPr>
                <w:b/>
                <w:bCs/>
              </w:rPr>
            </w:pPr>
            <w:r w:rsidRPr="0094515F">
              <w:rPr>
                <w:b/>
                <w:bCs/>
              </w:rPr>
              <w:t>2017</w:t>
            </w:r>
          </w:p>
        </w:tc>
        <w:tc>
          <w:tcPr>
            <w:tcW w:w="884" w:type="dxa"/>
            <w:shd w:val="clear" w:color="auto" w:fill="BFBFBF" w:themeFill="background1" w:themeFillShade="BF"/>
            <w:noWrap/>
            <w:vAlign w:val="center"/>
            <w:hideMark/>
          </w:tcPr>
          <w:p w14:paraId="6A27BB0C" w14:textId="77777777" w:rsidR="0094515F" w:rsidRPr="0094515F" w:rsidRDefault="0094515F" w:rsidP="0094515F">
            <w:pPr>
              <w:spacing w:line="276" w:lineRule="auto"/>
              <w:rPr>
                <w:b/>
                <w:bCs/>
              </w:rPr>
            </w:pPr>
            <w:r w:rsidRPr="0094515F">
              <w:rPr>
                <w:b/>
                <w:bCs/>
              </w:rPr>
              <w:t>2018</w:t>
            </w:r>
          </w:p>
        </w:tc>
        <w:tc>
          <w:tcPr>
            <w:tcW w:w="884" w:type="dxa"/>
            <w:shd w:val="clear" w:color="auto" w:fill="BFBFBF" w:themeFill="background1" w:themeFillShade="BF"/>
            <w:noWrap/>
            <w:vAlign w:val="center"/>
            <w:hideMark/>
          </w:tcPr>
          <w:p w14:paraId="2C68D392" w14:textId="352A0909" w:rsidR="0094515F" w:rsidRPr="0094515F" w:rsidRDefault="0094515F" w:rsidP="0094515F">
            <w:pPr>
              <w:spacing w:line="276" w:lineRule="auto"/>
              <w:rPr>
                <w:b/>
                <w:bCs/>
              </w:rPr>
            </w:pPr>
            <w:r w:rsidRPr="0094515F">
              <w:rPr>
                <w:b/>
                <w:bCs/>
              </w:rPr>
              <w:t>2019</w:t>
            </w:r>
          </w:p>
        </w:tc>
        <w:tc>
          <w:tcPr>
            <w:tcW w:w="884" w:type="dxa"/>
            <w:shd w:val="clear" w:color="auto" w:fill="BFBFBF" w:themeFill="background1" w:themeFillShade="BF"/>
            <w:noWrap/>
            <w:vAlign w:val="center"/>
            <w:hideMark/>
          </w:tcPr>
          <w:p w14:paraId="4C8956CA" w14:textId="77777777" w:rsidR="0094515F" w:rsidRPr="0094515F" w:rsidRDefault="0094515F" w:rsidP="0094515F">
            <w:pPr>
              <w:spacing w:line="276" w:lineRule="auto"/>
              <w:rPr>
                <w:b/>
                <w:bCs/>
              </w:rPr>
            </w:pPr>
            <w:r w:rsidRPr="0094515F">
              <w:rPr>
                <w:b/>
                <w:bCs/>
              </w:rPr>
              <w:t>2020</w:t>
            </w:r>
          </w:p>
        </w:tc>
        <w:tc>
          <w:tcPr>
            <w:tcW w:w="884" w:type="dxa"/>
            <w:shd w:val="clear" w:color="auto" w:fill="BFBFBF" w:themeFill="background1" w:themeFillShade="BF"/>
            <w:noWrap/>
            <w:vAlign w:val="center"/>
            <w:hideMark/>
          </w:tcPr>
          <w:p w14:paraId="4BD3598D" w14:textId="77777777" w:rsidR="0094515F" w:rsidRPr="0094515F" w:rsidRDefault="0094515F" w:rsidP="0094515F">
            <w:pPr>
              <w:spacing w:line="276" w:lineRule="auto"/>
              <w:rPr>
                <w:b/>
                <w:bCs/>
              </w:rPr>
            </w:pPr>
            <w:r w:rsidRPr="0094515F">
              <w:rPr>
                <w:b/>
                <w:bCs/>
              </w:rPr>
              <w:t>2021</w:t>
            </w:r>
          </w:p>
        </w:tc>
        <w:tc>
          <w:tcPr>
            <w:tcW w:w="884" w:type="dxa"/>
            <w:shd w:val="clear" w:color="auto" w:fill="BFBFBF" w:themeFill="background1" w:themeFillShade="BF"/>
            <w:noWrap/>
            <w:vAlign w:val="center"/>
            <w:hideMark/>
          </w:tcPr>
          <w:p w14:paraId="061F4BB8" w14:textId="77777777" w:rsidR="0094515F" w:rsidRPr="0094515F" w:rsidRDefault="0094515F" w:rsidP="0094515F">
            <w:pPr>
              <w:spacing w:line="276" w:lineRule="auto"/>
              <w:rPr>
                <w:b/>
                <w:bCs/>
              </w:rPr>
            </w:pPr>
            <w:r w:rsidRPr="0094515F">
              <w:rPr>
                <w:b/>
                <w:bCs/>
              </w:rPr>
              <w:t>2022</w:t>
            </w:r>
          </w:p>
        </w:tc>
        <w:tc>
          <w:tcPr>
            <w:tcW w:w="977" w:type="dxa"/>
            <w:shd w:val="clear" w:color="auto" w:fill="BFBFBF" w:themeFill="background1" w:themeFillShade="BF"/>
            <w:noWrap/>
            <w:vAlign w:val="center"/>
            <w:hideMark/>
          </w:tcPr>
          <w:p w14:paraId="79A88EFB" w14:textId="77777777" w:rsidR="0094515F" w:rsidRPr="0094515F" w:rsidRDefault="0094515F" w:rsidP="0094515F">
            <w:pPr>
              <w:spacing w:line="276" w:lineRule="auto"/>
              <w:rPr>
                <w:b/>
                <w:bCs/>
              </w:rPr>
            </w:pPr>
            <w:r w:rsidRPr="0094515F">
              <w:rPr>
                <w:b/>
                <w:bCs/>
              </w:rPr>
              <w:t>2023*</w:t>
            </w:r>
          </w:p>
        </w:tc>
      </w:tr>
      <w:tr w:rsidR="0094515F" w:rsidRPr="0094515F" w14:paraId="6EC7329D" w14:textId="77777777" w:rsidTr="0094515F">
        <w:trPr>
          <w:trHeight w:val="300"/>
        </w:trPr>
        <w:tc>
          <w:tcPr>
            <w:tcW w:w="2576" w:type="dxa"/>
            <w:shd w:val="clear" w:color="auto" w:fill="auto"/>
            <w:noWrap/>
            <w:vAlign w:val="bottom"/>
            <w:hideMark/>
          </w:tcPr>
          <w:p w14:paraId="67E23611" w14:textId="77777777" w:rsidR="0094515F" w:rsidRPr="0094515F" w:rsidRDefault="0094515F" w:rsidP="0094515F">
            <w:pPr>
              <w:spacing w:line="276" w:lineRule="auto"/>
            </w:pPr>
            <w:r w:rsidRPr="0094515F">
              <w:t>Fatal</w:t>
            </w:r>
          </w:p>
        </w:tc>
        <w:tc>
          <w:tcPr>
            <w:tcW w:w="977" w:type="dxa"/>
            <w:shd w:val="clear" w:color="auto" w:fill="auto"/>
            <w:noWrap/>
            <w:vAlign w:val="bottom"/>
            <w:hideMark/>
          </w:tcPr>
          <w:p w14:paraId="6C4128BA"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1AC45FC2"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7A9A5670"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0DF2F30A"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3C626CEC"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26F96C9B"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49C84C1A" w14:textId="77777777" w:rsidR="0094515F" w:rsidRPr="0094515F" w:rsidRDefault="0094515F" w:rsidP="0094515F">
            <w:pPr>
              <w:spacing w:line="276" w:lineRule="auto"/>
            </w:pPr>
            <w:r w:rsidRPr="0094515F">
              <w:t>0</w:t>
            </w:r>
          </w:p>
        </w:tc>
        <w:tc>
          <w:tcPr>
            <w:tcW w:w="977" w:type="dxa"/>
            <w:shd w:val="clear" w:color="auto" w:fill="auto"/>
            <w:noWrap/>
            <w:vAlign w:val="bottom"/>
            <w:hideMark/>
          </w:tcPr>
          <w:p w14:paraId="241C5A76" w14:textId="77777777" w:rsidR="0094515F" w:rsidRPr="0094515F" w:rsidRDefault="0094515F" w:rsidP="0094515F">
            <w:pPr>
              <w:spacing w:line="276" w:lineRule="auto"/>
            </w:pPr>
            <w:r w:rsidRPr="0094515F">
              <w:t>0</w:t>
            </w:r>
          </w:p>
        </w:tc>
      </w:tr>
      <w:tr w:rsidR="0094515F" w:rsidRPr="0094515F" w14:paraId="08623AA6" w14:textId="77777777" w:rsidTr="0094515F">
        <w:trPr>
          <w:trHeight w:val="300"/>
        </w:trPr>
        <w:tc>
          <w:tcPr>
            <w:tcW w:w="2576" w:type="dxa"/>
            <w:shd w:val="clear" w:color="auto" w:fill="auto"/>
            <w:noWrap/>
            <w:vAlign w:val="bottom"/>
            <w:hideMark/>
          </w:tcPr>
          <w:p w14:paraId="6AED9164" w14:textId="77777777" w:rsidR="0094515F" w:rsidRPr="0094515F" w:rsidRDefault="0094515F" w:rsidP="0094515F">
            <w:pPr>
              <w:spacing w:line="276" w:lineRule="auto"/>
            </w:pPr>
            <w:r w:rsidRPr="0094515F">
              <w:t>Serious</w:t>
            </w:r>
          </w:p>
        </w:tc>
        <w:tc>
          <w:tcPr>
            <w:tcW w:w="977" w:type="dxa"/>
            <w:shd w:val="clear" w:color="auto" w:fill="auto"/>
            <w:noWrap/>
            <w:vAlign w:val="bottom"/>
            <w:hideMark/>
          </w:tcPr>
          <w:p w14:paraId="36EF99F2"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20F1B30E" w14:textId="77777777" w:rsidR="0094515F" w:rsidRPr="0094515F" w:rsidRDefault="0094515F" w:rsidP="0094515F">
            <w:pPr>
              <w:spacing w:line="276" w:lineRule="auto"/>
            </w:pPr>
            <w:r w:rsidRPr="0094515F">
              <w:t>2</w:t>
            </w:r>
          </w:p>
        </w:tc>
        <w:tc>
          <w:tcPr>
            <w:tcW w:w="884" w:type="dxa"/>
            <w:shd w:val="clear" w:color="auto" w:fill="auto"/>
            <w:noWrap/>
            <w:vAlign w:val="bottom"/>
            <w:hideMark/>
          </w:tcPr>
          <w:p w14:paraId="736EE744"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00AB0AFA"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3CD0C242"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2FB9229D"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6C71AEA9" w14:textId="77777777" w:rsidR="0094515F" w:rsidRPr="0094515F" w:rsidRDefault="0094515F" w:rsidP="0094515F">
            <w:pPr>
              <w:spacing w:line="276" w:lineRule="auto"/>
            </w:pPr>
            <w:r w:rsidRPr="0094515F">
              <w:t>1</w:t>
            </w:r>
          </w:p>
        </w:tc>
        <w:tc>
          <w:tcPr>
            <w:tcW w:w="977" w:type="dxa"/>
            <w:shd w:val="clear" w:color="auto" w:fill="auto"/>
            <w:noWrap/>
            <w:vAlign w:val="bottom"/>
            <w:hideMark/>
          </w:tcPr>
          <w:p w14:paraId="60466A20" w14:textId="77777777" w:rsidR="0094515F" w:rsidRPr="0094515F" w:rsidRDefault="0094515F" w:rsidP="0094515F">
            <w:pPr>
              <w:spacing w:line="276" w:lineRule="auto"/>
            </w:pPr>
            <w:r w:rsidRPr="0094515F">
              <w:t>0</w:t>
            </w:r>
          </w:p>
        </w:tc>
      </w:tr>
      <w:tr w:rsidR="0094515F" w:rsidRPr="0094515F" w14:paraId="2B5C7138" w14:textId="77777777" w:rsidTr="0094515F">
        <w:trPr>
          <w:trHeight w:val="300"/>
        </w:trPr>
        <w:tc>
          <w:tcPr>
            <w:tcW w:w="2576" w:type="dxa"/>
            <w:shd w:val="clear" w:color="auto" w:fill="auto"/>
            <w:noWrap/>
            <w:vAlign w:val="bottom"/>
            <w:hideMark/>
          </w:tcPr>
          <w:p w14:paraId="3B70B0CC" w14:textId="77777777" w:rsidR="0094515F" w:rsidRPr="0094515F" w:rsidRDefault="0094515F" w:rsidP="0094515F">
            <w:pPr>
              <w:spacing w:line="276" w:lineRule="auto"/>
            </w:pPr>
            <w:r w:rsidRPr="0094515F">
              <w:t>Slight</w:t>
            </w:r>
          </w:p>
        </w:tc>
        <w:tc>
          <w:tcPr>
            <w:tcW w:w="977" w:type="dxa"/>
            <w:shd w:val="clear" w:color="auto" w:fill="auto"/>
            <w:noWrap/>
            <w:vAlign w:val="bottom"/>
            <w:hideMark/>
          </w:tcPr>
          <w:p w14:paraId="6D3B4851"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16522CD6" w14:textId="77777777" w:rsidR="0094515F" w:rsidRPr="0094515F" w:rsidRDefault="0094515F" w:rsidP="0094515F">
            <w:pPr>
              <w:spacing w:line="276" w:lineRule="auto"/>
            </w:pPr>
            <w:r w:rsidRPr="0094515F">
              <w:t>3</w:t>
            </w:r>
          </w:p>
        </w:tc>
        <w:tc>
          <w:tcPr>
            <w:tcW w:w="884" w:type="dxa"/>
            <w:shd w:val="clear" w:color="auto" w:fill="auto"/>
            <w:noWrap/>
            <w:vAlign w:val="bottom"/>
            <w:hideMark/>
          </w:tcPr>
          <w:p w14:paraId="698EC650"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255ACA39" w14:textId="77777777" w:rsidR="0094515F" w:rsidRPr="0094515F" w:rsidRDefault="0094515F" w:rsidP="0094515F">
            <w:pPr>
              <w:spacing w:line="276" w:lineRule="auto"/>
            </w:pPr>
            <w:r w:rsidRPr="0094515F">
              <w:t>1</w:t>
            </w:r>
          </w:p>
        </w:tc>
        <w:tc>
          <w:tcPr>
            <w:tcW w:w="884" w:type="dxa"/>
            <w:shd w:val="clear" w:color="auto" w:fill="auto"/>
            <w:noWrap/>
            <w:vAlign w:val="bottom"/>
            <w:hideMark/>
          </w:tcPr>
          <w:p w14:paraId="270CBA69"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2E580F7C" w14:textId="77777777" w:rsidR="0094515F" w:rsidRPr="0094515F" w:rsidRDefault="0094515F" w:rsidP="0094515F">
            <w:pPr>
              <w:spacing w:line="276" w:lineRule="auto"/>
            </w:pPr>
            <w:r w:rsidRPr="0094515F">
              <w:t>4</w:t>
            </w:r>
          </w:p>
        </w:tc>
        <w:tc>
          <w:tcPr>
            <w:tcW w:w="884" w:type="dxa"/>
            <w:shd w:val="clear" w:color="auto" w:fill="auto"/>
            <w:noWrap/>
            <w:vAlign w:val="bottom"/>
            <w:hideMark/>
          </w:tcPr>
          <w:p w14:paraId="0356CA83" w14:textId="77777777" w:rsidR="0094515F" w:rsidRPr="0094515F" w:rsidRDefault="0094515F" w:rsidP="0094515F">
            <w:pPr>
              <w:spacing w:line="276" w:lineRule="auto"/>
            </w:pPr>
            <w:r w:rsidRPr="0094515F">
              <w:t>2</w:t>
            </w:r>
          </w:p>
        </w:tc>
        <w:tc>
          <w:tcPr>
            <w:tcW w:w="977" w:type="dxa"/>
            <w:shd w:val="clear" w:color="auto" w:fill="auto"/>
            <w:noWrap/>
            <w:vAlign w:val="bottom"/>
            <w:hideMark/>
          </w:tcPr>
          <w:p w14:paraId="33A3BB7D" w14:textId="77777777" w:rsidR="0094515F" w:rsidRPr="0094515F" w:rsidRDefault="0094515F" w:rsidP="0094515F">
            <w:pPr>
              <w:spacing w:line="276" w:lineRule="auto"/>
            </w:pPr>
            <w:r w:rsidRPr="0094515F">
              <w:t>3</w:t>
            </w:r>
          </w:p>
        </w:tc>
      </w:tr>
      <w:tr w:rsidR="0094515F" w:rsidRPr="0094515F" w14:paraId="0A6388B9" w14:textId="77777777" w:rsidTr="0094515F">
        <w:trPr>
          <w:trHeight w:val="312"/>
        </w:trPr>
        <w:tc>
          <w:tcPr>
            <w:tcW w:w="2576" w:type="dxa"/>
            <w:shd w:val="clear" w:color="auto" w:fill="auto"/>
            <w:noWrap/>
            <w:vAlign w:val="bottom"/>
            <w:hideMark/>
          </w:tcPr>
          <w:p w14:paraId="2A108204" w14:textId="77777777" w:rsidR="0094515F" w:rsidRPr="0094515F" w:rsidRDefault="0094515F" w:rsidP="0094515F">
            <w:pPr>
              <w:spacing w:line="276" w:lineRule="auto"/>
            </w:pPr>
            <w:r w:rsidRPr="0094515F">
              <w:t>Total</w:t>
            </w:r>
          </w:p>
        </w:tc>
        <w:tc>
          <w:tcPr>
            <w:tcW w:w="977" w:type="dxa"/>
            <w:shd w:val="clear" w:color="auto" w:fill="auto"/>
            <w:noWrap/>
            <w:vAlign w:val="bottom"/>
            <w:hideMark/>
          </w:tcPr>
          <w:p w14:paraId="5658A25A"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21593ACD" w14:textId="77777777" w:rsidR="0094515F" w:rsidRPr="0094515F" w:rsidRDefault="0094515F" w:rsidP="0094515F">
            <w:pPr>
              <w:spacing w:line="276" w:lineRule="auto"/>
            </w:pPr>
            <w:r w:rsidRPr="0094515F">
              <w:t>5</w:t>
            </w:r>
          </w:p>
        </w:tc>
        <w:tc>
          <w:tcPr>
            <w:tcW w:w="884" w:type="dxa"/>
            <w:shd w:val="clear" w:color="auto" w:fill="auto"/>
            <w:noWrap/>
            <w:vAlign w:val="bottom"/>
            <w:hideMark/>
          </w:tcPr>
          <w:p w14:paraId="773197B8"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44967876" w14:textId="77777777" w:rsidR="0094515F" w:rsidRPr="0094515F" w:rsidRDefault="0094515F" w:rsidP="0094515F">
            <w:pPr>
              <w:spacing w:line="276" w:lineRule="auto"/>
            </w:pPr>
            <w:r w:rsidRPr="0094515F">
              <w:t>1</w:t>
            </w:r>
          </w:p>
        </w:tc>
        <w:tc>
          <w:tcPr>
            <w:tcW w:w="884" w:type="dxa"/>
            <w:shd w:val="clear" w:color="auto" w:fill="auto"/>
            <w:noWrap/>
            <w:vAlign w:val="bottom"/>
            <w:hideMark/>
          </w:tcPr>
          <w:p w14:paraId="5B982234" w14:textId="77777777" w:rsidR="0094515F" w:rsidRPr="0094515F" w:rsidRDefault="0094515F" w:rsidP="0094515F">
            <w:pPr>
              <w:spacing w:line="276" w:lineRule="auto"/>
            </w:pPr>
            <w:r w:rsidRPr="0094515F">
              <w:t>0</w:t>
            </w:r>
          </w:p>
        </w:tc>
        <w:tc>
          <w:tcPr>
            <w:tcW w:w="884" w:type="dxa"/>
            <w:shd w:val="clear" w:color="auto" w:fill="auto"/>
            <w:noWrap/>
            <w:vAlign w:val="bottom"/>
            <w:hideMark/>
          </w:tcPr>
          <w:p w14:paraId="76650ED6" w14:textId="77777777" w:rsidR="0094515F" w:rsidRPr="0094515F" w:rsidRDefault="0094515F" w:rsidP="0094515F">
            <w:pPr>
              <w:spacing w:line="276" w:lineRule="auto"/>
            </w:pPr>
            <w:r w:rsidRPr="0094515F">
              <w:t>4</w:t>
            </w:r>
          </w:p>
        </w:tc>
        <w:tc>
          <w:tcPr>
            <w:tcW w:w="884" w:type="dxa"/>
            <w:shd w:val="clear" w:color="auto" w:fill="auto"/>
            <w:noWrap/>
            <w:vAlign w:val="bottom"/>
            <w:hideMark/>
          </w:tcPr>
          <w:p w14:paraId="1DF721CE" w14:textId="77777777" w:rsidR="0094515F" w:rsidRPr="0094515F" w:rsidRDefault="0094515F" w:rsidP="0094515F">
            <w:pPr>
              <w:spacing w:line="276" w:lineRule="auto"/>
            </w:pPr>
            <w:r w:rsidRPr="0094515F">
              <w:t>3</w:t>
            </w:r>
          </w:p>
        </w:tc>
        <w:tc>
          <w:tcPr>
            <w:tcW w:w="977" w:type="dxa"/>
            <w:shd w:val="clear" w:color="auto" w:fill="auto"/>
            <w:noWrap/>
            <w:vAlign w:val="bottom"/>
            <w:hideMark/>
          </w:tcPr>
          <w:p w14:paraId="2CD88B44" w14:textId="77777777" w:rsidR="0094515F" w:rsidRPr="0094515F" w:rsidRDefault="0094515F" w:rsidP="0094515F">
            <w:pPr>
              <w:spacing w:line="276" w:lineRule="auto"/>
            </w:pPr>
            <w:r w:rsidRPr="0094515F">
              <w:t>3</w:t>
            </w:r>
          </w:p>
        </w:tc>
      </w:tr>
    </w:tbl>
    <w:p w14:paraId="2EF130AA" w14:textId="77777777" w:rsidR="0094515F" w:rsidRDefault="0094515F" w:rsidP="0094515F">
      <w:pPr>
        <w:jc w:val="both"/>
        <w:rPr>
          <w:i/>
          <w:iCs/>
          <w:sz w:val="20"/>
          <w:szCs w:val="20"/>
        </w:rPr>
      </w:pPr>
    </w:p>
    <w:p w14:paraId="6E1E42C9" w14:textId="0C9799BA" w:rsidR="0094515F" w:rsidRPr="0094515F" w:rsidRDefault="0094515F" w:rsidP="0094515F">
      <w:pPr>
        <w:jc w:val="both"/>
        <w:rPr>
          <w:i/>
          <w:iCs/>
          <w:sz w:val="20"/>
          <w:szCs w:val="20"/>
        </w:rPr>
      </w:pPr>
      <w:r w:rsidRPr="0094515F">
        <w:rPr>
          <w:i/>
          <w:iCs/>
          <w:sz w:val="20"/>
          <w:szCs w:val="20"/>
        </w:rPr>
        <w:t>All statistics are provisional and should be treated as management information. All data have been extracted from Police Scotland internal systems and are correct as at 22/12/2023.</w:t>
      </w:r>
      <w:r w:rsidRPr="0094515F">
        <w:rPr>
          <w:i/>
          <w:iCs/>
          <w:sz w:val="20"/>
          <w:szCs w:val="20"/>
        </w:rPr>
        <w:tab/>
      </w:r>
      <w:r w:rsidRPr="0094515F">
        <w:rPr>
          <w:i/>
          <w:iCs/>
          <w:sz w:val="20"/>
          <w:szCs w:val="20"/>
        </w:rPr>
        <w:tab/>
      </w:r>
      <w:r w:rsidRPr="0094515F">
        <w:rPr>
          <w:i/>
          <w:iCs/>
          <w:sz w:val="20"/>
          <w:szCs w:val="20"/>
        </w:rPr>
        <w:tab/>
      </w:r>
      <w:r w:rsidRPr="0094515F">
        <w:rPr>
          <w:i/>
          <w:iCs/>
          <w:sz w:val="20"/>
          <w:szCs w:val="20"/>
        </w:rPr>
        <w:tab/>
      </w:r>
    </w:p>
    <w:p w14:paraId="19F506CB" w14:textId="77777777" w:rsidR="0094515F" w:rsidRPr="0094515F" w:rsidRDefault="0094515F" w:rsidP="0094515F">
      <w:pPr>
        <w:jc w:val="both"/>
        <w:rPr>
          <w:i/>
          <w:iCs/>
          <w:sz w:val="20"/>
          <w:szCs w:val="20"/>
        </w:rPr>
      </w:pPr>
      <w:r w:rsidRPr="0094515F">
        <w:rPr>
          <w:i/>
          <w:iCs/>
          <w:sz w:val="20"/>
          <w:szCs w:val="20"/>
        </w:rPr>
        <w:t>1. Data excludes non-injury collisions as per standard operating procedure.</w:t>
      </w:r>
      <w:r>
        <w:rPr>
          <w:i/>
          <w:iCs/>
          <w:sz w:val="20"/>
          <w:szCs w:val="20"/>
        </w:rPr>
        <w:t xml:space="preserve">  O</w:t>
      </w:r>
      <w:r w:rsidRPr="0094515F">
        <w:rPr>
          <w:i/>
          <w:iCs/>
          <w:sz w:val="20"/>
          <w:szCs w:val="20"/>
        </w:rPr>
        <w:t>n the 12th June 2019, CRaSH was implemented within D Division. On the 3rd July 2019, CRaSH was implemented across the other Police Divisions within Police Scotland. CRaSH replaced the existing procedures for recording Road Traffic Collisions.</w:t>
      </w:r>
      <w:r>
        <w:rPr>
          <w:i/>
          <w:iCs/>
          <w:sz w:val="20"/>
          <w:szCs w:val="20"/>
        </w:rPr>
        <w:t xml:space="preserve">  </w:t>
      </w:r>
      <w:r w:rsidRPr="0094515F">
        <w:rPr>
          <w:i/>
          <w:iCs/>
          <w:sz w:val="20"/>
          <w:szCs w:val="20"/>
        </w:rPr>
        <w:t>Note - the data is subject to change and will be updated on the next extract of data from CRaSH on 3rd January 2024.</w:t>
      </w:r>
      <w:r w:rsidRPr="0094515F">
        <w:rPr>
          <w:i/>
          <w:iCs/>
          <w:sz w:val="20"/>
          <w:szCs w:val="20"/>
        </w:rPr>
        <w:tab/>
      </w:r>
      <w:r w:rsidRPr="0094515F">
        <w:rPr>
          <w:i/>
          <w:iCs/>
          <w:sz w:val="20"/>
          <w:szCs w:val="20"/>
        </w:rPr>
        <w:tab/>
      </w:r>
      <w:r w:rsidRPr="0094515F">
        <w:rPr>
          <w:i/>
          <w:iCs/>
          <w:sz w:val="20"/>
          <w:szCs w:val="20"/>
        </w:rPr>
        <w:tab/>
      </w:r>
      <w:r w:rsidRPr="0094515F">
        <w:rPr>
          <w:i/>
          <w:iCs/>
          <w:sz w:val="20"/>
          <w:szCs w:val="20"/>
        </w:rPr>
        <w:tab/>
      </w:r>
    </w:p>
    <w:p w14:paraId="68125144" w14:textId="77777777" w:rsidR="0094515F" w:rsidRPr="0094515F" w:rsidRDefault="0094515F" w:rsidP="0094515F">
      <w:pPr>
        <w:jc w:val="both"/>
        <w:rPr>
          <w:i/>
          <w:iCs/>
          <w:sz w:val="20"/>
          <w:szCs w:val="20"/>
        </w:rPr>
      </w:pPr>
      <w:r w:rsidRPr="0094515F">
        <w:rPr>
          <w:i/>
          <w:iCs/>
          <w:sz w:val="20"/>
          <w:szCs w:val="20"/>
        </w:rPr>
        <w:t>2. Specified areas have been selected using GIS Mapping based on the Grid East and Grid North attached to the Road Traffic Collision.  Records on the unammed road with ituated on a latitude of 56.194203 and a longitude of -3.264195 have been selected.</w:t>
      </w:r>
      <w:r w:rsidRPr="0094515F">
        <w:rPr>
          <w:i/>
          <w:iCs/>
          <w:sz w:val="20"/>
          <w:szCs w:val="20"/>
        </w:rPr>
        <w:tab/>
      </w:r>
      <w:r w:rsidRPr="0094515F">
        <w:rPr>
          <w:i/>
          <w:iCs/>
          <w:sz w:val="20"/>
          <w:szCs w:val="20"/>
        </w:rPr>
        <w:tab/>
      </w:r>
      <w:r w:rsidRPr="0094515F">
        <w:rPr>
          <w:i/>
          <w:iCs/>
          <w:sz w:val="20"/>
          <w:szCs w:val="20"/>
        </w:rPr>
        <w:tab/>
      </w:r>
      <w:r w:rsidRPr="0094515F">
        <w:rPr>
          <w:i/>
          <w:iCs/>
          <w:sz w:val="20"/>
          <w:szCs w:val="20"/>
        </w:rPr>
        <w:tab/>
      </w:r>
    </w:p>
    <w:p w14:paraId="6BD6FAEF" w14:textId="21C48E66" w:rsidR="0094515F" w:rsidRDefault="0094515F" w:rsidP="0094515F">
      <w:pPr>
        <w:rPr>
          <w:i/>
          <w:iCs/>
          <w:sz w:val="20"/>
          <w:szCs w:val="20"/>
        </w:rPr>
      </w:pPr>
      <w:r w:rsidRPr="0094515F">
        <w:rPr>
          <w:i/>
          <w:iCs/>
          <w:sz w:val="20"/>
          <w:szCs w:val="20"/>
        </w:rPr>
        <w:t>3. Please note, each record will need to be read to confirm the circumstances and location of the Road Traffic Collision.</w:t>
      </w:r>
      <w:r w:rsidRPr="0094515F">
        <w:rPr>
          <w:i/>
          <w:iCs/>
          <w:sz w:val="20"/>
          <w:szCs w:val="20"/>
        </w:rPr>
        <w:tab/>
      </w:r>
    </w:p>
    <w:p w14:paraId="62536BB8" w14:textId="7710243A" w:rsidR="0094515F" w:rsidRDefault="0094515F" w:rsidP="0094515F">
      <w:pPr>
        <w:rPr>
          <w:b/>
          <w:bCs/>
        </w:rPr>
      </w:pPr>
      <w:r w:rsidRPr="0094515F">
        <w:rPr>
          <w:b/>
          <w:bCs/>
        </w:rPr>
        <w:lastRenderedPageBreak/>
        <w:t>Road Traffic Storm Incidents, Specified Area, Tayside Division</w:t>
      </w:r>
      <w:r>
        <w:rPr>
          <w:b/>
          <w:bCs/>
        </w:rPr>
        <w:t xml:space="preserve"> - </w:t>
      </w:r>
      <w:r w:rsidRPr="0094515F">
        <w:rPr>
          <w:b/>
          <w:bCs/>
        </w:rPr>
        <w:t>10th October 2016 - 30th November 2023, Calendar Year</w:t>
      </w:r>
    </w:p>
    <w:tbl>
      <w:tblPr>
        <w:tblW w:w="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1200"/>
      </w:tblGrid>
      <w:tr w:rsidR="0094515F" w:rsidRPr="0094515F" w14:paraId="2F4CB3FA" w14:textId="77777777" w:rsidTr="00340455">
        <w:trPr>
          <w:trHeight w:val="330"/>
        </w:trPr>
        <w:tc>
          <w:tcPr>
            <w:tcW w:w="3340" w:type="dxa"/>
            <w:shd w:val="clear" w:color="auto" w:fill="BFBFBF" w:themeFill="background1" w:themeFillShade="BF"/>
            <w:noWrap/>
            <w:vAlign w:val="center"/>
            <w:hideMark/>
          </w:tcPr>
          <w:p w14:paraId="4EA5295C" w14:textId="1E90575F" w:rsidR="0094515F" w:rsidRPr="0094515F" w:rsidRDefault="0094515F" w:rsidP="0094515F">
            <w:pPr>
              <w:spacing w:line="276" w:lineRule="auto"/>
              <w:rPr>
                <w:b/>
                <w:bCs/>
              </w:rPr>
            </w:pPr>
            <w:r w:rsidRPr="0094515F">
              <w:rPr>
                <w:b/>
                <w:bCs/>
              </w:rPr>
              <w:t xml:space="preserve">Final </w:t>
            </w:r>
            <w:r>
              <w:rPr>
                <w:b/>
                <w:bCs/>
              </w:rPr>
              <w:t>S</w:t>
            </w:r>
            <w:r w:rsidRPr="0094515F">
              <w:rPr>
                <w:b/>
                <w:bCs/>
              </w:rPr>
              <w:t xml:space="preserve">ervice </w:t>
            </w:r>
            <w:r>
              <w:rPr>
                <w:b/>
                <w:bCs/>
              </w:rPr>
              <w:t>C</w:t>
            </w:r>
            <w:r w:rsidRPr="0094515F">
              <w:rPr>
                <w:b/>
                <w:bCs/>
              </w:rPr>
              <w:t>ode</w:t>
            </w:r>
          </w:p>
        </w:tc>
        <w:tc>
          <w:tcPr>
            <w:tcW w:w="1200" w:type="dxa"/>
            <w:shd w:val="clear" w:color="auto" w:fill="BFBFBF" w:themeFill="background1" w:themeFillShade="BF"/>
            <w:noWrap/>
            <w:vAlign w:val="center"/>
            <w:hideMark/>
          </w:tcPr>
          <w:p w14:paraId="3130918E" w14:textId="706337F5" w:rsidR="0094515F" w:rsidRPr="0094515F" w:rsidRDefault="0094515F" w:rsidP="0094515F">
            <w:pPr>
              <w:spacing w:line="276" w:lineRule="auto"/>
              <w:rPr>
                <w:b/>
                <w:bCs/>
              </w:rPr>
            </w:pPr>
            <w:r w:rsidRPr="0094515F">
              <w:rPr>
                <w:b/>
                <w:bCs/>
              </w:rPr>
              <w:t>2019</w:t>
            </w:r>
          </w:p>
        </w:tc>
      </w:tr>
      <w:tr w:rsidR="0094515F" w:rsidRPr="0094515F" w14:paraId="15158A1C" w14:textId="77777777" w:rsidTr="0094515F">
        <w:trPr>
          <w:trHeight w:val="300"/>
        </w:trPr>
        <w:tc>
          <w:tcPr>
            <w:tcW w:w="3340" w:type="dxa"/>
            <w:shd w:val="clear" w:color="auto" w:fill="auto"/>
            <w:noWrap/>
            <w:hideMark/>
          </w:tcPr>
          <w:p w14:paraId="3D6DB76E" w14:textId="0805630D" w:rsidR="0094515F" w:rsidRPr="0094515F" w:rsidRDefault="0094515F" w:rsidP="0094515F">
            <w:pPr>
              <w:spacing w:line="276" w:lineRule="auto"/>
            </w:pPr>
            <w:r w:rsidRPr="0094515F">
              <w:t>Road traffic matter</w:t>
            </w:r>
          </w:p>
        </w:tc>
        <w:tc>
          <w:tcPr>
            <w:tcW w:w="1200" w:type="dxa"/>
            <w:shd w:val="clear" w:color="auto" w:fill="auto"/>
            <w:noWrap/>
            <w:vAlign w:val="bottom"/>
            <w:hideMark/>
          </w:tcPr>
          <w:p w14:paraId="3522DA18" w14:textId="327DFAB3" w:rsidR="0094515F" w:rsidRPr="0094515F" w:rsidRDefault="0094515F" w:rsidP="0094515F">
            <w:pPr>
              <w:spacing w:line="276" w:lineRule="auto"/>
            </w:pPr>
            <w:r w:rsidRPr="0094515F">
              <w:t>1</w:t>
            </w:r>
          </w:p>
        </w:tc>
      </w:tr>
    </w:tbl>
    <w:p w14:paraId="42789AEF" w14:textId="77777777" w:rsidR="00340455" w:rsidRDefault="00340455" w:rsidP="00340455">
      <w:pPr>
        <w:rPr>
          <w:i/>
          <w:iCs/>
          <w:sz w:val="20"/>
          <w:szCs w:val="20"/>
        </w:rPr>
      </w:pPr>
    </w:p>
    <w:p w14:paraId="1D0613FC" w14:textId="1F16A304" w:rsidR="00340455" w:rsidRPr="00340455" w:rsidRDefault="00340455" w:rsidP="00340455">
      <w:pPr>
        <w:rPr>
          <w:i/>
          <w:iCs/>
          <w:sz w:val="20"/>
          <w:szCs w:val="20"/>
        </w:rPr>
      </w:pPr>
      <w:r w:rsidRPr="00340455">
        <w:rPr>
          <w:i/>
          <w:iCs/>
          <w:sz w:val="20"/>
          <w:szCs w:val="20"/>
        </w:rPr>
        <w:t>All statistics are provisional and should be treated as management information. All data have been extracted from Police Scotland internal systems and are correct as at 22/12/2023.  Data has been extracted from the Storm Unity database.</w:t>
      </w:r>
      <w:r w:rsidRPr="00340455">
        <w:rPr>
          <w:i/>
          <w:iCs/>
          <w:sz w:val="20"/>
          <w:szCs w:val="20"/>
        </w:rPr>
        <w:tab/>
      </w:r>
    </w:p>
    <w:p w14:paraId="0D397734" w14:textId="77777777" w:rsidR="00340455" w:rsidRPr="00340455" w:rsidRDefault="00340455" w:rsidP="00340455">
      <w:pPr>
        <w:rPr>
          <w:i/>
          <w:iCs/>
          <w:sz w:val="20"/>
          <w:szCs w:val="20"/>
        </w:rPr>
      </w:pPr>
      <w:r w:rsidRPr="00340455">
        <w:rPr>
          <w:i/>
          <w:iCs/>
          <w:sz w:val="20"/>
          <w:szCs w:val="20"/>
        </w:rPr>
        <w:t>1. The data was extracted using the incident's raised date and by using initial incident codes TR-41 (Road Traffic Collision) and TR-43 (Road Traffic Matter).</w:t>
      </w:r>
      <w:r w:rsidRPr="00340455">
        <w:rPr>
          <w:i/>
          <w:iCs/>
          <w:sz w:val="20"/>
          <w:szCs w:val="20"/>
        </w:rPr>
        <w:tab/>
      </w:r>
    </w:p>
    <w:p w14:paraId="709EB265" w14:textId="77777777" w:rsidR="00340455" w:rsidRPr="00340455" w:rsidRDefault="00340455" w:rsidP="00340455">
      <w:pPr>
        <w:rPr>
          <w:i/>
          <w:iCs/>
          <w:sz w:val="20"/>
          <w:szCs w:val="20"/>
        </w:rPr>
      </w:pPr>
      <w:r w:rsidRPr="00340455">
        <w:rPr>
          <w:i/>
          <w:iCs/>
          <w:sz w:val="20"/>
          <w:szCs w:val="20"/>
        </w:rPr>
        <w:t>2. Transferred and error incidents have been removed.</w:t>
      </w:r>
      <w:r w:rsidRPr="00340455">
        <w:rPr>
          <w:i/>
          <w:iCs/>
          <w:sz w:val="20"/>
          <w:szCs w:val="20"/>
        </w:rPr>
        <w:tab/>
      </w:r>
    </w:p>
    <w:p w14:paraId="132EC8DA" w14:textId="77777777" w:rsidR="00340455" w:rsidRPr="00340455" w:rsidRDefault="00340455" w:rsidP="00340455">
      <w:pPr>
        <w:rPr>
          <w:i/>
          <w:iCs/>
          <w:sz w:val="20"/>
          <w:szCs w:val="20"/>
        </w:rPr>
      </w:pPr>
      <w:r w:rsidRPr="00340455">
        <w:rPr>
          <w:i/>
          <w:iCs/>
          <w:sz w:val="20"/>
          <w:szCs w:val="20"/>
        </w:rPr>
        <w:t>3. Specified areas have been selected using GIS Mapping using the Grid East and Grid North attached to the incident.  Records on the unammed road situated on a latitude of 56.194203 and a longitude of -3.264195 have been selected.</w:t>
      </w:r>
      <w:r w:rsidRPr="00340455">
        <w:rPr>
          <w:i/>
          <w:iCs/>
          <w:sz w:val="20"/>
          <w:szCs w:val="20"/>
        </w:rPr>
        <w:tab/>
      </w:r>
    </w:p>
    <w:p w14:paraId="04DC05ED" w14:textId="77777777" w:rsidR="00340455" w:rsidRPr="00340455" w:rsidRDefault="00340455" w:rsidP="00340455">
      <w:pPr>
        <w:rPr>
          <w:i/>
          <w:iCs/>
          <w:sz w:val="20"/>
          <w:szCs w:val="20"/>
        </w:rPr>
      </w:pPr>
      <w:r w:rsidRPr="00340455">
        <w:rPr>
          <w:i/>
          <w:iCs/>
          <w:sz w:val="20"/>
          <w:szCs w:val="20"/>
        </w:rPr>
        <w:t>4. Please note, each record will need to be read to confirm the circumstances and location of the incident.</w:t>
      </w:r>
      <w:r w:rsidRPr="00340455">
        <w:rPr>
          <w:i/>
          <w:iCs/>
          <w:sz w:val="20"/>
          <w:szCs w:val="20"/>
        </w:rPr>
        <w:tab/>
      </w:r>
    </w:p>
    <w:p w14:paraId="693785F0" w14:textId="07DC0774" w:rsidR="0094515F" w:rsidRPr="00340455" w:rsidRDefault="00340455" w:rsidP="00340455">
      <w:pPr>
        <w:rPr>
          <w:i/>
          <w:iCs/>
          <w:sz w:val="20"/>
          <w:szCs w:val="20"/>
        </w:rPr>
      </w:pPr>
      <w:r w:rsidRPr="00340455">
        <w:rPr>
          <w:i/>
          <w:iCs/>
          <w:sz w:val="20"/>
          <w:szCs w:val="20"/>
        </w:rPr>
        <w:t>5. Please note, the Grid East and Grid North relates to where Police Officers are directed to attend.</w:t>
      </w:r>
      <w:r w:rsidRPr="00340455">
        <w:rPr>
          <w:i/>
          <w:iCs/>
          <w:sz w:val="20"/>
          <w:szCs w:val="20"/>
        </w:rPr>
        <w:tab/>
      </w:r>
    </w:p>
    <w:sectPr w:rsidR="0094515F" w:rsidRPr="00340455"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FB3A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565E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C5C8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D0AC4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1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82467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E68B6C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481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60B42"/>
    <w:multiLevelType w:val="hybridMultilevel"/>
    <w:tmpl w:val="6874AEB0"/>
    <w:lvl w:ilvl="0" w:tplc="0448914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48435D"/>
    <w:multiLevelType w:val="hybridMultilevel"/>
    <w:tmpl w:val="D310893C"/>
    <w:lvl w:ilvl="0" w:tplc="92C4CDF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8C4C7F"/>
    <w:multiLevelType w:val="hybridMultilevel"/>
    <w:tmpl w:val="C0168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43402055">
    <w:abstractNumId w:val="3"/>
  </w:num>
  <w:num w:numId="2" w16cid:durableId="918174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360570">
    <w:abstractNumId w:val="1"/>
  </w:num>
  <w:num w:numId="4" w16cid:durableId="947586444">
    <w:abstractNumId w:val="2"/>
  </w:num>
  <w:num w:numId="5" w16cid:durableId="174387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9E8"/>
    <w:rsid w:val="00090F3B"/>
    <w:rsid w:val="000E2F19"/>
    <w:rsid w:val="000E6526"/>
    <w:rsid w:val="00141533"/>
    <w:rsid w:val="00167528"/>
    <w:rsid w:val="00195CC4"/>
    <w:rsid w:val="001E4124"/>
    <w:rsid w:val="00207326"/>
    <w:rsid w:val="00253DF6"/>
    <w:rsid w:val="00255F1E"/>
    <w:rsid w:val="00264817"/>
    <w:rsid w:val="002B308E"/>
    <w:rsid w:val="0034045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672F"/>
    <w:rsid w:val="006D5799"/>
    <w:rsid w:val="00750D83"/>
    <w:rsid w:val="00785DBC"/>
    <w:rsid w:val="00793DD5"/>
    <w:rsid w:val="007A5951"/>
    <w:rsid w:val="007D55F6"/>
    <w:rsid w:val="007F490F"/>
    <w:rsid w:val="0086779C"/>
    <w:rsid w:val="00874BFD"/>
    <w:rsid w:val="008964EF"/>
    <w:rsid w:val="0094515F"/>
    <w:rsid w:val="009631A4"/>
    <w:rsid w:val="00977296"/>
    <w:rsid w:val="00A25E93"/>
    <w:rsid w:val="00A320FF"/>
    <w:rsid w:val="00A52891"/>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6115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roclaim">
    <w:name w:val="Proclaim"/>
    <w:basedOn w:val="Normal"/>
    <w:uiPriority w:val="99"/>
    <w:rsid w:val="007A5951"/>
    <w:pPr>
      <w:autoSpaceDE w:val="0"/>
      <w:autoSpaceDN w:val="0"/>
      <w:spacing w:before="0" w:after="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9250">
      <w:bodyDiv w:val="1"/>
      <w:marLeft w:val="0"/>
      <w:marRight w:val="0"/>
      <w:marTop w:val="0"/>
      <w:marBottom w:val="0"/>
      <w:divBdr>
        <w:top w:val="none" w:sz="0" w:space="0" w:color="auto"/>
        <w:left w:val="none" w:sz="0" w:space="0" w:color="auto"/>
        <w:bottom w:val="none" w:sz="0" w:space="0" w:color="auto"/>
        <w:right w:val="none" w:sz="0" w:space="0" w:color="auto"/>
      </w:divBdr>
    </w:div>
    <w:div w:id="519319662">
      <w:bodyDiv w:val="1"/>
      <w:marLeft w:val="0"/>
      <w:marRight w:val="0"/>
      <w:marTop w:val="0"/>
      <w:marBottom w:val="0"/>
      <w:divBdr>
        <w:top w:val="none" w:sz="0" w:space="0" w:color="auto"/>
        <w:left w:val="none" w:sz="0" w:space="0" w:color="auto"/>
        <w:bottom w:val="none" w:sz="0" w:space="0" w:color="auto"/>
        <w:right w:val="none" w:sz="0" w:space="0" w:color="auto"/>
      </w:divBdr>
    </w:div>
    <w:div w:id="1063604967">
      <w:bodyDiv w:val="1"/>
      <w:marLeft w:val="0"/>
      <w:marRight w:val="0"/>
      <w:marTop w:val="0"/>
      <w:marBottom w:val="0"/>
      <w:divBdr>
        <w:top w:val="none" w:sz="0" w:space="0" w:color="auto"/>
        <w:left w:val="none" w:sz="0" w:space="0" w:color="auto"/>
        <w:bottom w:val="none" w:sz="0" w:space="0" w:color="auto"/>
        <w:right w:val="none" w:sz="0" w:space="0" w:color="auto"/>
      </w:divBdr>
    </w:div>
    <w:div w:id="1696611352">
      <w:bodyDiv w:val="1"/>
      <w:marLeft w:val="0"/>
      <w:marRight w:val="0"/>
      <w:marTop w:val="0"/>
      <w:marBottom w:val="0"/>
      <w:divBdr>
        <w:top w:val="none" w:sz="0" w:space="0" w:color="auto"/>
        <w:left w:val="none" w:sz="0" w:space="0" w:color="auto"/>
        <w:bottom w:val="none" w:sz="0" w:space="0" w:color="auto"/>
        <w:right w:val="none" w:sz="0" w:space="0" w:color="auto"/>
      </w:divBdr>
    </w:div>
    <w:div w:id="1721052731">
      <w:bodyDiv w:val="1"/>
      <w:marLeft w:val="0"/>
      <w:marRight w:val="0"/>
      <w:marTop w:val="0"/>
      <w:marBottom w:val="0"/>
      <w:divBdr>
        <w:top w:val="none" w:sz="0" w:space="0" w:color="auto"/>
        <w:left w:val="none" w:sz="0" w:space="0" w:color="auto"/>
        <w:bottom w:val="none" w:sz="0" w:space="0" w:color="auto"/>
        <w:right w:val="none" w:sz="0" w:space="0" w:color="auto"/>
      </w:divBdr>
    </w:div>
    <w:div w:id="1782458551">
      <w:bodyDiv w:val="1"/>
      <w:marLeft w:val="0"/>
      <w:marRight w:val="0"/>
      <w:marTop w:val="0"/>
      <w:marBottom w:val="0"/>
      <w:divBdr>
        <w:top w:val="none" w:sz="0" w:space="0" w:color="auto"/>
        <w:left w:val="none" w:sz="0" w:space="0" w:color="auto"/>
        <w:bottom w:val="none" w:sz="0" w:space="0" w:color="auto"/>
        <w:right w:val="none" w:sz="0" w:space="0" w:color="auto"/>
      </w:divBdr>
    </w:div>
    <w:div w:id="2104299463">
      <w:bodyDiv w:val="1"/>
      <w:marLeft w:val="0"/>
      <w:marRight w:val="0"/>
      <w:marTop w:val="0"/>
      <w:marBottom w:val="0"/>
      <w:divBdr>
        <w:top w:val="none" w:sz="0" w:space="0" w:color="auto"/>
        <w:left w:val="none" w:sz="0" w:space="0" w:color="auto"/>
        <w:bottom w:val="none" w:sz="0" w:space="0" w:color="auto"/>
        <w:right w:val="none" w:sz="0" w:space="0" w:color="auto"/>
      </w:divBdr>
    </w:div>
    <w:div w:id="211636350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835</Words>
  <Characters>4763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2024-01-03T15:02:00Z</cp:lastPrinted>
  <dcterms:created xsi:type="dcterms:W3CDTF">2023-12-08T11:52:00Z</dcterms:created>
  <dcterms:modified xsi:type="dcterms:W3CDTF">2024-01-03T15:03:00Z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