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92464B" w:rsidR="00B17211" w:rsidRPr="00B17211" w:rsidRDefault="00B17211" w:rsidP="007F490F">
            <w:r w:rsidRPr="007F490F">
              <w:rPr>
                <w:rStyle w:val="Heading2Char"/>
              </w:rPr>
              <w:t>Our reference:</w:t>
            </w:r>
            <w:r>
              <w:t xml:space="preserve">  FOI 2</w:t>
            </w:r>
            <w:r w:rsidR="00EF0FBB">
              <w:t>5</w:t>
            </w:r>
            <w:r>
              <w:t>-</w:t>
            </w:r>
            <w:r w:rsidR="00EE6C04">
              <w:t>0613</w:t>
            </w:r>
          </w:p>
          <w:p w14:paraId="34BDABA6" w14:textId="73D401DB" w:rsidR="00B17211" w:rsidRDefault="00456324" w:rsidP="00EE2373">
            <w:r w:rsidRPr="007F490F">
              <w:rPr>
                <w:rStyle w:val="Heading2Char"/>
              </w:rPr>
              <w:t>Respon</w:t>
            </w:r>
            <w:r w:rsidR="007D55F6">
              <w:rPr>
                <w:rStyle w:val="Heading2Char"/>
              </w:rPr>
              <w:t>ded to:</w:t>
            </w:r>
            <w:r w:rsidR="007F490F">
              <w:t xml:space="preserve">  </w:t>
            </w:r>
            <w:r w:rsidR="00EE6C04">
              <w:t>05</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DEC44A" w14:textId="67AEAEE5" w:rsidR="00233FC8" w:rsidRDefault="00B628CC" w:rsidP="00B628CC">
      <w:pPr>
        <w:pStyle w:val="Heading2"/>
      </w:pPr>
      <w:r w:rsidRPr="00B628CC">
        <w:rPr>
          <w:b w:val="0"/>
        </w:rPr>
        <w:t>1)</w:t>
      </w:r>
      <w:r>
        <w:t xml:space="preserve"> </w:t>
      </w:r>
      <w:r w:rsidR="00233FC8" w:rsidRPr="00233FC8">
        <w:t>Please provide the number of 'non crime hate incidents' that have been recorded each month for the entirety of 2024 (Jan-Dec) (FOI response 24-1853 and 24-0893 already contain some of this data)</w:t>
      </w:r>
    </w:p>
    <w:p w14:paraId="3F84E3DD" w14:textId="7328DBE0" w:rsidR="00670A75" w:rsidRPr="00F60B29" w:rsidRDefault="00B628CC" w:rsidP="00B628CC">
      <w:pPr>
        <w:rPr>
          <w:bCs/>
        </w:rPr>
      </w:pPr>
      <w:r>
        <w:rPr>
          <w:bCs/>
        </w:rPr>
        <w:t>The table below details</w:t>
      </w:r>
      <w:r w:rsidRPr="00F60B29">
        <w:rPr>
          <w:bCs/>
        </w:rPr>
        <w:t xml:space="preserve"> </w:t>
      </w:r>
      <w:r>
        <w:rPr>
          <w:bCs/>
        </w:rPr>
        <w:t xml:space="preserve">recorded </w:t>
      </w:r>
      <w:r w:rsidRPr="00F60B29">
        <w:rPr>
          <w:bCs/>
        </w:rPr>
        <w:t xml:space="preserve">Non-Crime Hate Incidents, </w:t>
      </w:r>
      <w:r>
        <w:rPr>
          <w:bCs/>
        </w:rPr>
        <w:t xml:space="preserve">for the period </w:t>
      </w:r>
      <w:r w:rsidRPr="00F60B29">
        <w:rPr>
          <w:bCs/>
        </w:rPr>
        <w:t>1st January - 31st December 2024</w:t>
      </w:r>
      <w:r>
        <w:rPr>
          <w:bCs/>
        </w:rPr>
        <w:t>.</w:t>
      </w:r>
    </w:p>
    <w:tbl>
      <w:tblPr>
        <w:tblStyle w:val="TableGrid"/>
        <w:tblW w:w="0" w:type="auto"/>
        <w:tblLook w:val="04A0" w:firstRow="1" w:lastRow="0" w:firstColumn="1" w:lastColumn="0" w:noHBand="0" w:noVBand="1"/>
        <w:tblCaption w:val="Example table"/>
        <w:tblDescription w:val="Example table"/>
      </w:tblPr>
      <w:tblGrid>
        <w:gridCol w:w="2030"/>
        <w:gridCol w:w="3150"/>
      </w:tblGrid>
      <w:tr w:rsidR="002B0C0C" w:rsidRPr="00557306" w14:paraId="0464D66B" w14:textId="77777777" w:rsidTr="00914D81">
        <w:trPr>
          <w:tblHeader/>
        </w:trPr>
        <w:tc>
          <w:tcPr>
            <w:tcW w:w="0" w:type="auto"/>
            <w:shd w:val="clear" w:color="auto" w:fill="E7E6E6" w:themeFill="background2"/>
          </w:tcPr>
          <w:p w14:paraId="39981E85" w14:textId="1A4984E3" w:rsidR="002B0C0C" w:rsidRPr="00557306" w:rsidRDefault="002B0C0C" w:rsidP="00571940">
            <w:pPr>
              <w:spacing w:line="240" w:lineRule="auto"/>
              <w:rPr>
                <w:b/>
              </w:rPr>
            </w:pPr>
            <w:r>
              <w:rPr>
                <w:b/>
              </w:rPr>
              <w:t>Calendar Month</w:t>
            </w:r>
          </w:p>
        </w:tc>
        <w:tc>
          <w:tcPr>
            <w:tcW w:w="0" w:type="auto"/>
            <w:shd w:val="clear" w:color="auto" w:fill="E7E6E6" w:themeFill="background2"/>
          </w:tcPr>
          <w:p w14:paraId="1BD7AEFB" w14:textId="134561E6" w:rsidR="002B0C0C" w:rsidRPr="00557306" w:rsidRDefault="002B0C0C" w:rsidP="00571940">
            <w:pPr>
              <w:spacing w:line="240" w:lineRule="auto"/>
              <w:rPr>
                <w:b/>
              </w:rPr>
            </w:pPr>
            <w:r>
              <w:rPr>
                <w:b/>
              </w:rPr>
              <w:t>Non-Crime Ha</w:t>
            </w:r>
            <w:r w:rsidR="00F60B29">
              <w:rPr>
                <w:b/>
              </w:rPr>
              <w:t>t</w:t>
            </w:r>
            <w:r>
              <w:rPr>
                <w:b/>
              </w:rPr>
              <w:t>e Incidents</w:t>
            </w:r>
          </w:p>
        </w:tc>
      </w:tr>
      <w:tr w:rsidR="002B0C0C" w14:paraId="422B0A20" w14:textId="77777777" w:rsidTr="002B0C0C">
        <w:tc>
          <w:tcPr>
            <w:tcW w:w="0" w:type="auto"/>
          </w:tcPr>
          <w:p w14:paraId="2B827028" w14:textId="69B63626" w:rsidR="002B0C0C" w:rsidRDefault="002B0C0C" w:rsidP="00571940">
            <w:pPr>
              <w:tabs>
                <w:tab w:val="left" w:pos="5400"/>
              </w:tabs>
              <w:spacing w:line="240" w:lineRule="auto"/>
            </w:pPr>
            <w:r>
              <w:t>January</w:t>
            </w:r>
          </w:p>
        </w:tc>
        <w:tc>
          <w:tcPr>
            <w:tcW w:w="0" w:type="auto"/>
          </w:tcPr>
          <w:p w14:paraId="46158B98" w14:textId="668F411D" w:rsidR="002B0C0C" w:rsidRDefault="002B0C0C" w:rsidP="00571940">
            <w:pPr>
              <w:tabs>
                <w:tab w:val="left" w:pos="5400"/>
              </w:tabs>
              <w:spacing w:line="240" w:lineRule="auto"/>
            </w:pPr>
            <w:r>
              <w:t>102</w:t>
            </w:r>
          </w:p>
        </w:tc>
      </w:tr>
      <w:tr w:rsidR="002B0C0C" w14:paraId="1F796AB8" w14:textId="77777777" w:rsidTr="002B0C0C">
        <w:tc>
          <w:tcPr>
            <w:tcW w:w="0" w:type="auto"/>
          </w:tcPr>
          <w:p w14:paraId="7707D79F" w14:textId="64D93FBF" w:rsidR="002B0C0C" w:rsidRDefault="002B0C0C" w:rsidP="00571940">
            <w:pPr>
              <w:tabs>
                <w:tab w:val="left" w:pos="5400"/>
              </w:tabs>
              <w:spacing w:line="240" w:lineRule="auto"/>
            </w:pPr>
            <w:r>
              <w:t>February</w:t>
            </w:r>
          </w:p>
        </w:tc>
        <w:tc>
          <w:tcPr>
            <w:tcW w:w="0" w:type="auto"/>
          </w:tcPr>
          <w:p w14:paraId="02E7E42E" w14:textId="02A7AED6" w:rsidR="002B0C0C" w:rsidRDefault="002B0C0C" w:rsidP="00571940">
            <w:pPr>
              <w:tabs>
                <w:tab w:val="left" w:pos="5400"/>
              </w:tabs>
              <w:spacing w:line="240" w:lineRule="auto"/>
            </w:pPr>
            <w:r>
              <w:t>121</w:t>
            </w:r>
          </w:p>
        </w:tc>
      </w:tr>
      <w:tr w:rsidR="002B0C0C" w14:paraId="625BA531" w14:textId="77777777" w:rsidTr="002B0C0C">
        <w:tc>
          <w:tcPr>
            <w:tcW w:w="0" w:type="auto"/>
          </w:tcPr>
          <w:p w14:paraId="4406DE21" w14:textId="72DE5908" w:rsidR="002B0C0C" w:rsidRDefault="002B0C0C" w:rsidP="00571940">
            <w:pPr>
              <w:tabs>
                <w:tab w:val="left" w:pos="5400"/>
              </w:tabs>
              <w:spacing w:line="240" w:lineRule="auto"/>
            </w:pPr>
            <w:r>
              <w:t>March</w:t>
            </w:r>
          </w:p>
        </w:tc>
        <w:tc>
          <w:tcPr>
            <w:tcW w:w="0" w:type="auto"/>
          </w:tcPr>
          <w:p w14:paraId="5684714D" w14:textId="5B20DC66" w:rsidR="002B0C0C" w:rsidRDefault="002B0C0C" w:rsidP="00571940">
            <w:pPr>
              <w:tabs>
                <w:tab w:val="left" w:pos="5400"/>
              </w:tabs>
              <w:spacing w:line="240" w:lineRule="auto"/>
            </w:pPr>
            <w:r>
              <w:t>167</w:t>
            </w:r>
          </w:p>
        </w:tc>
      </w:tr>
      <w:tr w:rsidR="002B0C0C" w14:paraId="154C91E0" w14:textId="77777777" w:rsidTr="002B0C0C">
        <w:tc>
          <w:tcPr>
            <w:tcW w:w="0" w:type="auto"/>
          </w:tcPr>
          <w:p w14:paraId="1559D20C" w14:textId="3B8F253F" w:rsidR="002B0C0C" w:rsidRDefault="002B0C0C" w:rsidP="00571940">
            <w:pPr>
              <w:tabs>
                <w:tab w:val="left" w:pos="5400"/>
              </w:tabs>
              <w:spacing w:line="240" w:lineRule="auto"/>
            </w:pPr>
            <w:r>
              <w:t>April</w:t>
            </w:r>
          </w:p>
        </w:tc>
        <w:tc>
          <w:tcPr>
            <w:tcW w:w="0" w:type="auto"/>
          </w:tcPr>
          <w:p w14:paraId="31DBC8B6" w14:textId="278A5ECF" w:rsidR="002B0C0C" w:rsidRDefault="002B0C0C" w:rsidP="00571940">
            <w:pPr>
              <w:tabs>
                <w:tab w:val="left" w:pos="5400"/>
              </w:tabs>
              <w:spacing w:line="240" w:lineRule="auto"/>
            </w:pPr>
            <w:r>
              <w:t>124</w:t>
            </w:r>
          </w:p>
        </w:tc>
      </w:tr>
      <w:tr w:rsidR="002B0C0C" w14:paraId="6582FACB" w14:textId="77777777" w:rsidTr="002B0C0C">
        <w:tc>
          <w:tcPr>
            <w:tcW w:w="0" w:type="auto"/>
          </w:tcPr>
          <w:p w14:paraId="7A6B7EF6" w14:textId="7CF554A4" w:rsidR="002B0C0C" w:rsidRDefault="002B0C0C" w:rsidP="00571940">
            <w:pPr>
              <w:tabs>
                <w:tab w:val="left" w:pos="5400"/>
              </w:tabs>
              <w:spacing w:line="240" w:lineRule="auto"/>
            </w:pPr>
            <w:r>
              <w:t>May</w:t>
            </w:r>
          </w:p>
        </w:tc>
        <w:tc>
          <w:tcPr>
            <w:tcW w:w="0" w:type="auto"/>
          </w:tcPr>
          <w:p w14:paraId="08F297BC" w14:textId="4FCF7C9F" w:rsidR="002B0C0C" w:rsidRDefault="002B0C0C" w:rsidP="00571940">
            <w:pPr>
              <w:tabs>
                <w:tab w:val="left" w:pos="5400"/>
              </w:tabs>
              <w:spacing w:line="240" w:lineRule="auto"/>
            </w:pPr>
            <w:r>
              <w:t>103</w:t>
            </w:r>
          </w:p>
        </w:tc>
      </w:tr>
      <w:tr w:rsidR="002B0C0C" w14:paraId="507B5CA6" w14:textId="77777777" w:rsidTr="002B0C0C">
        <w:tc>
          <w:tcPr>
            <w:tcW w:w="0" w:type="auto"/>
          </w:tcPr>
          <w:p w14:paraId="4846D539" w14:textId="4F10B42C" w:rsidR="002B0C0C" w:rsidRDefault="002B0C0C" w:rsidP="00571940">
            <w:pPr>
              <w:tabs>
                <w:tab w:val="left" w:pos="5400"/>
              </w:tabs>
              <w:spacing w:line="240" w:lineRule="auto"/>
            </w:pPr>
            <w:r>
              <w:t>June</w:t>
            </w:r>
          </w:p>
        </w:tc>
        <w:tc>
          <w:tcPr>
            <w:tcW w:w="0" w:type="auto"/>
          </w:tcPr>
          <w:p w14:paraId="606ED654" w14:textId="1BE8492B" w:rsidR="002B0C0C" w:rsidRDefault="002B0C0C" w:rsidP="00571940">
            <w:pPr>
              <w:tabs>
                <w:tab w:val="left" w:pos="5400"/>
              </w:tabs>
              <w:spacing w:line="240" w:lineRule="auto"/>
            </w:pPr>
            <w:r>
              <w:t>110</w:t>
            </w:r>
          </w:p>
        </w:tc>
      </w:tr>
      <w:tr w:rsidR="002B0C0C" w14:paraId="76F9A4EC" w14:textId="77777777" w:rsidTr="002B0C0C">
        <w:tc>
          <w:tcPr>
            <w:tcW w:w="0" w:type="auto"/>
          </w:tcPr>
          <w:p w14:paraId="3BA416C9" w14:textId="7DCC5624" w:rsidR="002B0C0C" w:rsidRDefault="002B0C0C" w:rsidP="00571940">
            <w:pPr>
              <w:tabs>
                <w:tab w:val="left" w:pos="5400"/>
              </w:tabs>
              <w:spacing w:line="240" w:lineRule="auto"/>
            </w:pPr>
            <w:r>
              <w:t>July</w:t>
            </w:r>
          </w:p>
        </w:tc>
        <w:tc>
          <w:tcPr>
            <w:tcW w:w="0" w:type="auto"/>
          </w:tcPr>
          <w:p w14:paraId="210AEB66" w14:textId="75FCBAF9" w:rsidR="002B0C0C" w:rsidRDefault="002B0C0C" w:rsidP="00571940">
            <w:pPr>
              <w:tabs>
                <w:tab w:val="left" w:pos="5400"/>
              </w:tabs>
              <w:spacing w:line="240" w:lineRule="auto"/>
            </w:pPr>
            <w:r>
              <w:t>95</w:t>
            </w:r>
          </w:p>
        </w:tc>
      </w:tr>
      <w:tr w:rsidR="002B0C0C" w14:paraId="33DE6BDA" w14:textId="77777777" w:rsidTr="002B0C0C">
        <w:tc>
          <w:tcPr>
            <w:tcW w:w="0" w:type="auto"/>
          </w:tcPr>
          <w:p w14:paraId="3FD43D60" w14:textId="5DBEA4FD" w:rsidR="002B0C0C" w:rsidRDefault="002B0C0C" w:rsidP="00571940">
            <w:pPr>
              <w:tabs>
                <w:tab w:val="left" w:pos="5400"/>
              </w:tabs>
              <w:spacing w:line="240" w:lineRule="auto"/>
            </w:pPr>
            <w:r>
              <w:t>August</w:t>
            </w:r>
          </w:p>
        </w:tc>
        <w:tc>
          <w:tcPr>
            <w:tcW w:w="0" w:type="auto"/>
          </w:tcPr>
          <w:p w14:paraId="4C436633" w14:textId="1B9410F7" w:rsidR="002B0C0C" w:rsidRDefault="002B0C0C" w:rsidP="00571940">
            <w:pPr>
              <w:tabs>
                <w:tab w:val="left" w:pos="5400"/>
              </w:tabs>
              <w:spacing w:line="240" w:lineRule="auto"/>
            </w:pPr>
            <w:r>
              <w:t>106</w:t>
            </w:r>
          </w:p>
        </w:tc>
      </w:tr>
      <w:tr w:rsidR="002B0C0C" w14:paraId="087DD892" w14:textId="77777777" w:rsidTr="002B0C0C">
        <w:tc>
          <w:tcPr>
            <w:tcW w:w="0" w:type="auto"/>
          </w:tcPr>
          <w:p w14:paraId="1534E4D1" w14:textId="6CA56B33" w:rsidR="002B0C0C" w:rsidRDefault="002B0C0C" w:rsidP="00571940">
            <w:pPr>
              <w:tabs>
                <w:tab w:val="left" w:pos="5400"/>
              </w:tabs>
              <w:spacing w:line="240" w:lineRule="auto"/>
            </w:pPr>
            <w:r>
              <w:t>September</w:t>
            </w:r>
          </w:p>
        </w:tc>
        <w:tc>
          <w:tcPr>
            <w:tcW w:w="0" w:type="auto"/>
          </w:tcPr>
          <w:p w14:paraId="293AF38E" w14:textId="02DB9CCA" w:rsidR="002B0C0C" w:rsidRDefault="002B0C0C" w:rsidP="00571940">
            <w:pPr>
              <w:tabs>
                <w:tab w:val="left" w:pos="5400"/>
              </w:tabs>
              <w:spacing w:line="240" w:lineRule="auto"/>
            </w:pPr>
            <w:r>
              <w:t>101</w:t>
            </w:r>
          </w:p>
        </w:tc>
      </w:tr>
      <w:tr w:rsidR="002B0C0C" w14:paraId="5BF39C3C" w14:textId="77777777" w:rsidTr="002B0C0C">
        <w:tc>
          <w:tcPr>
            <w:tcW w:w="0" w:type="auto"/>
          </w:tcPr>
          <w:p w14:paraId="494B923A" w14:textId="5700EFE6" w:rsidR="002B0C0C" w:rsidRDefault="002B0C0C" w:rsidP="00571940">
            <w:pPr>
              <w:tabs>
                <w:tab w:val="left" w:pos="5400"/>
              </w:tabs>
              <w:spacing w:line="240" w:lineRule="auto"/>
            </w:pPr>
            <w:r>
              <w:t>October</w:t>
            </w:r>
          </w:p>
        </w:tc>
        <w:tc>
          <w:tcPr>
            <w:tcW w:w="0" w:type="auto"/>
          </w:tcPr>
          <w:p w14:paraId="7335901C" w14:textId="54B74EE3" w:rsidR="002B0C0C" w:rsidRDefault="002B0C0C" w:rsidP="00571940">
            <w:pPr>
              <w:tabs>
                <w:tab w:val="left" w:pos="5400"/>
              </w:tabs>
              <w:spacing w:line="240" w:lineRule="auto"/>
            </w:pPr>
            <w:r>
              <w:t>92</w:t>
            </w:r>
          </w:p>
        </w:tc>
      </w:tr>
      <w:tr w:rsidR="002B0C0C" w14:paraId="66070D8C" w14:textId="77777777" w:rsidTr="002B0C0C">
        <w:tc>
          <w:tcPr>
            <w:tcW w:w="0" w:type="auto"/>
          </w:tcPr>
          <w:p w14:paraId="4D5E74C9" w14:textId="2A53BBDA" w:rsidR="002B0C0C" w:rsidRDefault="002B0C0C" w:rsidP="00571940">
            <w:pPr>
              <w:tabs>
                <w:tab w:val="left" w:pos="5400"/>
              </w:tabs>
              <w:spacing w:line="240" w:lineRule="auto"/>
            </w:pPr>
            <w:r>
              <w:t>November</w:t>
            </w:r>
          </w:p>
        </w:tc>
        <w:tc>
          <w:tcPr>
            <w:tcW w:w="0" w:type="auto"/>
          </w:tcPr>
          <w:p w14:paraId="3BB327E0" w14:textId="4D0E5B5B" w:rsidR="002B0C0C" w:rsidRDefault="002B0C0C" w:rsidP="00571940">
            <w:pPr>
              <w:tabs>
                <w:tab w:val="left" w:pos="5400"/>
              </w:tabs>
              <w:spacing w:line="240" w:lineRule="auto"/>
            </w:pPr>
            <w:r>
              <w:t>64</w:t>
            </w:r>
          </w:p>
        </w:tc>
      </w:tr>
      <w:tr w:rsidR="002B0C0C" w14:paraId="26A08DE1" w14:textId="77777777" w:rsidTr="002B0C0C">
        <w:tc>
          <w:tcPr>
            <w:tcW w:w="0" w:type="auto"/>
          </w:tcPr>
          <w:p w14:paraId="5ADA0F15" w14:textId="65E4A76E" w:rsidR="002B0C0C" w:rsidRDefault="002B0C0C" w:rsidP="00571940">
            <w:pPr>
              <w:tabs>
                <w:tab w:val="left" w:pos="5400"/>
              </w:tabs>
              <w:spacing w:line="240" w:lineRule="auto"/>
            </w:pPr>
            <w:r>
              <w:t>December</w:t>
            </w:r>
          </w:p>
        </w:tc>
        <w:tc>
          <w:tcPr>
            <w:tcW w:w="0" w:type="auto"/>
          </w:tcPr>
          <w:p w14:paraId="7A818186" w14:textId="3A153532" w:rsidR="002B0C0C" w:rsidRDefault="002B0C0C" w:rsidP="00571940">
            <w:pPr>
              <w:tabs>
                <w:tab w:val="left" w:pos="5400"/>
              </w:tabs>
              <w:spacing w:line="240" w:lineRule="auto"/>
            </w:pPr>
            <w:r>
              <w:t>70</w:t>
            </w:r>
          </w:p>
        </w:tc>
      </w:tr>
      <w:tr w:rsidR="002B0C0C" w14:paraId="65544549" w14:textId="77777777" w:rsidTr="002B0C0C">
        <w:tc>
          <w:tcPr>
            <w:tcW w:w="0" w:type="auto"/>
          </w:tcPr>
          <w:p w14:paraId="5C07BAD6" w14:textId="255BB745" w:rsidR="002B0C0C" w:rsidRPr="002B0C0C" w:rsidRDefault="002B0C0C" w:rsidP="00571940">
            <w:pPr>
              <w:tabs>
                <w:tab w:val="left" w:pos="5400"/>
              </w:tabs>
              <w:spacing w:line="240" w:lineRule="auto"/>
              <w:rPr>
                <w:b/>
                <w:bCs/>
              </w:rPr>
            </w:pPr>
            <w:r w:rsidRPr="002B0C0C">
              <w:rPr>
                <w:b/>
                <w:bCs/>
              </w:rPr>
              <w:t>Total</w:t>
            </w:r>
          </w:p>
        </w:tc>
        <w:tc>
          <w:tcPr>
            <w:tcW w:w="0" w:type="auto"/>
          </w:tcPr>
          <w:p w14:paraId="2F9795A2" w14:textId="63E99713" w:rsidR="002B0C0C" w:rsidRPr="002B0C0C" w:rsidRDefault="002B0C0C" w:rsidP="00571940">
            <w:pPr>
              <w:tabs>
                <w:tab w:val="left" w:pos="5400"/>
              </w:tabs>
              <w:spacing w:line="240" w:lineRule="auto"/>
              <w:rPr>
                <w:b/>
                <w:bCs/>
              </w:rPr>
            </w:pPr>
            <w:r w:rsidRPr="002B0C0C">
              <w:rPr>
                <w:b/>
                <w:bCs/>
              </w:rPr>
              <w:t>1255</w:t>
            </w:r>
          </w:p>
        </w:tc>
      </w:tr>
    </w:tbl>
    <w:p w14:paraId="5018017D" w14:textId="73EAF1C5" w:rsidR="002B0C0C" w:rsidRDefault="002B0C0C" w:rsidP="002B0C0C">
      <w:r>
        <w:t xml:space="preserve">All statistics are provisional and should be treated as management information. </w:t>
      </w:r>
      <w:r w:rsidR="00F60B29">
        <w:br/>
        <w:t xml:space="preserve">Data was </w:t>
      </w:r>
      <w:r>
        <w:t>extracted from Police Scotland systems and are correct as at 9th April 2025.</w:t>
      </w:r>
      <w:r>
        <w:tab/>
      </w:r>
      <w:r>
        <w:tab/>
      </w:r>
      <w:r>
        <w:tab/>
      </w:r>
      <w:r>
        <w:tab/>
      </w:r>
      <w:r>
        <w:tab/>
      </w:r>
      <w:r>
        <w:tab/>
      </w:r>
      <w:r>
        <w:tab/>
      </w:r>
      <w:r>
        <w:tab/>
      </w:r>
      <w:r>
        <w:tab/>
      </w:r>
      <w:r>
        <w:tab/>
      </w:r>
      <w:r>
        <w:tab/>
      </w:r>
      <w:r>
        <w:tab/>
      </w:r>
    </w:p>
    <w:p w14:paraId="0D80420F" w14:textId="36196AB7" w:rsidR="00FD6E60" w:rsidRDefault="002B0C0C" w:rsidP="002B0C0C">
      <w:r>
        <w:lastRenderedPageBreak/>
        <w:t xml:space="preserve">As there can be multiple hate concern types attached to a non-crime hate incident victim, the total number hate concern types will not reflect the number of unique hate incidents. </w:t>
      </w:r>
      <w:r w:rsidR="00F60B29">
        <w:br/>
      </w:r>
      <w:r>
        <w:t>All records relating to Non-Crime Hate Incidents have been extracted from the Interim Vulnerable Persons Database (iVPD).</w:t>
      </w:r>
      <w:r w:rsidR="00F60B29">
        <w:br/>
      </w:r>
      <w:r>
        <w:t>Non-Crime Hate Incidents are extracted from iVPD where ‘Crime Occurred’ equals ‘No’.</w:t>
      </w:r>
      <w:r w:rsidR="00F60B29">
        <w:br/>
        <w:t>T</w:t>
      </w:r>
      <w:r>
        <w:t xml:space="preserve">hese data are collated from the Police Scotland iVPD system, which has an automated </w:t>
      </w:r>
      <w:hyperlink r:id="rId11" w:history="1">
        <w:r w:rsidRPr="00F60B29">
          <w:rPr>
            <w:rStyle w:val="Hyperlink"/>
          </w:rPr>
          <w:t>weeding and retention policy</w:t>
        </w:r>
      </w:hyperlink>
      <w:r>
        <w:t xml:space="preserve"> built on to it. </w:t>
      </w:r>
    </w:p>
    <w:p w14:paraId="3FEC1A3A" w14:textId="1AA3805D" w:rsidR="00233FC8" w:rsidRDefault="002B0C0C" w:rsidP="002B0C0C">
      <w:r>
        <w:tab/>
      </w:r>
      <w:r>
        <w:tab/>
      </w:r>
      <w:r>
        <w:tab/>
      </w:r>
      <w:r>
        <w:tab/>
      </w:r>
      <w:r>
        <w:tab/>
      </w:r>
      <w:r>
        <w:tab/>
      </w:r>
    </w:p>
    <w:p w14:paraId="53491329" w14:textId="28CE0007" w:rsidR="00233FC8" w:rsidRDefault="00233FC8" w:rsidP="00233FC8">
      <w:pPr>
        <w:pStyle w:val="Heading2"/>
      </w:pPr>
      <w:r w:rsidRPr="00233FC8">
        <w:t>2) Please break down the total number of 'non crime hate incidents' for this period by the particular 'protected characteristic' that the complaints are related to (Being aware of course that an incident can relate to more than once characteristic at a time) (FOI response 24-0893 already contains some of this data)</w:t>
      </w:r>
    </w:p>
    <w:p w14:paraId="6FBFC104" w14:textId="25EFC720" w:rsidR="00233FC8" w:rsidRDefault="00DB5A40" w:rsidP="00670A75">
      <w:r>
        <w:t>P</w:t>
      </w:r>
      <w:r w:rsidRPr="00DB5A40">
        <w:t>lease see the table at the end of this document which sets out</w:t>
      </w:r>
      <w:r>
        <w:t xml:space="preserve"> </w:t>
      </w:r>
      <w:r w:rsidRPr="00DB5A40">
        <w:t>Non-Crime Hate Incidents by Hate Concern Type</w:t>
      </w:r>
      <w:r>
        <w:t>.</w:t>
      </w:r>
    </w:p>
    <w:p w14:paraId="3281B48B" w14:textId="77777777" w:rsidR="00FD6E60" w:rsidRDefault="00FD6E60" w:rsidP="00670A75"/>
    <w:p w14:paraId="77491CB1" w14:textId="2A5CBB9A" w:rsidR="00233FC8" w:rsidRPr="00233FC8" w:rsidRDefault="00233FC8" w:rsidP="00233FC8">
      <w:pPr>
        <w:pStyle w:val="Heading2"/>
      </w:pPr>
      <w:r w:rsidRPr="00233FC8">
        <w:t>3) Please state how many non crime hate incidents in 2024 were specifically recorded against a named individual (and therefore would show up on an the accused's PVG disclosure check) and how many were 'anonymised' and collected solely for police data.</w:t>
      </w:r>
    </w:p>
    <w:p w14:paraId="5FDCF734" w14:textId="77777777" w:rsidR="00233FC8" w:rsidRDefault="00233FC8" w:rsidP="00233FC8">
      <w:pPr>
        <w:tabs>
          <w:tab w:val="left" w:pos="5400"/>
        </w:tabs>
      </w:pPr>
      <w:r w:rsidRPr="00233FC8">
        <w:rPr>
          <w:b/>
          <w:bCs/>
        </w:rPr>
        <w:t>Hate Crimes</w:t>
      </w:r>
      <w:r>
        <w:t xml:space="preserve"> are recorded on the national crime system. An Interim Vulnerable Person’s Database (iVPD) Concern Report will only be created where any person has an identified vulnerability. </w:t>
      </w:r>
    </w:p>
    <w:p w14:paraId="3B046B92" w14:textId="77777777" w:rsidR="00233FC8" w:rsidRDefault="00233FC8" w:rsidP="00233FC8">
      <w:pPr>
        <w:tabs>
          <w:tab w:val="left" w:pos="5400"/>
        </w:tabs>
      </w:pPr>
      <w:r w:rsidRPr="00233FC8">
        <w:rPr>
          <w:b/>
          <w:bCs/>
        </w:rPr>
        <w:t>Non-Crime Hate Incidents</w:t>
      </w:r>
      <w:r>
        <w:t xml:space="preserve"> are recorded as a Concern Report on iVPD when it is proportionate and appropriate to do so. In those circumstances only the details of the reporter are recorded on the iVPD - unless there is a clear policing purpose to include information about other parties.</w:t>
      </w:r>
    </w:p>
    <w:p w14:paraId="792CBFF3" w14:textId="24F432E1" w:rsidR="00233FC8" w:rsidRDefault="00233FC8" w:rsidP="00233FC8">
      <w:pPr>
        <w:tabs>
          <w:tab w:val="left" w:pos="5400"/>
        </w:tabs>
      </w:pPr>
      <w:r>
        <w:t>Enhanced Disclosure and PVG checks include conviction information and may include other relevant information (ORI). ORI is police information about the applicant that the Chief Constable reasonably believes:</w:t>
      </w:r>
    </w:p>
    <w:p w14:paraId="7CD22577" w14:textId="7BBCB65C" w:rsidR="00233FC8" w:rsidRDefault="00233FC8" w:rsidP="00F60B29">
      <w:pPr>
        <w:pStyle w:val="ListParagraph"/>
        <w:numPr>
          <w:ilvl w:val="0"/>
          <w:numId w:val="3"/>
        </w:numPr>
        <w:tabs>
          <w:tab w:val="left" w:pos="5400"/>
        </w:tabs>
      </w:pPr>
      <w:r>
        <w:t>is relevant for the purpose of the disclosure</w:t>
      </w:r>
    </w:p>
    <w:p w14:paraId="058F9FAC" w14:textId="568C9FCD" w:rsidR="00233FC8" w:rsidRDefault="00233FC8" w:rsidP="00F60B29">
      <w:pPr>
        <w:pStyle w:val="ListParagraph"/>
        <w:numPr>
          <w:ilvl w:val="0"/>
          <w:numId w:val="3"/>
        </w:numPr>
        <w:tabs>
          <w:tab w:val="left" w:pos="5400"/>
        </w:tabs>
      </w:pPr>
      <w:r>
        <w:t xml:space="preserve">ought to be included on the disclosure certificate </w:t>
      </w:r>
    </w:p>
    <w:p w14:paraId="71ED3457" w14:textId="77777777" w:rsidR="00233FC8" w:rsidRDefault="00233FC8" w:rsidP="00233FC8">
      <w:pPr>
        <w:tabs>
          <w:tab w:val="left" w:pos="5400"/>
        </w:tabs>
      </w:pPr>
      <w:r>
        <w:lastRenderedPageBreak/>
        <w:t xml:space="preserve">This may include reference to non-conviction matters. </w:t>
      </w:r>
    </w:p>
    <w:p w14:paraId="32EC74F5" w14:textId="15AF1339" w:rsidR="00233FC8" w:rsidRDefault="00233FC8" w:rsidP="00233FC8">
      <w:pPr>
        <w:tabs>
          <w:tab w:val="left" w:pos="5400"/>
        </w:tabs>
      </w:pPr>
      <w:r>
        <w:t xml:space="preserve">We are unable to comment as regards what may or may not be disclosed as ORI in the future, as we would assess all of the information held in light of the applicant working with children and/ or vulnerable adults, and each application would be considered for relevance, accuracy, proportionality and passage of time, whilst taking into consideration the human rights of all relevant parties. However, I can advise you that information shared with Disclosure Scotland as ORI would need to identify the applicant as an accused, perpetrator or suspect. And as outlined above, for the vast majority of Non-Crime Hate Incidents, only the details of the reporter are recorded on the iVPD. </w:t>
      </w:r>
    </w:p>
    <w:p w14:paraId="019C4011" w14:textId="71BEF94B" w:rsidR="00233FC8" w:rsidRDefault="00233FC8" w:rsidP="00233FC8">
      <w:pPr>
        <w:tabs>
          <w:tab w:val="left" w:pos="5400"/>
        </w:tabs>
      </w:pPr>
      <w:r>
        <w:t>Details of alleged perpetrators are not routinely recorded for non-crime hate incidents. They are only recorded in exceptional circumstances where there is a real risk of significant harm to individuals or groups who are protected by the legislation, and/ or a real risk that a future criminal offence may be committed against those individuals or groups.</w:t>
      </w:r>
    </w:p>
    <w:p w14:paraId="592258A2" w14:textId="77777777" w:rsidR="00F60B29" w:rsidRDefault="00F60B29" w:rsidP="00233FC8">
      <w:pPr>
        <w:tabs>
          <w:tab w:val="left" w:pos="5400"/>
        </w:tabs>
      </w:pPr>
    </w:p>
    <w:p w14:paraId="34BDABBE" w14:textId="45CD6C7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3B78B05" w14:textId="41B8026F" w:rsidR="00DB5A40" w:rsidRDefault="007F490F" w:rsidP="007F490F">
      <w:pPr>
        <w:jc w:val="both"/>
        <w:sectPr w:rsidR="00DB5A40"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r>
        <w:t>Every effort has been taken to ensure our response is as accessible as possible. If you require this response to be provided in an alternative format, please let us know</w:t>
      </w:r>
    </w:p>
    <w:p w14:paraId="34BDABC3" w14:textId="3CE7152D" w:rsidR="007F490F" w:rsidRPr="00E704C6" w:rsidRDefault="00F60B29" w:rsidP="00F60B29">
      <w:pPr>
        <w:rPr>
          <w:b/>
          <w:bCs/>
        </w:rPr>
      </w:pPr>
      <w:r w:rsidRPr="00914D81">
        <w:rPr>
          <w:b/>
          <w:bCs/>
        </w:rPr>
        <w:lastRenderedPageBreak/>
        <w:t>Non-Crime Hate Incidents by Hate Concern Type, 1st January 2024 - 31st December 2024</w:t>
      </w:r>
    </w:p>
    <w:tbl>
      <w:tblPr>
        <w:tblStyle w:val="TableGrid"/>
        <w:tblW w:w="13179" w:type="dxa"/>
        <w:tblLook w:val="04A0" w:firstRow="1" w:lastRow="0" w:firstColumn="1" w:lastColumn="0" w:noHBand="0" w:noVBand="1"/>
      </w:tblPr>
      <w:tblGrid>
        <w:gridCol w:w="3805"/>
        <w:gridCol w:w="764"/>
        <w:gridCol w:w="777"/>
        <w:gridCol w:w="777"/>
        <w:gridCol w:w="763"/>
        <w:gridCol w:w="817"/>
        <w:gridCol w:w="777"/>
        <w:gridCol w:w="750"/>
        <w:gridCol w:w="816"/>
        <w:gridCol w:w="790"/>
        <w:gridCol w:w="750"/>
        <w:gridCol w:w="803"/>
        <w:gridCol w:w="790"/>
      </w:tblGrid>
      <w:tr w:rsidR="00914D81" w:rsidRPr="00DB5A40" w14:paraId="589DC6CE" w14:textId="77777777" w:rsidTr="00F60B29">
        <w:trPr>
          <w:trHeight w:val="290"/>
        </w:trPr>
        <w:tc>
          <w:tcPr>
            <w:tcW w:w="3805" w:type="dxa"/>
            <w:shd w:val="clear" w:color="auto" w:fill="E7E6E6" w:themeFill="background2"/>
            <w:hideMark/>
          </w:tcPr>
          <w:p w14:paraId="7819CB95" w14:textId="77777777" w:rsidR="00DB5A40" w:rsidRPr="00DB5A40" w:rsidRDefault="00DB5A40" w:rsidP="00F60B29">
            <w:pPr>
              <w:spacing w:line="240" w:lineRule="auto"/>
              <w:rPr>
                <w:b/>
                <w:bCs/>
              </w:rPr>
            </w:pPr>
            <w:r w:rsidRPr="00DB5A40">
              <w:rPr>
                <w:b/>
                <w:bCs/>
              </w:rPr>
              <w:t>Hate Concern Type</w:t>
            </w:r>
          </w:p>
        </w:tc>
        <w:tc>
          <w:tcPr>
            <w:tcW w:w="764" w:type="dxa"/>
            <w:shd w:val="clear" w:color="auto" w:fill="E7E6E6" w:themeFill="background2"/>
            <w:hideMark/>
          </w:tcPr>
          <w:p w14:paraId="10A4071F" w14:textId="77777777" w:rsidR="00DB5A40" w:rsidRPr="00DB5A40" w:rsidRDefault="00DB5A40" w:rsidP="00F60B29">
            <w:pPr>
              <w:spacing w:line="240" w:lineRule="auto"/>
              <w:rPr>
                <w:b/>
                <w:bCs/>
              </w:rPr>
            </w:pPr>
            <w:r w:rsidRPr="00DB5A40">
              <w:rPr>
                <w:b/>
                <w:bCs/>
              </w:rPr>
              <w:t>Jan</w:t>
            </w:r>
          </w:p>
        </w:tc>
        <w:tc>
          <w:tcPr>
            <w:tcW w:w="777" w:type="dxa"/>
            <w:shd w:val="clear" w:color="auto" w:fill="E7E6E6" w:themeFill="background2"/>
            <w:hideMark/>
          </w:tcPr>
          <w:p w14:paraId="7FB1EAA1" w14:textId="77777777" w:rsidR="00DB5A40" w:rsidRPr="00DB5A40" w:rsidRDefault="00DB5A40" w:rsidP="00F60B29">
            <w:pPr>
              <w:spacing w:line="240" w:lineRule="auto"/>
              <w:rPr>
                <w:b/>
                <w:bCs/>
              </w:rPr>
            </w:pPr>
            <w:r w:rsidRPr="00DB5A40">
              <w:rPr>
                <w:b/>
                <w:bCs/>
              </w:rPr>
              <w:t>Feb</w:t>
            </w:r>
          </w:p>
        </w:tc>
        <w:tc>
          <w:tcPr>
            <w:tcW w:w="777" w:type="dxa"/>
            <w:shd w:val="clear" w:color="auto" w:fill="E7E6E6" w:themeFill="background2"/>
            <w:hideMark/>
          </w:tcPr>
          <w:p w14:paraId="67830F6F" w14:textId="77777777" w:rsidR="00DB5A40" w:rsidRPr="00DB5A40" w:rsidRDefault="00DB5A40" w:rsidP="00F60B29">
            <w:pPr>
              <w:spacing w:line="240" w:lineRule="auto"/>
              <w:rPr>
                <w:b/>
                <w:bCs/>
              </w:rPr>
            </w:pPr>
            <w:r w:rsidRPr="00DB5A40">
              <w:rPr>
                <w:b/>
                <w:bCs/>
              </w:rPr>
              <w:t>Mar</w:t>
            </w:r>
          </w:p>
        </w:tc>
        <w:tc>
          <w:tcPr>
            <w:tcW w:w="763" w:type="dxa"/>
            <w:shd w:val="clear" w:color="auto" w:fill="E7E6E6" w:themeFill="background2"/>
            <w:hideMark/>
          </w:tcPr>
          <w:p w14:paraId="29F3F35C" w14:textId="77777777" w:rsidR="00DB5A40" w:rsidRPr="00DB5A40" w:rsidRDefault="00DB5A40" w:rsidP="00F60B29">
            <w:pPr>
              <w:spacing w:line="240" w:lineRule="auto"/>
              <w:rPr>
                <w:b/>
                <w:bCs/>
              </w:rPr>
            </w:pPr>
            <w:r w:rsidRPr="00DB5A40">
              <w:rPr>
                <w:b/>
                <w:bCs/>
              </w:rPr>
              <w:t>Apr</w:t>
            </w:r>
          </w:p>
        </w:tc>
        <w:tc>
          <w:tcPr>
            <w:tcW w:w="817" w:type="dxa"/>
            <w:shd w:val="clear" w:color="auto" w:fill="E7E6E6" w:themeFill="background2"/>
            <w:hideMark/>
          </w:tcPr>
          <w:p w14:paraId="0ECBE8B1" w14:textId="77777777" w:rsidR="00DB5A40" w:rsidRPr="00DB5A40" w:rsidRDefault="00DB5A40" w:rsidP="00F60B29">
            <w:pPr>
              <w:spacing w:line="240" w:lineRule="auto"/>
              <w:rPr>
                <w:b/>
                <w:bCs/>
              </w:rPr>
            </w:pPr>
            <w:r w:rsidRPr="00DB5A40">
              <w:rPr>
                <w:b/>
                <w:bCs/>
              </w:rPr>
              <w:t>May</w:t>
            </w:r>
          </w:p>
        </w:tc>
        <w:tc>
          <w:tcPr>
            <w:tcW w:w="777" w:type="dxa"/>
            <w:shd w:val="clear" w:color="auto" w:fill="E7E6E6" w:themeFill="background2"/>
            <w:hideMark/>
          </w:tcPr>
          <w:p w14:paraId="3FAA80BA" w14:textId="77777777" w:rsidR="00DB5A40" w:rsidRPr="00DB5A40" w:rsidRDefault="00DB5A40" w:rsidP="00F60B29">
            <w:pPr>
              <w:spacing w:line="240" w:lineRule="auto"/>
              <w:rPr>
                <w:b/>
                <w:bCs/>
              </w:rPr>
            </w:pPr>
            <w:r w:rsidRPr="00DB5A40">
              <w:rPr>
                <w:b/>
                <w:bCs/>
              </w:rPr>
              <w:t>Jun</w:t>
            </w:r>
          </w:p>
        </w:tc>
        <w:tc>
          <w:tcPr>
            <w:tcW w:w="750" w:type="dxa"/>
            <w:shd w:val="clear" w:color="auto" w:fill="E7E6E6" w:themeFill="background2"/>
            <w:hideMark/>
          </w:tcPr>
          <w:p w14:paraId="0B1942C7" w14:textId="77777777" w:rsidR="00DB5A40" w:rsidRPr="00DB5A40" w:rsidRDefault="00DB5A40" w:rsidP="00F60B29">
            <w:pPr>
              <w:spacing w:line="240" w:lineRule="auto"/>
              <w:rPr>
                <w:b/>
                <w:bCs/>
              </w:rPr>
            </w:pPr>
            <w:r w:rsidRPr="00DB5A40">
              <w:rPr>
                <w:b/>
                <w:bCs/>
              </w:rPr>
              <w:t>Jul</w:t>
            </w:r>
          </w:p>
        </w:tc>
        <w:tc>
          <w:tcPr>
            <w:tcW w:w="816" w:type="dxa"/>
            <w:shd w:val="clear" w:color="auto" w:fill="E7E6E6" w:themeFill="background2"/>
            <w:hideMark/>
          </w:tcPr>
          <w:p w14:paraId="632392A6" w14:textId="77777777" w:rsidR="00DB5A40" w:rsidRPr="00DB5A40" w:rsidRDefault="00DB5A40" w:rsidP="00F60B29">
            <w:pPr>
              <w:spacing w:line="240" w:lineRule="auto"/>
              <w:rPr>
                <w:b/>
                <w:bCs/>
              </w:rPr>
            </w:pPr>
            <w:r w:rsidRPr="00DB5A40">
              <w:rPr>
                <w:b/>
                <w:bCs/>
              </w:rPr>
              <w:t>Aug</w:t>
            </w:r>
          </w:p>
        </w:tc>
        <w:tc>
          <w:tcPr>
            <w:tcW w:w="790" w:type="dxa"/>
            <w:shd w:val="clear" w:color="auto" w:fill="E7E6E6" w:themeFill="background2"/>
            <w:hideMark/>
          </w:tcPr>
          <w:p w14:paraId="66BDD9A5" w14:textId="77777777" w:rsidR="00DB5A40" w:rsidRPr="00DB5A40" w:rsidRDefault="00DB5A40" w:rsidP="00F60B29">
            <w:pPr>
              <w:spacing w:line="240" w:lineRule="auto"/>
              <w:rPr>
                <w:b/>
                <w:bCs/>
              </w:rPr>
            </w:pPr>
            <w:r w:rsidRPr="00DB5A40">
              <w:rPr>
                <w:b/>
                <w:bCs/>
              </w:rPr>
              <w:t>Sep</w:t>
            </w:r>
          </w:p>
        </w:tc>
        <w:tc>
          <w:tcPr>
            <w:tcW w:w="750" w:type="dxa"/>
            <w:shd w:val="clear" w:color="auto" w:fill="E7E6E6" w:themeFill="background2"/>
            <w:hideMark/>
          </w:tcPr>
          <w:p w14:paraId="1C538C00" w14:textId="77777777" w:rsidR="00DB5A40" w:rsidRPr="00DB5A40" w:rsidRDefault="00DB5A40" w:rsidP="00F60B29">
            <w:pPr>
              <w:spacing w:line="240" w:lineRule="auto"/>
              <w:rPr>
                <w:b/>
                <w:bCs/>
              </w:rPr>
            </w:pPr>
            <w:r w:rsidRPr="00DB5A40">
              <w:rPr>
                <w:b/>
                <w:bCs/>
              </w:rPr>
              <w:t>Oct</w:t>
            </w:r>
          </w:p>
        </w:tc>
        <w:tc>
          <w:tcPr>
            <w:tcW w:w="803" w:type="dxa"/>
            <w:shd w:val="clear" w:color="auto" w:fill="E7E6E6" w:themeFill="background2"/>
            <w:hideMark/>
          </w:tcPr>
          <w:p w14:paraId="4C2E958B" w14:textId="77777777" w:rsidR="00DB5A40" w:rsidRPr="00DB5A40" w:rsidRDefault="00DB5A40" w:rsidP="00F60B29">
            <w:pPr>
              <w:spacing w:line="240" w:lineRule="auto"/>
              <w:rPr>
                <w:b/>
                <w:bCs/>
              </w:rPr>
            </w:pPr>
            <w:r w:rsidRPr="00DB5A40">
              <w:rPr>
                <w:b/>
                <w:bCs/>
              </w:rPr>
              <w:t>Nov</w:t>
            </w:r>
          </w:p>
        </w:tc>
        <w:tc>
          <w:tcPr>
            <w:tcW w:w="790" w:type="dxa"/>
            <w:shd w:val="clear" w:color="auto" w:fill="E7E6E6" w:themeFill="background2"/>
            <w:hideMark/>
          </w:tcPr>
          <w:p w14:paraId="322BE285" w14:textId="77777777" w:rsidR="00DB5A40" w:rsidRPr="00DB5A40" w:rsidRDefault="00DB5A40" w:rsidP="00F60B29">
            <w:pPr>
              <w:spacing w:line="240" w:lineRule="auto"/>
              <w:rPr>
                <w:b/>
                <w:bCs/>
              </w:rPr>
            </w:pPr>
            <w:r w:rsidRPr="00DB5A40">
              <w:rPr>
                <w:b/>
                <w:bCs/>
              </w:rPr>
              <w:t>Dec</w:t>
            </w:r>
          </w:p>
        </w:tc>
      </w:tr>
      <w:tr w:rsidR="00DB5A40" w:rsidRPr="00DB5A40" w14:paraId="12531D73" w14:textId="77777777" w:rsidTr="00F60B29">
        <w:trPr>
          <w:trHeight w:val="290"/>
        </w:trPr>
        <w:tc>
          <w:tcPr>
            <w:tcW w:w="3805" w:type="dxa"/>
            <w:noWrap/>
            <w:hideMark/>
          </w:tcPr>
          <w:p w14:paraId="5BE6CA4E" w14:textId="77777777" w:rsidR="00DB5A40" w:rsidRPr="00DB5A40" w:rsidRDefault="00DB5A40" w:rsidP="00F60B29">
            <w:pPr>
              <w:spacing w:line="240" w:lineRule="auto"/>
            </w:pPr>
            <w:r w:rsidRPr="00DB5A40">
              <w:t>Age</w:t>
            </w:r>
          </w:p>
        </w:tc>
        <w:tc>
          <w:tcPr>
            <w:tcW w:w="764" w:type="dxa"/>
            <w:noWrap/>
            <w:hideMark/>
          </w:tcPr>
          <w:p w14:paraId="3FEBFB89" w14:textId="77777777" w:rsidR="00DB5A40" w:rsidRPr="00DB5A40" w:rsidRDefault="00DB5A40" w:rsidP="00F60B29">
            <w:pPr>
              <w:spacing w:line="240" w:lineRule="auto"/>
            </w:pPr>
          </w:p>
        </w:tc>
        <w:tc>
          <w:tcPr>
            <w:tcW w:w="777" w:type="dxa"/>
            <w:noWrap/>
            <w:hideMark/>
          </w:tcPr>
          <w:p w14:paraId="5B1D9182" w14:textId="77777777" w:rsidR="00DB5A40" w:rsidRPr="00DB5A40" w:rsidRDefault="00DB5A40" w:rsidP="00F60B29">
            <w:pPr>
              <w:spacing w:line="240" w:lineRule="auto"/>
            </w:pPr>
          </w:p>
        </w:tc>
        <w:tc>
          <w:tcPr>
            <w:tcW w:w="777" w:type="dxa"/>
            <w:noWrap/>
            <w:hideMark/>
          </w:tcPr>
          <w:p w14:paraId="186400CB" w14:textId="77777777" w:rsidR="00DB5A40" w:rsidRPr="00DB5A40" w:rsidRDefault="00DB5A40" w:rsidP="00F60B29">
            <w:pPr>
              <w:spacing w:line="240" w:lineRule="auto"/>
            </w:pPr>
          </w:p>
        </w:tc>
        <w:tc>
          <w:tcPr>
            <w:tcW w:w="763" w:type="dxa"/>
            <w:noWrap/>
            <w:hideMark/>
          </w:tcPr>
          <w:p w14:paraId="4F7F3A0C" w14:textId="77777777" w:rsidR="00DB5A40" w:rsidRPr="00DB5A40" w:rsidRDefault="00DB5A40" w:rsidP="00F60B29">
            <w:pPr>
              <w:spacing w:line="240" w:lineRule="auto"/>
            </w:pPr>
            <w:r w:rsidRPr="00DB5A40">
              <w:t>1</w:t>
            </w:r>
          </w:p>
        </w:tc>
        <w:tc>
          <w:tcPr>
            <w:tcW w:w="817" w:type="dxa"/>
            <w:noWrap/>
            <w:hideMark/>
          </w:tcPr>
          <w:p w14:paraId="5EE2B114" w14:textId="77777777" w:rsidR="00DB5A40" w:rsidRPr="00DB5A40" w:rsidRDefault="00DB5A40" w:rsidP="00F60B29">
            <w:pPr>
              <w:spacing w:line="240" w:lineRule="auto"/>
            </w:pPr>
          </w:p>
        </w:tc>
        <w:tc>
          <w:tcPr>
            <w:tcW w:w="777" w:type="dxa"/>
            <w:noWrap/>
            <w:hideMark/>
          </w:tcPr>
          <w:p w14:paraId="39B03A7C" w14:textId="77777777" w:rsidR="00DB5A40" w:rsidRPr="00DB5A40" w:rsidRDefault="00DB5A40" w:rsidP="00F60B29">
            <w:pPr>
              <w:spacing w:line="240" w:lineRule="auto"/>
            </w:pPr>
            <w:r w:rsidRPr="00DB5A40">
              <w:t>1</w:t>
            </w:r>
          </w:p>
        </w:tc>
        <w:tc>
          <w:tcPr>
            <w:tcW w:w="750" w:type="dxa"/>
            <w:noWrap/>
            <w:hideMark/>
          </w:tcPr>
          <w:p w14:paraId="38C0884E" w14:textId="77777777" w:rsidR="00DB5A40" w:rsidRPr="00DB5A40" w:rsidRDefault="00DB5A40" w:rsidP="00F60B29">
            <w:pPr>
              <w:spacing w:line="240" w:lineRule="auto"/>
            </w:pPr>
          </w:p>
        </w:tc>
        <w:tc>
          <w:tcPr>
            <w:tcW w:w="816" w:type="dxa"/>
            <w:noWrap/>
            <w:hideMark/>
          </w:tcPr>
          <w:p w14:paraId="4D39E955" w14:textId="77777777" w:rsidR="00DB5A40" w:rsidRPr="00DB5A40" w:rsidRDefault="00DB5A40" w:rsidP="00F60B29">
            <w:pPr>
              <w:spacing w:line="240" w:lineRule="auto"/>
            </w:pPr>
          </w:p>
        </w:tc>
        <w:tc>
          <w:tcPr>
            <w:tcW w:w="790" w:type="dxa"/>
            <w:noWrap/>
            <w:hideMark/>
          </w:tcPr>
          <w:p w14:paraId="41B94948" w14:textId="77777777" w:rsidR="00DB5A40" w:rsidRPr="00DB5A40" w:rsidRDefault="00DB5A40" w:rsidP="00F60B29">
            <w:pPr>
              <w:spacing w:line="240" w:lineRule="auto"/>
            </w:pPr>
            <w:r w:rsidRPr="00DB5A40">
              <w:t>1</w:t>
            </w:r>
          </w:p>
        </w:tc>
        <w:tc>
          <w:tcPr>
            <w:tcW w:w="750" w:type="dxa"/>
            <w:noWrap/>
            <w:hideMark/>
          </w:tcPr>
          <w:p w14:paraId="7C3D1C1B" w14:textId="77777777" w:rsidR="00DB5A40" w:rsidRPr="00DB5A40" w:rsidRDefault="00DB5A40" w:rsidP="00F60B29">
            <w:pPr>
              <w:spacing w:line="240" w:lineRule="auto"/>
            </w:pPr>
            <w:r w:rsidRPr="00DB5A40">
              <w:t>2</w:t>
            </w:r>
          </w:p>
        </w:tc>
        <w:tc>
          <w:tcPr>
            <w:tcW w:w="803" w:type="dxa"/>
            <w:noWrap/>
            <w:hideMark/>
          </w:tcPr>
          <w:p w14:paraId="4F6C268D" w14:textId="77777777" w:rsidR="00DB5A40" w:rsidRPr="00DB5A40" w:rsidRDefault="00DB5A40" w:rsidP="00F60B29">
            <w:pPr>
              <w:spacing w:line="240" w:lineRule="auto"/>
            </w:pPr>
            <w:r w:rsidRPr="00DB5A40">
              <w:t>1</w:t>
            </w:r>
          </w:p>
        </w:tc>
        <w:tc>
          <w:tcPr>
            <w:tcW w:w="790" w:type="dxa"/>
            <w:noWrap/>
            <w:hideMark/>
          </w:tcPr>
          <w:p w14:paraId="030FDB0C" w14:textId="77777777" w:rsidR="00DB5A40" w:rsidRPr="00DB5A40" w:rsidRDefault="00DB5A40" w:rsidP="00F60B29">
            <w:pPr>
              <w:spacing w:line="240" w:lineRule="auto"/>
            </w:pPr>
            <w:r w:rsidRPr="00DB5A40">
              <w:t>1</w:t>
            </w:r>
          </w:p>
        </w:tc>
      </w:tr>
      <w:tr w:rsidR="00DB5A40" w:rsidRPr="00DB5A40" w14:paraId="6FA8B3F3" w14:textId="77777777" w:rsidTr="00F60B29">
        <w:trPr>
          <w:trHeight w:val="310"/>
        </w:trPr>
        <w:tc>
          <w:tcPr>
            <w:tcW w:w="3805" w:type="dxa"/>
            <w:noWrap/>
            <w:hideMark/>
          </w:tcPr>
          <w:p w14:paraId="199D8033" w14:textId="77777777" w:rsidR="00DB5A40" w:rsidRPr="00DB5A40" w:rsidRDefault="00DB5A40" w:rsidP="00F60B29">
            <w:pPr>
              <w:spacing w:line="240" w:lineRule="auto"/>
            </w:pPr>
            <w:r w:rsidRPr="00DB5A40">
              <w:t>Disability</w:t>
            </w:r>
          </w:p>
        </w:tc>
        <w:tc>
          <w:tcPr>
            <w:tcW w:w="764" w:type="dxa"/>
            <w:noWrap/>
            <w:hideMark/>
          </w:tcPr>
          <w:p w14:paraId="4A4BF094" w14:textId="77777777" w:rsidR="00DB5A40" w:rsidRPr="00DB5A40" w:rsidRDefault="00DB5A40" w:rsidP="00F60B29">
            <w:pPr>
              <w:spacing w:line="240" w:lineRule="auto"/>
            </w:pPr>
            <w:r w:rsidRPr="00DB5A40">
              <w:t>8</w:t>
            </w:r>
          </w:p>
        </w:tc>
        <w:tc>
          <w:tcPr>
            <w:tcW w:w="777" w:type="dxa"/>
            <w:noWrap/>
            <w:hideMark/>
          </w:tcPr>
          <w:p w14:paraId="5E59459D" w14:textId="77777777" w:rsidR="00DB5A40" w:rsidRPr="00DB5A40" w:rsidRDefault="00DB5A40" w:rsidP="00F60B29">
            <w:pPr>
              <w:spacing w:line="240" w:lineRule="auto"/>
            </w:pPr>
            <w:r w:rsidRPr="00DB5A40">
              <w:t>11</w:t>
            </w:r>
          </w:p>
        </w:tc>
        <w:tc>
          <w:tcPr>
            <w:tcW w:w="777" w:type="dxa"/>
            <w:noWrap/>
            <w:hideMark/>
          </w:tcPr>
          <w:p w14:paraId="21D08ECC" w14:textId="77777777" w:rsidR="00DB5A40" w:rsidRPr="00DB5A40" w:rsidRDefault="00DB5A40" w:rsidP="00F60B29">
            <w:pPr>
              <w:spacing w:line="240" w:lineRule="auto"/>
            </w:pPr>
            <w:r w:rsidRPr="00DB5A40">
              <w:t>10</w:t>
            </w:r>
          </w:p>
        </w:tc>
        <w:tc>
          <w:tcPr>
            <w:tcW w:w="763" w:type="dxa"/>
            <w:noWrap/>
            <w:hideMark/>
          </w:tcPr>
          <w:p w14:paraId="5902FE20" w14:textId="77777777" w:rsidR="00DB5A40" w:rsidRPr="00DB5A40" w:rsidRDefault="00DB5A40" w:rsidP="00F60B29">
            <w:pPr>
              <w:spacing w:line="240" w:lineRule="auto"/>
            </w:pPr>
            <w:r w:rsidRPr="00DB5A40">
              <w:t>14</w:t>
            </w:r>
          </w:p>
        </w:tc>
        <w:tc>
          <w:tcPr>
            <w:tcW w:w="817" w:type="dxa"/>
            <w:noWrap/>
            <w:hideMark/>
          </w:tcPr>
          <w:p w14:paraId="62DBFF8B" w14:textId="77777777" w:rsidR="00DB5A40" w:rsidRPr="00DB5A40" w:rsidRDefault="00DB5A40" w:rsidP="00F60B29">
            <w:pPr>
              <w:spacing w:line="240" w:lineRule="auto"/>
            </w:pPr>
            <w:r w:rsidRPr="00DB5A40">
              <w:t>15</w:t>
            </w:r>
          </w:p>
        </w:tc>
        <w:tc>
          <w:tcPr>
            <w:tcW w:w="777" w:type="dxa"/>
            <w:noWrap/>
            <w:hideMark/>
          </w:tcPr>
          <w:p w14:paraId="2CE7633F" w14:textId="77777777" w:rsidR="00DB5A40" w:rsidRPr="00DB5A40" w:rsidRDefault="00DB5A40" w:rsidP="00F60B29">
            <w:pPr>
              <w:spacing w:line="240" w:lineRule="auto"/>
            </w:pPr>
            <w:r w:rsidRPr="00DB5A40">
              <w:t>13</w:t>
            </w:r>
          </w:p>
        </w:tc>
        <w:tc>
          <w:tcPr>
            <w:tcW w:w="750" w:type="dxa"/>
            <w:noWrap/>
            <w:hideMark/>
          </w:tcPr>
          <w:p w14:paraId="43D72301" w14:textId="77777777" w:rsidR="00DB5A40" w:rsidRPr="00DB5A40" w:rsidRDefault="00DB5A40" w:rsidP="00F60B29">
            <w:pPr>
              <w:spacing w:line="240" w:lineRule="auto"/>
            </w:pPr>
            <w:r w:rsidRPr="00DB5A40">
              <w:t>7</w:t>
            </w:r>
          </w:p>
        </w:tc>
        <w:tc>
          <w:tcPr>
            <w:tcW w:w="816" w:type="dxa"/>
            <w:noWrap/>
            <w:hideMark/>
          </w:tcPr>
          <w:p w14:paraId="2F66C344" w14:textId="77777777" w:rsidR="00DB5A40" w:rsidRPr="00DB5A40" w:rsidRDefault="00DB5A40" w:rsidP="00F60B29">
            <w:pPr>
              <w:spacing w:line="240" w:lineRule="auto"/>
            </w:pPr>
            <w:r w:rsidRPr="00DB5A40">
              <w:t>7</w:t>
            </w:r>
          </w:p>
        </w:tc>
        <w:tc>
          <w:tcPr>
            <w:tcW w:w="790" w:type="dxa"/>
            <w:noWrap/>
            <w:hideMark/>
          </w:tcPr>
          <w:p w14:paraId="145DE2BE" w14:textId="77777777" w:rsidR="00DB5A40" w:rsidRPr="00DB5A40" w:rsidRDefault="00DB5A40" w:rsidP="00F60B29">
            <w:pPr>
              <w:spacing w:line="240" w:lineRule="auto"/>
            </w:pPr>
            <w:r w:rsidRPr="00DB5A40">
              <w:t>8</w:t>
            </w:r>
          </w:p>
        </w:tc>
        <w:tc>
          <w:tcPr>
            <w:tcW w:w="750" w:type="dxa"/>
            <w:noWrap/>
            <w:hideMark/>
          </w:tcPr>
          <w:p w14:paraId="70D06119" w14:textId="77777777" w:rsidR="00DB5A40" w:rsidRPr="00DB5A40" w:rsidRDefault="00DB5A40" w:rsidP="00F60B29">
            <w:pPr>
              <w:spacing w:line="240" w:lineRule="auto"/>
            </w:pPr>
            <w:r w:rsidRPr="00DB5A40">
              <w:t>10</w:t>
            </w:r>
          </w:p>
        </w:tc>
        <w:tc>
          <w:tcPr>
            <w:tcW w:w="803" w:type="dxa"/>
            <w:noWrap/>
            <w:hideMark/>
          </w:tcPr>
          <w:p w14:paraId="0529E044" w14:textId="77777777" w:rsidR="00DB5A40" w:rsidRPr="00DB5A40" w:rsidRDefault="00DB5A40" w:rsidP="00F60B29">
            <w:pPr>
              <w:spacing w:line="240" w:lineRule="auto"/>
            </w:pPr>
            <w:r w:rsidRPr="00DB5A40">
              <w:t>10</w:t>
            </w:r>
          </w:p>
        </w:tc>
        <w:tc>
          <w:tcPr>
            <w:tcW w:w="790" w:type="dxa"/>
            <w:noWrap/>
            <w:hideMark/>
          </w:tcPr>
          <w:p w14:paraId="328D3EA3" w14:textId="77777777" w:rsidR="00DB5A40" w:rsidRPr="00DB5A40" w:rsidRDefault="00DB5A40" w:rsidP="00F60B29">
            <w:pPr>
              <w:spacing w:line="240" w:lineRule="auto"/>
            </w:pPr>
            <w:r w:rsidRPr="00DB5A40">
              <w:t>10</w:t>
            </w:r>
          </w:p>
        </w:tc>
      </w:tr>
      <w:tr w:rsidR="00DB5A40" w:rsidRPr="00DB5A40" w14:paraId="446BCE0C" w14:textId="77777777" w:rsidTr="00F60B29">
        <w:trPr>
          <w:trHeight w:val="290"/>
        </w:trPr>
        <w:tc>
          <w:tcPr>
            <w:tcW w:w="3805" w:type="dxa"/>
            <w:noWrap/>
            <w:hideMark/>
          </w:tcPr>
          <w:p w14:paraId="360C6F15" w14:textId="77777777" w:rsidR="00DB5A40" w:rsidRPr="00DB5A40" w:rsidRDefault="00DB5A40" w:rsidP="00F60B29">
            <w:pPr>
              <w:spacing w:line="240" w:lineRule="auto"/>
            </w:pPr>
            <w:r w:rsidRPr="00DB5A40">
              <w:t>Race</w:t>
            </w:r>
          </w:p>
        </w:tc>
        <w:tc>
          <w:tcPr>
            <w:tcW w:w="764" w:type="dxa"/>
            <w:noWrap/>
            <w:hideMark/>
          </w:tcPr>
          <w:p w14:paraId="160E5192" w14:textId="77777777" w:rsidR="00DB5A40" w:rsidRPr="00DB5A40" w:rsidRDefault="00DB5A40" w:rsidP="00F60B29">
            <w:pPr>
              <w:spacing w:line="240" w:lineRule="auto"/>
            </w:pPr>
            <w:r w:rsidRPr="00DB5A40">
              <w:t>64</w:t>
            </w:r>
          </w:p>
        </w:tc>
        <w:tc>
          <w:tcPr>
            <w:tcW w:w="777" w:type="dxa"/>
            <w:noWrap/>
            <w:hideMark/>
          </w:tcPr>
          <w:p w14:paraId="3E5C18D1" w14:textId="77777777" w:rsidR="00DB5A40" w:rsidRPr="00DB5A40" w:rsidRDefault="00DB5A40" w:rsidP="00F60B29">
            <w:pPr>
              <w:spacing w:line="240" w:lineRule="auto"/>
            </w:pPr>
            <w:r w:rsidRPr="00DB5A40">
              <w:t>71</w:t>
            </w:r>
          </w:p>
        </w:tc>
        <w:tc>
          <w:tcPr>
            <w:tcW w:w="777" w:type="dxa"/>
            <w:noWrap/>
            <w:hideMark/>
          </w:tcPr>
          <w:p w14:paraId="6E30EE67" w14:textId="77777777" w:rsidR="00DB5A40" w:rsidRPr="00DB5A40" w:rsidRDefault="00DB5A40" w:rsidP="00F60B29">
            <w:pPr>
              <w:spacing w:line="240" w:lineRule="auto"/>
            </w:pPr>
            <w:r w:rsidRPr="00DB5A40">
              <w:t>118</w:t>
            </w:r>
          </w:p>
        </w:tc>
        <w:tc>
          <w:tcPr>
            <w:tcW w:w="763" w:type="dxa"/>
            <w:noWrap/>
            <w:hideMark/>
          </w:tcPr>
          <w:p w14:paraId="6636D582" w14:textId="77777777" w:rsidR="00DB5A40" w:rsidRPr="00DB5A40" w:rsidRDefault="00DB5A40" w:rsidP="00F60B29">
            <w:pPr>
              <w:spacing w:line="240" w:lineRule="auto"/>
            </w:pPr>
            <w:r w:rsidRPr="00DB5A40">
              <w:t>77</w:t>
            </w:r>
          </w:p>
        </w:tc>
        <w:tc>
          <w:tcPr>
            <w:tcW w:w="817" w:type="dxa"/>
            <w:noWrap/>
            <w:hideMark/>
          </w:tcPr>
          <w:p w14:paraId="60A9D23D" w14:textId="77777777" w:rsidR="00DB5A40" w:rsidRPr="00DB5A40" w:rsidRDefault="00DB5A40" w:rsidP="00F60B29">
            <w:pPr>
              <w:spacing w:line="240" w:lineRule="auto"/>
            </w:pPr>
            <w:r w:rsidRPr="00DB5A40">
              <w:t>66</w:t>
            </w:r>
          </w:p>
        </w:tc>
        <w:tc>
          <w:tcPr>
            <w:tcW w:w="777" w:type="dxa"/>
            <w:noWrap/>
            <w:hideMark/>
          </w:tcPr>
          <w:p w14:paraId="6DF34B38" w14:textId="77777777" w:rsidR="00DB5A40" w:rsidRPr="00DB5A40" w:rsidRDefault="00DB5A40" w:rsidP="00F60B29">
            <w:pPr>
              <w:spacing w:line="240" w:lineRule="auto"/>
            </w:pPr>
            <w:r w:rsidRPr="00DB5A40">
              <w:t>66</w:t>
            </w:r>
          </w:p>
        </w:tc>
        <w:tc>
          <w:tcPr>
            <w:tcW w:w="750" w:type="dxa"/>
            <w:noWrap/>
            <w:hideMark/>
          </w:tcPr>
          <w:p w14:paraId="2999941D" w14:textId="77777777" w:rsidR="00DB5A40" w:rsidRPr="00DB5A40" w:rsidRDefault="00DB5A40" w:rsidP="00F60B29">
            <w:pPr>
              <w:spacing w:line="240" w:lineRule="auto"/>
            </w:pPr>
            <w:r w:rsidRPr="00DB5A40">
              <w:t>53</w:t>
            </w:r>
          </w:p>
        </w:tc>
        <w:tc>
          <w:tcPr>
            <w:tcW w:w="816" w:type="dxa"/>
            <w:noWrap/>
            <w:hideMark/>
          </w:tcPr>
          <w:p w14:paraId="03D3DE40" w14:textId="77777777" w:rsidR="00DB5A40" w:rsidRPr="00DB5A40" w:rsidRDefault="00DB5A40" w:rsidP="00F60B29">
            <w:pPr>
              <w:spacing w:line="240" w:lineRule="auto"/>
            </w:pPr>
            <w:r w:rsidRPr="00DB5A40">
              <w:t>72</w:t>
            </w:r>
          </w:p>
        </w:tc>
        <w:tc>
          <w:tcPr>
            <w:tcW w:w="790" w:type="dxa"/>
            <w:noWrap/>
            <w:hideMark/>
          </w:tcPr>
          <w:p w14:paraId="7201FC30" w14:textId="77777777" w:rsidR="00DB5A40" w:rsidRPr="00DB5A40" w:rsidRDefault="00DB5A40" w:rsidP="00F60B29">
            <w:pPr>
              <w:spacing w:line="240" w:lineRule="auto"/>
            </w:pPr>
            <w:r w:rsidRPr="00DB5A40">
              <w:t>70</w:t>
            </w:r>
          </w:p>
        </w:tc>
        <w:tc>
          <w:tcPr>
            <w:tcW w:w="750" w:type="dxa"/>
            <w:noWrap/>
            <w:hideMark/>
          </w:tcPr>
          <w:p w14:paraId="5134AD74" w14:textId="77777777" w:rsidR="00DB5A40" w:rsidRPr="00DB5A40" w:rsidRDefault="00DB5A40" w:rsidP="00F60B29">
            <w:pPr>
              <w:spacing w:line="240" w:lineRule="auto"/>
            </w:pPr>
            <w:r w:rsidRPr="00DB5A40">
              <w:t>59</w:t>
            </w:r>
          </w:p>
        </w:tc>
        <w:tc>
          <w:tcPr>
            <w:tcW w:w="803" w:type="dxa"/>
            <w:noWrap/>
            <w:hideMark/>
          </w:tcPr>
          <w:p w14:paraId="6CEF2A42" w14:textId="77777777" w:rsidR="00DB5A40" w:rsidRPr="00DB5A40" w:rsidRDefault="00DB5A40" w:rsidP="00F60B29">
            <w:pPr>
              <w:spacing w:line="240" w:lineRule="auto"/>
            </w:pPr>
            <w:r w:rsidRPr="00DB5A40">
              <w:t>36</w:t>
            </w:r>
          </w:p>
        </w:tc>
        <w:tc>
          <w:tcPr>
            <w:tcW w:w="790" w:type="dxa"/>
            <w:noWrap/>
            <w:hideMark/>
          </w:tcPr>
          <w:p w14:paraId="2E350E21" w14:textId="77777777" w:rsidR="00DB5A40" w:rsidRPr="00DB5A40" w:rsidRDefault="00DB5A40" w:rsidP="00F60B29">
            <w:pPr>
              <w:spacing w:line="240" w:lineRule="auto"/>
            </w:pPr>
            <w:r w:rsidRPr="00DB5A40">
              <w:t>46</w:t>
            </w:r>
          </w:p>
        </w:tc>
      </w:tr>
      <w:tr w:rsidR="00DB5A40" w:rsidRPr="00DB5A40" w14:paraId="17195AE0" w14:textId="77777777" w:rsidTr="00F60B29">
        <w:trPr>
          <w:trHeight w:val="310"/>
        </w:trPr>
        <w:tc>
          <w:tcPr>
            <w:tcW w:w="3805" w:type="dxa"/>
            <w:noWrap/>
            <w:hideMark/>
          </w:tcPr>
          <w:p w14:paraId="76CC75D4" w14:textId="77777777" w:rsidR="00DB5A40" w:rsidRPr="00DB5A40" w:rsidRDefault="00DB5A40" w:rsidP="00F60B29">
            <w:pPr>
              <w:spacing w:line="240" w:lineRule="auto"/>
            </w:pPr>
            <w:r w:rsidRPr="00DB5A40">
              <w:t>Religion / Belief</w:t>
            </w:r>
          </w:p>
        </w:tc>
        <w:tc>
          <w:tcPr>
            <w:tcW w:w="764" w:type="dxa"/>
            <w:noWrap/>
            <w:hideMark/>
          </w:tcPr>
          <w:p w14:paraId="1CD12D32" w14:textId="77777777" w:rsidR="00DB5A40" w:rsidRPr="00DB5A40" w:rsidRDefault="00DB5A40" w:rsidP="00F60B29">
            <w:pPr>
              <w:spacing w:line="240" w:lineRule="auto"/>
            </w:pPr>
            <w:r w:rsidRPr="00DB5A40">
              <w:t>5</w:t>
            </w:r>
          </w:p>
        </w:tc>
        <w:tc>
          <w:tcPr>
            <w:tcW w:w="777" w:type="dxa"/>
            <w:noWrap/>
            <w:hideMark/>
          </w:tcPr>
          <w:p w14:paraId="1FBF8F4A" w14:textId="77777777" w:rsidR="00DB5A40" w:rsidRPr="00DB5A40" w:rsidRDefault="00DB5A40" w:rsidP="00F60B29">
            <w:pPr>
              <w:spacing w:line="240" w:lineRule="auto"/>
            </w:pPr>
            <w:r w:rsidRPr="00DB5A40">
              <w:t>12</w:t>
            </w:r>
          </w:p>
        </w:tc>
        <w:tc>
          <w:tcPr>
            <w:tcW w:w="777" w:type="dxa"/>
            <w:noWrap/>
            <w:hideMark/>
          </w:tcPr>
          <w:p w14:paraId="12E8BF3C" w14:textId="77777777" w:rsidR="00DB5A40" w:rsidRPr="00DB5A40" w:rsidRDefault="00DB5A40" w:rsidP="00F60B29">
            <w:pPr>
              <w:spacing w:line="240" w:lineRule="auto"/>
            </w:pPr>
            <w:r w:rsidRPr="00DB5A40">
              <w:t>10</w:t>
            </w:r>
          </w:p>
        </w:tc>
        <w:tc>
          <w:tcPr>
            <w:tcW w:w="763" w:type="dxa"/>
            <w:noWrap/>
            <w:hideMark/>
          </w:tcPr>
          <w:p w14:paraId="05FD20DD" w14:textId="77777777" w:rsidR="00DB5A40" w:rsidRPr="00DB5A40" w:rsidRDefault="00DB5A40" w:rsidP="00F60B29">
            <w:pPr>
              <w:spacing w:line="240" w:lineRule="auto"/>
            </w:pPr>
            <w:r w:rsidRPr="00DB5A40">
              <w:t>18</w:t>
            </w:r>
          </w:p>
        </w:tc>
        <w:tc>
          <w:tcPr>
            <w:tcW w:w="817" w:type="dxa"/>
            <w:noWrap/>
            <w:hideMark/>
          </w:tcPr>
          <w:p w14:paraId="5AE27D60" w14:textId="77777777" w:rsidR="00DB5A40" w:rsidRPr="00DB5A40" w:rsidRDefault="00DB5A40" w:rsidP="00F60B29">
            <w:pPr>
              <w:spacing w:line="240" w:lineRule="auto"/>
            </w:pPr>
            <w:r w:rsidRPr="00DB5A40">
              <w:t>11</w:t>
            </w:r>
          </w:p>
        </w:tc>
        <w:tc>
          <w:tcPr>
            <w:tcW w:w="777" w:type="dxa"/>
            <w:noWrap/>
            <w:hideMark/>
          </w:tcPr>
          <w:p w14:paraId="3DF0A377" w14:textId="77777777" w:rsidR="00DB5A40" w:rsidRPr="00DB5A40" w:rsidRDefault="00DB5A40" w:rsidP="00F60B29">
            <w:pPr>
              <w:spacing w:line="240" w:lineRule="auto"/>
            </w:pPr>
            <w:r w:rsidRPr="00DB5A40">
              <w:t>10</w:t>
            </w:r>
          </w:p>
        </w:tc>
        <w:tc>
          <w:tcPr>
            <w:tcW w:w="750" w:type="dxa"/>
            <w:noWrap/>
            <w:hideMark/>
          </w:tcPr>
          <w:p w14:paraId="53BBF308" w14:textId="77777777" w:rsidR="00DB5A40" w:rsidRPr="00DB5A40" w:rsidRDefault="00DB5A40" w:rsidP="00F60B29">
            <w:pPr>
              <w:spacing w:line="240" w:lineRule="auto"/>
            </w:pPr>
            <w:r w:rsidRPr="00DB5A40">
              <w:t>13</w:t>
            </w:r>
          </w:p>
        </w:tc>
        <w:tc>
          <w:tcPr>
            <w:tcW w:w="816" w:type="dxa"/>
            <w:noWrap/>
            <w:hideMark/>
          </w:tcPr>
          <w:p w14:paraId="6C675BD6" w14:textId="77777777" w:rsidR="00DB5A40" w:rsidRPr="00DB5A40" w:rsidRDefault="00DB5A40" w:rsidP="00F60B29">
            <w:pPr>
              <w:spacing w:line="240" w:lineRule="auto"/>
            </w:pPr>
            <w:r w:rsidRPr="00DB5A40">
              <w:t>14</w:t>
            </w:r>
          </w:p>
        </w:tc>
        <w:tc>
          <w:tcPr>
            <w:tcW w:w="790" w:type="dxa"/>
            <w:noWrap/>
            <w:hideMark/>
          </w:tcPr>
          <w:p w14:paraId="543B0A17" w14:textId="77777777" w:rsidR="00DB5A40" w:rsidRPr="00DB5A40" w:rsidRDefault="00DB5A40" w:rsidP="00F60B29">
            <w:pPr>
              <w:spacing w:line="240" w:lineRule="auto"/>
            </w:pPr>
            <w:r w:rsidRPr="00DB5A40">
              <w:t>10</w:t>
            </w:r>
          </w:p>
        </w:tc>
        <w:tc>
          <w:tcPr>
            <w:tcW w:w="750" w:type="dxa"/>
            <w:noWrap/>
            <w:hideMark/>
          </w:tcPr>
          <w:p w14:paraId="77FEFD2D" w14:textId="77777777" w:rsidR="00DB5A40" w:rsidRPr="00DB5A40" w:rsidRDefault="00DB5A40" w:rsidP="00F60B29">
            <w:pPr>
              <w:spacing w:line="240" w:lineRule="auto"/>
            </w:pPr>
            <w:r w:rsidRPr="00DB5A40">
              <w:t>6</w:t>
            </w:r>
          </w:p>
        </w:tc>
        <w:tc>
          <w:tcPr>
            <w:tcW w:w="803" w:type="dxa"/>
            <w:noWrap/>
            <w:hideMark/>
          </w:tcPr>
          <w:p w14:paraId="0C43ABF9" w14:textId="77777777" w:rsidR="00DB5A40" w:rsidRPr="00DB5A40" w:rsidRDefault="00DB5A40" w:rsidP="00F60B29">
            <w:pPr>
              <w:spacing w:line="240" w:lineRule="auto"/>
            </w:pPr>
            <w:r w:rsidRPr="00DB5A40">
              <w:t>4</w:t>
            </w:r>
          </w:p>
        </w:tc>
        <w:tc>
          <w:tcPr>
            <w:tcW w:w="790" w:type="dxa"/>
            <w:noWrap/>
            <w:hideMark/>
          </w:tcPr>
          <w:p w14:paraId="1B29366B" w14:textId="77777777" w:rsidR="00DB5A40" w:rsidRPr="00DB5A40" w:rsidRDefault="00DB5A40" w:rsidP="00F60B29">
            <w:pPr>
              <w:spacing w:line="240" w:lineRule="auto"/>
            </w:pPr>
            <w:r w:rsidRPr="00DB5A40">
              <w:t>4</w:t>
            </w:r>
          </w:p>
        </w:tc>
      </w:tr>
      <w:tr w:rsidR="00DB5A40" w:rsidRPr="00DB5A40" w14:paraId="3B3FB5C5" w14:textId="77777777" w:rsidTr="00F60B29">
        <w:trPr>
          <w:trHeight w:val="310"/>
        </w:trPr>
        <w:tc>
          <w:tcPr>
            <w:tcW w:w="3805" w:type="dxa"/>
            <w:noWrap/>
            <w:hideMark/>
          </w:tcPr>
          <w:p w14:paraId="42BFF919" w14:textId="77777777" w:rsidR="00DB5A40" w:rsidRPr="00DB5A40" w:rsidRDefault="00DB5A40" w:rsidP="00F60B29">
            <w:pPr>
              <w:spacing w:line="240" w:lineRule="auto"/>
            </w:pPr>
            <w:r w:rsidRPr="00DB5A40">
              <w:t>Sexual Orientation</w:t>
            </w:r>
          </w:p>
        </w:tc>
        <w:tc>
          <w:tcPr>
            <w:tcW w:w="764" w:type="dxa"/>
            <w:noWrap/>
            <w:hideMark/>
          </w:tcPr>
          <w:p w14:paraId="59C416FC" w14:textId="77777777" w:rsidR="00DB5A40" w:rsidRPr="00DB5A40" w:rsidRDefault="00DB5A40" w:rsidP="00F60B29">
            <w:pPr>
              <w:spacing w:line="240" w:lineRule="auto"/>
            </w:pPr>
            <w:r w:rsidRPr="00DB5A40">
              <w:t>26</w:t>
            </w:r>
          </w:p>
        </w:tc>
        <w:tc>
          <w:tcPr>
            <w:tcW w:w="777" w:type="dxa"/>
            <w:noWrap/>
            <w:hideMark/>
          </w:tcPr>
          <w:p w14:paraId="52B2B8C2" w14:textId="77777777" w:rsidR="00DB5A40" w:rsidRPr="00DB5A40" w:rsidRDefault="00DB5A40" w:rsidP="00F60B29">
            <w:pPr>
              <w:spacing w:line="240" w:lineRule="auto"/>
            </w:pPr>
            <w:r w:rsidRPr="00DB5A40">
              <w:t>27</w:t>
            </w:r>
          </w:p>
        </w:tc>
        <w:tc>
          <w:tcPr>
            <w:tcW w:w="777" w:type="dxa"/>
            <w:noWrap/>
            <w:hideMark/>
          </w:tcPr>
          <w:p w14:paraId="2D66C3F1" w14:textId="77777777" w:rsidR="00DB5A40" w:rsidRPr="00DB5A40" w:rsidRDefault="00DB5A40" w:rsidP="00F60B29">
            <w:pPr>
              <w:spacing w:line="240" w:lineRule="auto"/>
            </w:pPr>
            <w:r w:rsidRPr="00DB5A40">
              <w:t>28</w:t>
            </w:r>
          </w:p>
        </w:tc>
        <w:tc>
          <w:tcPr>
            <w:tcW w:w="763" w:type="dxa"/>
            <w:noWrap/>
            <w:hideMark/>
          </w:tcPr>
          <w:p w14:paraId="5A77C9BE" w14:textId="77777777" w:rsidR="00DB5A40" w:rsidRPr="00DB5A40" w:rsidRDefault="00DB5A40" w:rsidP="00F60B29">
            <w:pPr>
              <w:spacing w:line="240" w:lineRule="auto"/>
            </w:pPr>
            <w:r w:rsidRPr="00DB5A40">
              <w:t>18</w:t>
            </w:r>
          </w:p>
        </w:tc>
        <w:tc>
          <w:tcPr>
            <w:tcW w:w="817" w:type="dxa"/>
            <w:noWrap/>
            <w:hideMark/>
          </w:tcPr>
          <w:p w14:paraId="40836C05" w14:textId="77777777" w:rsidR="00DB5A40" w:rsidRPr="00DB5A40" w:rsidRDefault="00DB5A40" w:rsidP="00F60B29">
            <w:pPr>
              <w:spacing w:line="240" w:lineRule="auto"/>
            </w:pPr>
            <w:r w:rsidRPr="00DB5A40">
              <w:t>13</w:t>
            </w:r>
          </w:p>
        </w:tc>
        <w:tc>
          <w:tcPr>
            <w:tcW w:w="777" w:type="dxa"/>
            <w:noWrap/>
            <w:hideMark/>
          </w:tcPr>
          <w:p w14:paraId="0CD3C82C" w14:textId="77777777" w:rsidR="00DB5A40" w:rsidRPr="00DB5A40" w:rsidRDefault="00DB5A40" w:rsidP="00F60B29">
            <w:pPr>
              <w:spacing w:line="240" w:lineRule="auto"/>
            </w:pPr>
            <w:r w:rsidRPr="00DB5A40">
              <w:t>20</w:t>
            </w:r>
          </w:p>
        </w:tc>
        <w:tc>
          <w:tcPr>
            <w:tcW w:w="750" w:type="dxa"/>
            <w:noWrap/>
            <w:hideMark/>
          </w:tcPr>
          <w:p w14:paraId="33B2F6FC" w14:textId="77777777" w:rsidR="00DB5A40" w:rsidRPr="00DB5A40" w:rsidRDefault="00DB5A40" w:rsidP="00F60B29">
            <w:pPr>
              <w:spacing w:line="240" w:lineRule="auto"/>
            </w:pPr>
            <w:r w:rsidRPr="00DB5A40">
              <w:t>17</w:t>
            </w:r>
          </w:p>
        </w:tc>
        <w:tc>
          <w:tcPr>
            <w:tcW w:w="816" w:type="dxa"/>
            <w:noWrap/>
            <w:hideMark/>
          </w:tcPr>
          <w:p w14:paraId="73B9E175" w14:textId="77777777" w:rsidR="00DB5A40" w:rsidRPr="00DB5A40" w:rsidRDefault="00DB5A40" w:rsidP="00F60B29">
            <w:pPr>
              <w:spacing w:line="240" w:lineRule="auto"/>
            </w:pPr>
            <w:r w:rsidRPr="00DB5A40">
              <w:t>15</w:t>
            </w:r>
          </w:p>
        </w:tc>
        <w:tc>
          <w:tcPr>
            <w:tcW w:w="790" w:type="dxa"/>
            <w:noWrap/>
            <w:hideMark/>
          </w:tcPr>
          <w:p w14:paraId="3D0B4362" w14:textId="77777777" w:rsidR="00DB5A40" w:rsidRPr="00DB5A40" w:rsidRDefault="00DB5A40" w:rsidP="00F60B29">
            <w:pPr>
              <w:spacing w:line="240" w:lineRule="auto"/>
            </w:pPr>
            <w:r w:rsidRPr="00DB5A40">
              <w:t>9</w:t>
            </w:r>
          </w:p>
        </w:tc>
        <w:tc>
          <w:tcPr>
            <w:tcW w:w="750" w:type="dxa"/>
            <w:noWrap/>
            <w:hideMark/>
          </w:tcPr>
          <w:p w14:paraId="7424E66F" w14:textId="77777777" w:rsidR="00DB5A40" w:rsidRPr="00DB5A40" w:rsidRDefault="00DB5A40" w:rsidP="00F60B29">
            <w:pPr>
              <w:spacing w:line="240" w:lineRule="auto"/>
            </w:pPr>
            <w:r w:rsidRPr="00DB5A40">
              <w:t>11</w:t>
            </w:r>
          </w:p>
        </w:tc>
        <w:tc>
          <w:tcPr>
            <w:tcW w:w="803" w:type="dxa"/>
            <w:noWrap/>
            <w:hideMark/>
          </w:tcPr>
          <w:p w14:paraId="46A91660" w14:textId="77777777" w:rsidR="00DB5A40" w:rsidRPr="00DB5A40" w:rsidRDefault="00DB5A40" w:rsidP="00F60B29">
            <w:pPr>
              <w:spacing w:line="240" w:lineRule="auto"/>
            </w:pPr>
            <w:r w:rsidRPr="00DB5A40">
              <w:t>12</w:t>
            </w:r>
          </w:p>
        </w:tc>
        <w:tc>
          <w:tcPr>
            <w:tcW w:w="790" w:type="dxa"/>
            <w:noWrap/>
            <w:hideMark/>
          </w:tcPr>
          <w:p w14:paraId="5FCC49FF" w14:textId="77777777" w:rsidR="00DB5A40" w:rsidRPr="00DB5A40" w:rsidRDefault="00DB5A40" w:rsidP="00F60B29">
            <w:pPr>
              <w:spacing w:line="240" w:lineRule="auto"/>
            </w:pPr>
            <w:r w:rsidRPr="00DB5A40">
              <w:t>11</w:t>
            </w:r>
          </w:p>
        </w:tc>
      </w:tr>
      <w:tr w:rsidR="00DB5A40" w:rsidRPr="00DB5A40" w14:paraId="1FDCD839" w14:textId="77777777" w:rsidTr="00F60B29">
        <w:trPr>
          <w:trHeight w:val="310"/>
        </w:trPr>
        <w:tc>
          <w:tcPr>
            <w:tcW w:w="3805" w:type="dxa"/>
            <w:noWrap/>
            <w:hideMark/>
          </w:tcPr>
          <w:p w14:paraId="162D2341" w14:textId="77777777" w:rsidR="00DB5A40" w:rsidRPr="00DB5A40" w:rsidRDefault="00DB5A40" w:rsidP="00F60B29">
            <w:pPr>
              <w:spacing w:line="240" w:lineRule="auto"/>
            </w:pPr>
            <w:r w:rsidRPr="00DB5A40">
              <w:t>Transgender</w:t>
            </w:r>
          </w:p>
        </w:tc>
        <w:tc>
          <w:tcPr>
            <w:tcW w:w="764" w:type="dxa"/>
            <w:noWrap/>
            <w:hideMark/>
          </w:tcPr>
          <w:p w14:paraId="5CAE428A" w14:textId="77777777" w:rsidR="00DB5A40" w:rsidRPr="00DB5A40" w:rsidRDefault="00DB5A40" w:rsidP="00F60B29">
            <w:pPr>
              <w:spacing w:line="240" w:lineRule="auto"/>
            </w:pPr>
            <w:r w:rsidRPr="00DB5A40">
              <w:t>7</w:t>
            </w:r>
          </w:p>
        </w:tc>
        <w:tc>
          <w:tcPr>
            <w:tcW w:w="777" w:type="dxa"/>
            <w:noWrap/>
            <w:hideMark/>
          </w:tcPr>
          <w:p w14:paraId="243B7E61" w14:textId="77777777" w:rsidR="00DB5A40" w:rsidRPr="00DB5A40" w:rsidRDefault="00DB5A40" w:rsidP="00F60B29">
            <w:pPr>
              <w:spacing w:line="240" w:lineRule="auto"/>
            </w:pPr>
            <w:r w:rsidRPr="00DB5A40">
              <w:t>7</w:t>
            </w:r>
          </w:p>
        </w:tc>
        <w:tc>
          <w:tcPr>
            <w:tcW w:w="777" w:type="dxa"/>
            <w:noWrap/>
            <w:hideMark/>
          </w:tcPr>
          <w:p w14:paraId="196C0557" w14:textId="77777777" w:rsidR="00DB5A40" w:rsidRPr="00DB5A40" w:rsidRDefault="00DB5A40" w:rsidP="00F60B29">
            <w:pPr>
              <w:spacing w:line="240" w:lineRule="auto"/>
            </w:pPr>
            <w:r w:rsidRPr="00DB5A40">
              <w:t>10</w:t>
            </w:r>
          </w:p>
        </w:tc>
        <w:tc>
          <w:tcPr>
            <w:tcW w:w="763" w:type="dxa"/>
            <w:noWrap/>
            <w:hideMark/>
          </w:tcPr>
          <w:p w14:paraId="601593A0" w14:textId="77777777" w:rsidR="00DB5A40" w:rsidRPr="00DB5A40" w:rsidRDefault="00DB5A40" w:rsidP="00F60B29">
            <w:pPr>
              <w:spacing w:line="240" w:lineRule="auto"/>
            </w:pPr>
            <w:r w:rsidRPr="00DB5A40">
              <w:t>5</w:t>
            </w:r>
          </w:p>
        </w:tc>
        <w:tc>
          <w:tcPr>
            <w:tcW w:w="817" w:type="dxa"/>
            <w:noWrap/>
            <w:hideMark/>
          </w:tcPr>
          <w:p w14:paraId="36CD43BB" w14:textId="77777777" w:rsidR="00DB5A40" w:rsidRPr="00DB5A40" w:rsidRDefault="00DB5A40" w:rsidP="00F60B29">
            <w:pPr>
              <w:spacing w:line="240" w:lineRule="auto"/>
            </w:pPr>
            <w:r w:rsidRPr="00DB5A40">
              <w:t>7</w:t>
            </w:r>
          </w:p>
        </w:tc>
        <w:tc>
          <w:tcPr>
            <w:tcW w:w="777" w:type="dxa"/>
            <w:noWrap/>
            <w:hideMark/>
          </w:tcPr>
          <w:p w14:paraId="7BAC3845" w14:textId="77777777" w:rsidR="00DB5A40" w:rsidRPr="00DB5A40" w:rsidRDefault="00DB5A40" w:rsidP="00F60B29">
            <w:pPr>
              <w:spacing w:line="240" w:lineRule="auto"/>
            </w:pPr>
            <w:r w:rsidRPr="00DB5A40">
              <w:t>2</w:t>
            </w:r>
          </w:p>
        </w:tc>
        <w:tc>
          <w:tcPr>
            <w:tcW w:w="750" w:type="dxa"/>
            <w:noWrap/>
            <w:hideMark/>
          </w:tcPr>
          <w:p w14:paraId="18F79905" w14:textId="77777777" w:rsidR="00DB5A40" w:rsidRPr="00DB5A40" w:rsidRDefault="00DB5A40" w:rsidP="00F60B29">
            <w:pPr>
              <w:spacing w:line="240" w:lineRule="auto"/>
            </w:pPr>
            <w:r w:rsidRPr="00DB5A40">
              <w:t>12</w:t>
            </w:r>
          </w:p>
        </w:tc>
        <w:tc>
          <w:tcPr>
            <w:tcW w:w="816" w:type="dxa"/>
            <w:noWrap/>
            <w:hideMark/>
          </w:tcPr>
          <w:p w14:paraId="6DB6024C" w14:textId="77777777" w:rsidR="00DB5A40" w:rsidRPr="00DB5A40" w:rsidRDefault="00DB5A40" w:rsidP="00F60B29">
            <w:pPr>
              <w:spacing w:line="240" w:lineRule="auto"/>
            </w:pPr>
            <w:r w:rsidRPr="00DB5A40">
              <w:t>9</w:t>
            </w:r>
          </w:p>
        </w:tc>
        <w:tc>
          <w:tcPr>
            <w:tcW w:w="790" w:type="dxa"/>
            <w:noWrap/>
            <w:hideMark/>
          </w:tcPr>
          <w:p w14:paraId="7A830143" w14:textId="77777777" w:rsidR="00DB5A40" w:rsidRPr="00DB5A40" w:rsidRDefault="00DB5A40" w:rsidP="00F60B29">
            <w:pPr>
              <w:spacing w:line="240" w:lineRule="auto"/>
            </w:pPr>
            <w:r w:rsidRPr="00DB5A40">
              <w:t>7</w:t>
            </w:r>
          </w:p>
        </w:tc>
        <w:tc>
          <w:tcPr>
            <w:tcW w:w="750" w:type="dxa"/>
            <w:noWrap/>
            <w:hideMark/>
          </w:tcPr>
          <w:p w14:paraId="0ED457A9" w14:textId="77777777" w:rsidR="00DB5A40" w:rsidRPr="00DB5A40" w:rsidRDefault="00DB5A40" w:rsidP="00F60B29">
            <w:pPr>
              <w:spacing w:line="240" w:lineRule="auto"/>
            </w:pPr>
            <w:r w:rsidRPr="00DB5A40">
              <w:t>10</w:t>
            </w:r>
          </w:p>
        </w:tc>
        <w:tc>
          <w:tcPr>
            <w:tcW w:w="803" w:type="dxa"/>
            <w:noWrap/>
            <w:hideMark/>
          </w:tcPr>
          <w:p w14:paraId="0333ACAA" w14:textId="77777777" w:rsidR="00DB5A40" w:rsidRPr="00DB5A40" w:rsidRDefault="00DB5A40" w:rsidP="00F60B29">
            <w:pPr>
              <w:spacing w:line="240" w:lineRule="auto"/>
            </w:pPr>
            <w:r w:rsidRPr="00DB5A40">
              <w:t>4</w:t>
            </w:r>
          </w:p>
        </w:tc>
        <w:tc>
          <w:tcPr>
            <w:tcW w:w="790" w:type="dxa"/>
            <w:noWrap/>
            <w:hideMark/>
          </w:tcPr>
          <w:p w14:paraId="7073A70F" w14:textId="77777777" w:rsidR="00DB5A40" w:rsidRPr="00DB5A40" w:rsidRDefault="00DB5A40" w:rsidP="00F60B29">
            <w:pPr>
              <w:spacing w:line="240" w:lineRule="auto"/>
            </w:pPr>
          </w:p>
        </w:tc>
      </w:tr>
      <w:tr w:rsidR="00DB5A40" w:rsidRPr="00DB5A40" w14:paraId="1E975398" w14:textId="77777777" w:rsidTr="00F60B29">
        <w:trPr>
          <w:trHeight w:val="310"/>
        </w:trPr>
        <w:tc>
          <w:tcPr>
            <w:tcW w:w="3805" w:type="dxa"/>
            <w:noWrap/>
            <w:hideMark/>
          </w:tcPr>
          <w:p w14:paraId="765FD127" w14:textId="77777777" w:rsidR="00DB5A40" w:rsidRPr="00DB5A40" w:rsidRDefault="00DB5A40" w:rsidP="00F60B29">
            <w:pPr>
              <w:spacing w:line="240" w:lineRule="auto"/>
            </w:pPr>
            <w:r w:rsidRPr="00DB5A40">
              <w:t>Variations in Sex Characteristics</w:t>
            </w:r>
          </w:p>
        </w:tc>
        <w:tc>
          <w:tcPr>
            <w:tcW w:w="764" w:type="dxa"/>
            <w:noWrap/>
            <w:hideMark/>
          </w:tcPr>
          <w:p w14:paraId="54E7CC30" w14:textId="77777777" w:rsidR="00DB5A40" w:rsidRPr="00DB5A40" w:rsidRDefault="00DB5A40" w:rsidP="00F60B29">
            <w:pPr>
              <w:spacing w:line="240" w:lineRule="auto"/>
            </w:pPr>
          </w:p>
        </w:tc>
        <w:tc>
          <w:tcPr>
            <w:tcW w:w="777" w:type="dxa"/>
            <w:noWrap/>
            <w:hideMark/>
          </w:tcPr>
          <w:p w14:paraId="5B913390" w14:textId="77777777" w:rsidR="00DB5A40" w:rsidRPr="00DB5A40" w:rsidRDefault="00DB5A40" w:rsidP="00F60B29">
            <w:pPr>
              <w:spacing w:line="240" w:lineRule="auto"/>
            </w:pPr>
          </w:p>
        </w:tc>
        <w:tc>
          <w:tcPr>
            <w:tcW w:w="777" w:type="dxa"/>
            <w:noWrap/>
            <w:hideMark/>
          </w:tcPr>
          <w:p w14:paraId="6C740B41" w14:textId="77777777" w:rsidR="00DB5A40" w:rsidRPr="00DB5A40" w:rsidRDefault="00DB5A40" w:rsidP="00F60B29">
            <w:pPr>
              <w:spacing w:line="240" w:lineRule="auto"/>
            </w:pPr>
          </w:p>
        </w:tc>
        <w:tc>
          <w:tcPr>
            <w:tcW w:w="763" w:type="dxa"/>
            <w:noWrap/>
            <w:hideMark/>
          </w:tcPr>
          <w:p w14:paraId="3AE0A4B0" w14:textId="77777777" w:rsidR="00DB5A40" w:rsidRPr="00DB5A40" w:rsidRDefault="00DB5A40" w:rsidP="00F60B29">
            <w:pPr>
              <w:spacing w:line="240" w:lineRule="auto"/>
            </w:pPr>
            <w:r w:rsidRPr="00DB5A40">
              <w:t>1</w:t>
            </w:r>
          </w:p>
        </w:tc>
        <w:tc>
          <w:tcPr>
            <w:tcW w:w="817" w:type="dxa"/>
            <w:noWrap/>
            <w:hideMark/>
          </w:tcPr>
          <w:p w14:paraId="571AD950" w14:textId="77777777" w:rsidR="00DB5A40" w:rsidRPr="00DB5A40" w:rsidRDefault="00DB5A40" w:rsidP="00F60B29">
            <w:pPr>
              <w:spacing w:line="240" w:lineRule="auto"/>
            </w:pPr>
          </w:p>
        </w:tc>
        <w:tc>
          <w:tcPr>
            <w:tcW w:w="777" w:type="dxa"/>
            <w:noWrap/>
            <w:hideMark/>
          </w:tcPr>
          <w:p w14:paraId="3C0FC90D" w14:textId="77777777" w:rsidR="00DB5A40" w:rsidRPr="00DB5A40" w:rsidRDefault="00DB5A40" w:rsidP="00F60B29">
            <w:pPr>
              <w:spacing w:line="240" w:lineRule="auto"/>
            </w:pPr>
          </w:p>
        </w:tc>
        <w:tc>
          <w:tcPr>
            <w:tcW w:w="750" w:type="dxa"/>
            <w:noWrap/>
            <w:hideMark/>
          </w:tcPr>
          <w:p w14:paraId="44A0BC48" w14:textId="77777777" w:rsidR="00DB5A40" w:rsidRPr="00DB5A40" w:rsidRDefault="00DB5A40" w:rsidP="00F60B29">
            <w:pPr>
              <w:spacing w:line="240" w:lineRule="auto"/>
            </w:pPr>
            <w:r w:rsidRPr="00DB5A40">
              <w:t>1</w:t>
            </w:r>
          </w:p>
        </w:tc>
        <w:tc>
          <w:tcPr>
            <w:tcW w:w="816" w:type="dxa"/>
            <w:noWrap/>
            <w:hideMark/>
          </w:tcPr>
          <w:p w14:paraId="6563F7B6" w14:textId="77777777" w:rsidR="00DB5A40" w:rsidRPr="00DB5A40" w:rsidRDefault="00DB5A40" w:rsidP="00F60B29">
            <w:pPr>
              <w:spacing w:line="240" w:lineRule="auto"/>
            </w:pPr>
          </w:p>
        </w:tc>
        <w:tc>
          <w:tcPr>
            <w:tcW w:w="790" w:type="dxa"/>
            <w:noWrap/>
            <w:hideMark/>
          </w:tcPr>
          <w:p w14:paraId="4722EDFD" w14:textId="77777777" w:rsidR="00DB5A40" w:rsidRPr="00DB5A40" w:rsidRDefault="00DB5A40" w:rsidP="00F60B29">
            <w:pPr>
              <w:spacing w:line="240" w:lineRule="auto"/>
            </w:pPr>
          </w:p>
        </w:tc>
        <w:tc>
          <w:tcPr>
            <w:tcW w:w="750" w:type="dxa"/>
            <w:noWrap/>
            <w:hideMark/>
          </w:tcPr>
          <w:p w14:paraId="2210D9D4" w14:textId="77777777" w:rsidR="00DB5A40" w:rsidRPr="00DB5A40" w:rsidRDefault="00DB5A40" w:rsidP="00F60B29">
            <w:pPr>
              <w:spacing w:line="240" w:lineRule="auto"/>
            </w:pPr>
            <w:r w:rsidRPr="00DB5A40">
              <w:t>2</w:t>
            </w:r>
          </w:p>
        </w:tc>
        <w:tc>
          <w:tcPr>
            <w:tcW w:w="803" w:type="dxa"/>
            <w:noWrap/>
            <w:hideMark/>
          </w:tcPr>
          <w:p w14:paraId="7B816876" w14:textId="77777777" w:rsidR="00DB5A40" w:rsidRPr="00DB5A40" w:rsidRDefault="00DB5A40" w:rsidP="00F60B29">
            <w:pPr>
              <w:spacing w:line="240" w:lineRule="auto"/>
            </w:pPr>
          </w:p>
        </w:tc>
        <w:tc>
          <w:tcPr>
            <w:tcW w:w="790" w:type="dxa"/>
            <w:noWrap/>
            <w:hideMark/>
          </w:tcPr>
          <w:p w14:paraId="2E917DE4" w14:textId="77777777" w:rsidR="00DB5A40" w:rsidRPr="00DB5A40" w:rsidRDefault="00DB5A40" w:rsidP="00F60B29">
            <w:pPr>
              <w:spacing w:line="240" w:lineRule="auto"/>
            </w:pPr>
          </w:p>
        </w:tc>
      </w:tr>
      <w:tr w:rsidR="00DB5A40" w:rsidRPr="00DB5A40" w14:paraId="42CD5CE3" w14:textId="77777777" w:rsidTr="00F60B29">
        <w:trPr>
          <w:trHeight w:val="310"/>
        </w:trPr>
        <w:tc>
          <w:tcPr>
            <w:tcW w:w="3805" w:type="dxa"/>
            <w:hideMark/>
          </w:tcPr>
          <w:p w14:paraId="712B0B82" w14:textId="77777777" w:rsidR="00DB5A40" w:rsidRPr="00DB5A40" w:rsidRDefault="00DB5A40" w:rsidP="00F60B29">
            <w:pPr>
              <w:spacing w:line="240" w:lineRule="auto"/>
              <w:rPr>
                <w:b/>
                <w:bCs/>
              </w:rPr>
            </w:pPr>
            <w:r w:rsidRPr="00DB5A40">
              <w:rPr>
                <w:b/>
                <w:bCs/>
              </w:rPr>
              <w:t>Total</w:t>
            </w:r>
          </w:p>
        </w:tc>
        <w:tc>
          <w:tcPr>
            <w:tcW w:w="764" w:type="dxa"/>
            <w:hideMark/>
          </w:tcPr>
          <w:p w14:paraId="1B656155" w14:textId="77777777" w:rsidR="00DB5A40" w:rsidRPr="00DB5A40" w:rsidRDefault="00DB5A40" w:rsidP="00F60B29">
            <w:pPr>
              <w:spacing w:line="240" w:lineRule="auto"/>
              <w:rPr>
                <w:b/>
                <w:bCs/>
              </w:rPr>
            </w:pPr>
            <w:r w:rsidRPr="00DB5A40">
              <w:rPr>
                <w:b/>
                <w:bCs/>
              </w:rPr>
              <w:t>110</w:t>
            </w:r>
          </w:p>
        </w:tc>
        <w:tc>
          <w:tcPr>
            <w:tcW w:w="777" w:type="dxa"/>
            <w:hideMark/>
          </w:tcPr>
          <w:p w14:paraId="1B53AAF6" w14:textId="77777777" w:rsidR="00DB5A40" w:rsidRPr="00DB5A40" w:rsidRDefault="00DB5A40" w:rsidP="00F60B29">
            <w:pPr>
              <w:spacing w:line="240" w:lineRule="auto"/>
              <w:rPr>
                <w:b/>
                <w:bCs/>
              </w:rPr>
            </w:pPr>
            <w:r w:rsidRPr="00DB5A40">
              <w:rPr>
                <w:b/>
                <w:bCs/>
              </w:rPr>
              <w:t>128</w:t>
            </w:r>
          </w:p>
        </w:tc>
        <w:tc>
          <w:tcPr>
            <w:tcW w:w="777" w:type="dxa"/>
            <w:hideMark/>
          </w:tcPr>
          <w:p w14:paraId="73D251DE" w14:textId="77777777" w:rsidR="00DB5A40" w:rsidRPr="00DB5A40" w:rsidRDefault="00DB5A40" w:rsidP="00F60B29">
            <w:pPr>
              <w:spacing w:line="240" w:lineRule="auto"/>
              <w:rPr>
                <w:b/>
                <w:bCs/>
              </w:rPr>
            </w:pPr>
            <w:r w:rsidRPr="00DB5A40">
              <w:rPr>
                <w:b/>
                <w:bCs/>
              </w:rPr>
              <w:t>176</w:t>
            </w:r>
          </w:p>
        </w:tc>
        <w:tc>
          <w:tcPr>
            <w:tcW w:w="763" w:type="dxa"/>
            <w:hideMark/>
          </w:tcPr>
          <w:p w14:paraId="669B9BD2" w14:textId="77777777" w:rsidR="00DB5A40" w:rsidRPr="00DB5A40" w:rsidRDefault="00DB5A40" w:rsidP="00F60B29">
            <w:pPr>
              <w:spacing w:line="240" w:lineRule="auto"/>
              <w:rPr>
                <w:b/>
                <w:bCs/>
              </w:rPr>
            </w:pPr>
            <w:r w:rsidRPr="00DB5A40">
              <w:rPr>
                <w:b/>
                <w:bCs/>
              </w:rPr>
              <w:t>134</w:t>
            </w:r>
          </w:p>
        </w:tc>
        <w:tc>
          <w:tcPr>
            <w:tcW w:w="817" w:type="dxa"/>
            <w:hideMark/>
          </w:tcPr>
          <w:p w14:paraId="7AB5AFF6" w14:textId="77777777" w:rsidR="00DB5A40" w:rsidRPr="00DB5A40" w:rsidRDefault="00DB5A40" w:rsidP="00F60B29">
            <w:pPr>
              <w:spacing w:line="240" w:lineRule="auto"/>
              <w:rPr>
                <w:b/>
                <w:bCs/>
              </w:rPr>
            </w:pPr>
            <w:r w:rsidRPr="00DB5A40">
              <w:rPr>
                <w:b/>
                <w:bCs/>
              </w:rPr>
              <w:t>112</w:t>
            </w:r>
          </w:p>
        </w:tc>
        <w:tc>
          <w:tcPr>
            <w:tcW w:w="777" w:type="dxa"/>
            <w:hideMark/>
          </w:tcPr>
          <w:p w14:paraId="272C670E" w14:textId="77777777" w:rsidR="00DB5A40" w:rsidRPr="00DB5A40" w:rsidRDefault="00DB5A40" w:rsidP="00F60B29">
            <w:pPr>
              <w:spacing w:line="240" w:lineRule="auto"/>
              <w:rPr>
                <w:b/>
                <w:bCs/>
              </w:rPr>
            </w:pPr>
            <w:r w:rsidRPr="00DB5A40">
              <w:rPr>
                <w:b/>
                <w:bCs/>
              </w:rPr>
              <w:t>112</w:t>
            </w:r>
          </w:p>
        </w:tc>
        <w:tc>
          <w:tcPr>
            <w:tcW w:w="750" w:type="dxa"/>
            <w:hideMark/>
          </w:tcPr>
          <w:p w14:paraId="6D7A5322" w14:textId="77777777" w:rsidR="00DB5A40" w:rsidRPr="00DB5A40" w:rsidRDefault="00DB5A40" w:rsidP="00F60B29">
            <w:pPr>
              <w:spacing w:line="240" w:lineRule="auto"/>
              <w:rPr>
                <w:b/>
                <w:bCs/>
              </w:rPr>
            </w:pPr>
            <w:r w:rsidRPr="00DB5A40">
              <w:rPr>
                <w:b/>
                <w:bCs/>
              </w:rPr>
              <w:t>103</w:t>
            </w:r>
          </w:p>
        </w:tc>
        <w:tc>
          <w:tcPr>
            <w:tcW w:w="816" w:type="dxa"/>
            <w:hideMark/>
          </w:tcPr>
          <w:p w14:paraId="08D43165" w14:textId="77777777" w:rsidR="00DB5A40" w:rsidRPr="00DB5A40" w:rsidRDefault="00DB5A40" w:rsidP="00F60B29">
            <w:pPr>
              <w:spacing w:line="240" w:lineRule="auto"/>
              <w:rPr>
                <w:b/>
                <w:bCs/>
              </w:rPr>
            </w:pPr>
            <w:r w:rsidRPr="00DB5A40">
              <w:rPr>
                <w:b/>
                <w:bCs/>
              </w:rPr>
              <w:t>117</w:t>
            </w:r>
          </w:p>
        </w:tc>
        <w:tc>
          <w:tcPr>
            <w:tcW w:w="790" w:type="dxa"/>
            <w:hideMark/>
          </w:tcPr>
          <w:p w14:paraId="4F77B4D9" w14:textId="77777777" w:rsidR="00DB5A40" w:rsidRPr="00DB5A40" w:rsidRDefault="00DB5A40" w:rsidP="00F60B29">
            <w:pPr>
              <w:spacing w:line="240" w:lineRule="auto"/>
              <w:rPr>
                <w:b/>
                <w:bCs/>
              </w:rPr>
            </w:pPr>
            <w:r w:rsidRPr="00DB5A40">
              <w:rPr>
                <w:b/>
                <w:bCs/>
              </w:rPr>
              <w:t>105</w:t>
            </w:r>
          </w:p>
        </w:tc>
        <w:tc>
          <w:tcPr>
            <w:tcW w:w="750" w:type="dxa"/>
            <w:hideMark/>
          </w:tcPr>
          <w:p w14:paraId="3E61DBC6" w14:textId="77777777" w:rsidR="00DB5A40" w:rsidRPr="00DB5A40" w:rsidRDefault="00DB5A40" w:rsidP="00F60B29">
            <w:pPr>
              <w:spacing w:line="240" w:lineRule="auto"/>
              <w:rPr>
                <w:b/>
                <w:bCs/>
              </w:rPr>
            </w:pPr>
            <w:r w:rsidRPr="00DB5A40">
              <w:rPr>
                <w:b/>
                <w:bCs/>
              </w:rPr>
              <w:t>100</w:t>
            </w:r>
          </w:p>
        </w:tc>
        <w:tc>
          <w:tcPr>
            <w:tcW w:w="803" w:type="dxa"/>
            <w:hideMark/>
          </w:tcPr>
          <w:p w14:paraId="4B3906D5" w14:textId="77777777" w:rsidR="00DB5A40" w:rsidRPr="00DB5A40" w:rsidRDefault="00DB5A40" w:rsidP="00F60B29">
            <w:pPr>
              <w:spacing w:line="240" w:lineRule="auto"/>
              <w:rPr>
                <w:b/>
                <w:bCs/>
              </w:rPr>
            </w:pPr>
            <w:r w:rsidRPr="00DB5A40">
              <w:rPr>
                <w:b/>
                <w:bCs/>
              </w:rPr>
              <w:t>67</w:t>
            </w:r>
          </w:p>
        </w:tc>
        <w:tc>
          <w:tcPr>
            <w:tcW w:w="790" w:type="dxa"/>
            <w:hideMark/>
          </w:tcPr>
          <w:p w14:paraId="65C7F34A" w14:textId="77777777" w:rsidR="00DB5A40" w:rsidRPr="00DB5A40" w:rsidRDefault="00DB5A40" w:rsidP="00F60B29">
            <w:pPr>
              <w:spacing w:line="240" w:lineRule="auto"/>
              <w:rPr>
                <w:b/>
                <w:bCs/>
              </w:rPr>
            </w:pPr>
            <w:r w:rsidRPr="00DB5A40">
              <w:rPr>
                <w:b/>
                <w:bCs/>
              </w:rPr>
              <w:t>72</w:t>
            </w:r>
          </w:p>
        </w:tc>
      </w:tr>
    </w:tbl>
    <w:p w14:paraId="0CC5015F" w14:textId="2B984F4F" w:rsidR="00F60B29" w:rsidRDefault="004B7AC4" w:rsidP="00F60B29">
      <w:r>
        <w:t xml:space="preserve">All statistics are provisional and should be treated as management information. </w:t>
      </w:r>
      <w:r w:rsidR="00F60B29">
        <w:br/>
        <w:t xml:space="preserve">Data was </w:t>
      </w:r>
      <w:r>
        <w:t>extracted from Police Scotland internal systems and are correct as at 9th April 2025.</w:t>
      </w:r>
      <w:r>
        <w:tab/>
      </w:r>
      <w:r>
        <w:tab/>
      </w:r>
      <w:r>
        <w:tab/>
      </w:r>
      <w:r w:rsidR="00F60B29">
        <w:br/>
      </w:r>
      <w:r>
        <w:t xml:space="preserve">As there can be multiple hate concern types attached to a non crime hate incident victim, the total number hate concern types will not reflect the number of unique hate incidents. </w:t>
      </w:r>
      <w:r w:rsidR="00F60B29">
        <w:br/>
      </w:r>
      <w:r>
        <w:t>All records relating to Non-Crime Hate Incidents have been extracted from the Interim Vulnerable Persons Database (iVPD).</w:t>
      </w:r>
      <w:r w:rsidR="00F60B29">
        <w:br/>
      </w:r>
      <w:r>
        <w:t>Non-Crime Hate Incidents are extracted from iVPD where ‘Crime Occurred’ equals ‘No’.</w:t>
      </w:r>
      <w:r w:rsidR="00F60B29">
        <w:br/>
      </w:r>
      <w:r w:rsidR="00F60B29">
        <w:t xml:space="preserve">These data are collated from the Police Scotland iVPD system, which has an automated </w:t>
      </w:r>
      <w:hyperlink r:id="rId22" w:history="1">
        <w:r w:rsidR="00F60B29" w:rsidRPr="00F60B29">
          <w:rPr>
            <w:rStyle w:val="Hyperlink"/>
          </w:rPr>
          <w:t>weeding and retention policy</w:t>
        </w:r>
      </w:hyperlink>
      <w:r w:rsidR="00F60B29">
        <w:t xml:space="preserve"> built on to it. </w:t>
      </w:r>
    </w:p>
    <w:p w14:paraId="34BDABC4" w14:textId="155C30B3" w:rsidR="007F490F" w:rsidRDefault="007F490F" w:rsidP="00F60B29"/>
    <w:sectPr w:rsidR="007F490F" w:rsidSect="00DB5A40">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2965A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E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B24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E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30D4D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E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43AFB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E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57B64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E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E7A1E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E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90F"/>
    <w:multiLevelType w:val="hybridMultilevel"/>
    <w:tmpl w:val="C542F6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C3948"/>
    <w:multiLevelType w:val="hybridMultilevel"/>
    <w:tmpl w:val="4760B2A2"/>
    <w:lvl w:ilvl="0" w:tplc="12FA603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92F93"/>
    <w:multiLevelType w:val="hybridMultilevel"/>
    <w:tmpl w:val="B00085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097367164">
    <w:abstractNumId w:val="2"/>
  </w:num>
  <w:num w:numId="3" w16cid:durableId="44453913">
    <w:abstractNumId w:val="1"/>
  </w:num>
  <w:num w:numId="4" w16cid:durableId="199860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41533"/>
    <w:rsid w:val="00151DD0"/>
    <w:rsid w:val="00167528"/>
    <w:rsid w:val="00195CC4"/>
    <w:rsid w:val="00207326"/>
    <w:rsid w:val="00233FC8"/>
    <w:rsid w:val="00253DF6"/>
    <w:rsid w:val="00255F1E"/>
    <w:rsid w:val="002B0C0C"/>
    <w:rsid w:val="002F5274"/>
    <w:rsid w:val="00313EDB"/>
    <w:rsid w:val="0036503B"/>
    <w:rsid w:val="00376A4A"/>
    <w:rsid w:val="003D6D03"/>
    <w:rsid w:val="003E12CA"/>
    <w:rsid w:val="004010DC"/>
    <w:rsid w:val="004341F0"/>
    <w:rsid w:val="00456324"/>
    <w:rsid w:val="00475460"/>
    <w:rsid w:val="00490317"/>
    <w:rsid w:val="00491644"/>
    <w:rsid w:val="00496A08"/>
    <w:rsid w:val="004B7AC4"/>
    <w:rsid w:val="004E1605"/>
    <w:rsid w:val="004F653C"/>
    <w:rsid w:val="00540A52"/>
    <w:rsid w:val="005506B0"/>
    <w:rsid w:val="00557306"/>
    <w:rsid w:val="00621F58"/>
    <w:rsid w:val="00645CFA"/>
    <w:rsid w:val="00670A75"/>
    <w:rsid w:val="00685219"/>
    <w:rsid w:val="006D5799"/>
    <w:rsid w:val="007016B1"/>
    <w:rsid w:val="007440EA"/>
    <w:rsid w:val="00750D83"/>
    <w:rsid w:val="00785DBC"/>
    <w:rsid w:val="00793DD5"/>
    <w:rsid w:val="007D55F6"/>
    <w:rsid w:val="007E4EB1"/>
    <w:rsid w:val="007F490F"/>
    <w:rsid w:val="00854A15"/>
    <w:rsid w:val="0086779C"/>
    <w:rsid w:val="00874BFD"/>
    <w:rsid w:val="008964EF"/>
    <w:rsid w:val="00914D81"/>
    <w:rsid w:val="00915E01"/>
    <w:rsid w:val="009631A4"/>
    <w:rsid w:val="00977296"/>
    <w:rsid w:val="00A04A7E"/>
    <w:rsid w:val="00A25E93"/>
    <w:rsid w:val="00A320FF"/>
    <w:rsid w:val="00A70AC0"/>
    <w:rsid w:val="00A84EA9"/>
    <w:rsid w:val="00AC443C"/>
    <w:rsid w:val="00AC6465"/>
    <w:rsid w:val="00B033D6"/>
    <w:rsid w:val="00B11A55"/>
    <w:rsid w:val="00B17211"/>
    <w:rsid w:val="00B25EF7"/>
    <w:rsid w:val="00B461B2"/>
    <w:rsid w:val="00B628CC"/>
    <w:rsid w:val="00B654B6"/>
    <w:rsid w:val="00B71B3C"/>
    <w:rsid w:val="00BB13B3"/>
    <w:rsid w:val="00BC389E"/>
    <w:rsid w:val="00BD68A5"/>
    <w:rsid w:val="00BE1888"/>
    <w:rsid w:val="00BE4F44"/>
    <w:rsid w:val="00BF6B81"/>
    <w:rsid w:val="00C077A8"/>
    <w:rsid w:val="00C14FF4"/>
    <w:rsid w:val="00C1679F"/>
    <w:rsid w:val="00C606A2"/>
    <w:rsid w:val="00C63872"/>
    <w:rsid w:val="00C84948"/>
    <w:rsid w:val="00C94ED8"/>
    <w:rsid w:val="00CA3A36"/>
    <w:rsid w:val="00CC7CA2"/>
    <w:rsid w:val="00CF1111"/>
    <w:rsid w:val="00D05706"/>
    <w:rsid w:val="00D27DC5"/>
    <w:rsid w:val="00D47E36"/>
    <w:rsid w:val="00DA1167"/>
    <w:rsid w:val="00DB5A40"/>
    <w:rsid w:val="00DF3689"/>
    <w:rsid w:val="00E25AB4"/>
    <w:rsid w:val="00E366D4"/>
    <w:rsid w:val="00E55D79"/>
    <w:rsid w:val="00E704C6"/>
    <w:rsid w:val="00E74F7F"/>
    <w:rsid w:val="00EE2373"/>
    <w:rsid w:val="00EE6C04"/>
    <w:rsid w:val="00EF0FBB"/>
    <w:rsid w:val="00EF4761"/>
    <w:rsid w:val="00F60B29"/>
    <w:rsid w:val="00FC2DA7"/>
    <w:rsid w:val="00FC3266"/>
    <w:rsid w:val="00FD6E6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6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99327">
      <w:bodyDiv w:val="1"/>
      <w:marLeft w:val="0"/>
      <w:marRight w:val="0"/>
      <w:marTop w:val="0"/>
      <w:marBottom w:val="0"/>
      <w:divBdr>
        <w:top w:val="none" w:sz="0" w:space="0" w:color="auto"/>
        <w:left w:val="none" w:sz="0" w:space="0" w:color="auto"/>
        <w:bottom w:val="none" w:sz="0" w:space="0" w:color="auto"/>
        <w:right w:val="none" w:sz="0" w:space="0" w:color="auto"/>
      </w:divBdr>
    </w:div>
    <w:div w:id="822045046">
      <w:bodyDiv w:val="1"/>
      <w:marLeft w:val="0"/>
      <w:marRight w:val="0"/>
      <w:marTop w:val="0"/>
      <w:marBottom w:val="0"/>
      <w:divBdr>
        <w:top w:val="none" w:sz="0" w:space="0" w:color="auto"/>
        <w:left w:val="none" w:sz="0" w:space="0" w:color="auto"/>
        <w:bottom w:val="none" w:sz="0" w:space="0" w:color="auto"/>
        <w:right w:val="none" w:sz="0" w:space="0" w:color="auto"/>
      </w:divBdr>
    </w:div>
    <w:div w:id="1112089654">
      <w:bodyDiv w:val="1"/>
      <w:marLeft w:val="0"/>
      <w:marRight w:val="0"/>
      <w:marTop w:val="0"/>
      <w:marBottom w:val="0"/>
      <w:divBdr>
        <w:top w:val="none" w:sz="0" w:space="0" w:color="auto"/>
        <w:left w:val="none" w:sz="0" w:space="0" w:color="auto"/>
        <w:bottom w:val="none" w:sz="0" w:space="0" w:color="auto"/>
        <w:right w:val="none" w:sz="0" w:space="0" w:color="auto"/>
      </w:divBdr>
    </w:div>
    <w:div w:id="1729764096">
      <w:bodyDiv w:val="1"/>
      <w:marLeft w:val="0"/>
      <w:marRight w:val="0"/>
      <w:marTop w:val="0"/>
      <w:marBottom w:val="0"/>
      <w:divBdr>
        <w:top w:val="none" w:sz="0" w:space="0" w:color="auto"/>
        <w:left w:val="none" w:sz="0" w:space="0" w:color="auto"/>
        <w:bottom w:val="none" w:sz="0" w:space="0" w:color="auto"/>
        <w:right w:val="none" w:sz="0" w:space="0" w:color="auto"/>
      </w:divBdr>
    </w:div>
    <w:div w:id="1796291044">
      <w:bodyDiv w:val="1"/>
      <w:marLeft w:val="0"/>
      <w:marRight w:val="0"/>
      <w:marTop w:val="0"/>
      <w:marBottom w:val="0"/>
      <w:divBdr>
        <w:top w:val="none" w:sz="0" w:space="0" w:color="auto"/>
        <w:left w:val="none" w:sz="0" w:space="0" w:color="auto"/>
        <w:bottom w:val="none" w:sz="0" w:space="0" w:color="auto"/>
        <w:right w:val="none" w:sz="0" w:space="0" w:color="auto"/>
      </w:divBdr>
    </w:div>
    <w:div w:id="19214013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hyperlink" Target="https://www.scotland.police.uk/spa-media/nhobty5i/record-retention-sop.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967</Words>
  <Characters>5517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2025-06-05T15:21:00Z</dcterms:created>
  <dcterms:modified xsi:type="dcterms:W3CDTF">2025-06-05T18:19:00Z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