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FCFE0D" w:rsidR="00B17211" w:rsidRPr="00B17211" w:rsidRDefault="00B17211" w:rsidP="007F490F">
            <w:r w:rsidRPr="007F490F">
              <w:rPr>
                <w:rStyle w:val="Heading2Char"/>
              </w:rPr>
              <w:t>Our reference:</w:t>
            </w:r>
            <w:r>
              <w:t xml:space="preserve">  FOI 2</w:t>
            </w:r>
            <w:r w:rsidR="00B4358E">
              <w:t>5</w:t>
            </w:r>
            <w:r>
              <w:t>-</w:t>
            </w:r>
            <w:r w:rsidR="00CE235B">
              <w:t>1918</w:t>
            </w:r>
          </w:p>
          <w:p w14:paraId="34BDABA6" w14:textId="0479148A" w:rsidR="00B17211" w:rsidRDefault="00456324" w:rsidP="00EE2373">
            <w:r w:rsidRPr="007F490F">
              <w:rPr>
                <w:rStyle w:val="Heading2Char"/>
              </w:rPr>
              <w:t>Respon</w:t>
            </w:r>
            <w:r w:rsidR="007D55F6">
              <w:rPr>
                <w:rStyle w:val="Heading2Char"/>
              </w:rPr>
              <w:t>ded to:</w:t>
            </w:r>
            <w:r w:rsidR="007F490F">
              <w:t xml:space="preserve">  </w:t>
            </w:r>
            <w:r w:rsidR="00CE235B">
              <w:t>01 July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DF621F" w14:textId="40C1A484" w:rsidR="00CE235B" w:rsidRDefault="00CE235B" w:rsidP="00CE235B">
      <w:pPr>
        <w:pStyle w:val="Heading2"/>
      </w:pPr>
      <w:r>
        <w:t xml:space="preserve">I am a transgender woman (assigned male at birth). Given the recent Supreme Court Ruling and Equality Act 2010, if I were to use a public toilet of my lived gender (the ladies toilet) and another person was to make a complaint to Police Scotland, what action would Police Scotland take, if any? </w:t>
      </w:r>
    </w:p>
    <w:p w14:paraId="4DC3F79B" w14:textId="77777777" w:rsidR="00CE235B" w:rsidRDefault="00CE235B" w:rsidP="00CE235B">
      <w:pPr>
        <w:pStyle w:val="Heading2"/>
      </w:pPr>
    </w:p>
    <w:p w14:paraId="0125E153" w14:textId="11A973B7" w:rsidR="00CE235B" w:rsidRDefault="00CE235B" w:rsidP="00CE235B">
      <w:pPr>
        <w:tabs>
          <w:tab w:val="left" w:pos="5400"/>
        </w:tabs>
        <w:rPr>
          <w:rFonts w:eastAsiaTheme="majorEastAsia" w:cstheme="majorBidi"/>
          <w:bCs/>
          <w:color w:val="000000" w:themeColor="text1"/>
          <w:szCs w:val="26"/>
        </w:rPr>
      </w:pPr>
      <w:r>
        <w:t xml:space="preserve">Police Scotland has no set policy in respect of complaints made by members of the public in relation to a transgender person using toilets as per their lived gender. Each incident must be treated on a case-by-case basis. </w:t>
      </w:r>
      <w:r>
        <w:rPr>
          <w:rFonts w:eastAsiaTheme="majorEastAsia" w:cstheme="majorBidi"/>
          <w:bCs/>
          <w:color w:val="000000" w:themeColor="text1"/>
          <w:szCs w:val="26"/>
        </w:rPr>
        <w:t>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6682CCB" w14:textId="77777777" w:rsidR="00CE235B" w:rsidRDefault="00CE235B" w:rsidP="00CE235B">
      <w:r>
        <w:t>Police Scotland is currently undertaking a review of Sex &amp; Gender. This important work will consider the Supreme Court judgment as well as revised national guidance. I can confirm that the review will consider, terminology, legislative compliance, data recording practices, equality, diversity, inclusion and human rights. As such, it will inevitably look at the interaction of sex and gender with the multiple policies, practices, guidance and Standard Operating Procedures required to cover the various operational and occupational policing situations that arise, including but not limited to single sex spaces. We are working to assess the impact of the ruling and await the EHRC guidance being published to help inform our approach.</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5F5D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9CC8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11C26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3597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DBD09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2AA0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23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128"/>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E235B"/>
    <w:rsid w:val="00CF1111"/>
    <w:rsid w:val="00D05706"/>
    <w:rsid w:val="00D27DC5"/>
    <w:rsid w:val="00D44B13"/>
    <w:rsid w:val="00D47E36"/>
    <w:rsid w:val="00D7784F"/>
    <w:rsid w:val="00DA2748"/>
    <w:rsid w:val="00E55D79"/>
    <w:rsid w:val="00E75C65"/>
    <w:rsid w:val="00EE2373"/>
    <w:rsid w:val="00EF4761"/>
    <w:rsid w:val="00EF6523"/>
    <w:rsid w:val="00F21D44"/>
    <w:rsid w:val="00F853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CE235B"/>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CE235B"/>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3329">
      <w:bodyDiv w:val="1"/>
      <w:marLeft w:val="0"/>
      <w:marRight w:val="0"/>
      <w:marTop w:val="0"/>
      <w:marBottom w:val="0"/>
      <w:divBdr>
        <w:top w:val="none" w:sz="0" w:space="0" w:color="auto"/>
        <w:left w:val="none" w:sz="0" w:space="0" w:color="auto"/>
        <w:bottom w:val="none" w:sz="0" w:space="0" w:color="auto"/>
        <w:right w:val="none" w:sz="0" w:space="0" w:color="auto"/>
      </w:divBdr>
    </w:div>
    <w:div w:id="10905384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2025-07-01T11:52:00Z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