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0BB3B6" w:rsidR="00B17211" w:rsidRPr="00B17211" w:rsidRDefault="00B17211" w:rsidP="007F490F">
            <w:r w:rsidRPr="007F490F">
              <w:rPr>
                <w:rStyle w:val="Heading2Char"/>
              </w:rPr>
              <w:t>Our reference:</w:t>
            </w:r>
            <w:r>
              <w:t xml:space="preserve">  FOI 2</w:t>
            </w:r>
            <w:r w:rsidR="00EF0FBB">
              <w:t>5</w:t>
            </w:r>
            <w:r>
              <w:t>-</w:t>
            </w:r>
            <w:r w:rsidR="00705C01">
              <w:t>1066</w:t>
            </w:r>
          </w:p>
          <w:p w14:paraId="34BDABA6" w14:textId="14372170" w:rsidR="00B17211" w:rsidRDefault="00456324" w:rsidP="00EE2373">
            <w:r w:rsidRPr="007F490F">
              <w:rPr>
                <w:rStyle w:val="Heading2Char"/>
              </w:rPr>
              <w:t>Respon</w:t>
            </w:r>
            <w:r w:rsidR="007D55F6">
              <w:rPr>
                <w:rStyle w:val="Heading2Char"/>
              </w:rPr>
              <w:t>ded to:</w:t>
            </w:r>
            <w:r w:rsidR="007F490F">
              <w:t xml:space="preserve">  </w:t>
            </w:r>
            <w:r w:rsidR="00ED3D2F">
              <w:t>06</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63C964" w14:textId="431D8657" w:rsidR="00705C01" w:rsidRPr="00705C01" w:rsidRDefault="00705C01" w:rsidP="00705C01">
      <w:pPr>
        <w:tabs>
          <w:tab w:val="left" w:pos="5400"/>
        </w:tabs>
        <w:rPr>
          <w:rFonts w:eastAsiaTheme="majorEastAsia" w:cstheme="majorBidi"/>
          <w:b/>
          <w:color w:val="000000" w:themeColor="text1"/>
          <w:szCs w:val="26"/>
        </w:rPr>
      </w:pPr>
      <w:r w:rsidRPr="00705C01">
        <w:rPr>
          <w:rFonts w:eastAsiaTheme="majorEastAsia" w:cstheme="majorBidi"/>
          <w:b/>
          <w:color w:val="000000" w:themeColor="text1"/>
          <w:szCs w:val="26"/>
        </w:rPr>
        <w:t>I’m getting in touch to make a formal FOI request regarding anti-transgender hate crimes recorded by this police force, and the number of attempted prosecutions for those recorded hate crimes, in the past 10 years.</w:t>
      </w:r>
      <w:r w:rsidR="00F54FB1">
        <w:rPr>
          <w:rFonts w:eastAsiaTheme="majorEastAsia" w:cstheme="majorBidi"/>
          <w:b/>
          <w:color w:val="000000" w:themeColor="text1"/>
          <w:szCs w:val="26"/>
        </w:rPr>
        <w:t xml:space="preserve">  </w:t>
      </w:r>
      <w:r w:rsidRPr="00705C01">
        <w:rPr>
          <w:rFonts w:eastAsiaTheme="majorEastAsia" w:cstheme="majorBidi"/>
          <w:b/>
          <w:color w:val="000000" w:themeColor="text1"/>
          <w:szCs w:val="26"/>
        </w:rPr>
        <w:t>Please can I request the data for the following for the dates 01.01.2014 to 31.12.2024 inclusive:</w:t>
      </w:r>
    </w:p>
    <w:p w14:paraId="54456882" w14:textId="1D2D1A55" w:rsidR="00705C01" w:rsidRDefault="00705C01" w:rsidP="00705C01">
      <w:pPr>
        <w:pStyle w:val="ListParagraph"/>
        <w:numPr>
          <w:ilvl w:val="0"/>
          <w:numId w:val="2"/>
        </w:numPr>
        <w:tabs>
          <w:tab w:val="left" w:pos="5400"/>
        </w:tabs>
        <w:rPr>
          <w:rFonts w:eastAsiaTheme="majorEastAsia" w:cstheme="majorBidi"/>
          <w:b/>
          <w:color w:val="000000" w:themeColor="text1"/>
          <w:szCs w:val="26"/>
        </w:rPr>
      </w:pPr>
      <w:r w:rsidRPr="00705C01">
        <w:rPr>
          <w:rFonts w:eastAsiaTheme="majorEastAsia" w:cstheme="majorBidi"/>
          <w:b/>
          <w:color w:val="000000" w:themeColor="text1"/>
          <w:szCs w:val="26"/>
        </w:rPr>
        <w:t>The number of transgender hate crimes reported per year from 2014 to 2024 inclusive</w:t>
      </w:r>
    </w:p>
    <w:p w14:paraId="2C9EBED0" w14:textId="50C8547F" w:rsidR="00A36CE4" w:rsidRPr="00A36CE4" w:rsidRDefault="00F54FB1" w:rsidP="00A36CE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For the period </w:t>
      </w:r>
      <w:r w:rsidR="00A36CE4" w:rsidRPr="00A36CE4">
        <w:rPr>
          <w:rFonts w:eastAsiaTheme="majorEastAsia" w:cstheme="majorBidi"/>
          <w:bCs/>
          <w:color w:val="000000" w:themeColor="text1"/>
          <w:szCs w:val="26"/>
        </w:rPr>
        <w:t xml:space="preserve">1 January 2014 until 31st March 2024 please refer to table 1. </w:t>
      </w:r>
    </w:p>
    <w:p w14:paraId="610AFF09" w14:textId="72B12F1A" w:rsidR="00A36CE4" w:rsidRPr="00A36CE4" w:rsidRDefault="00A36CE4" w:rsidP="00A36CE4">
      <w:pPr>
        <w:tabs>
          <w:tab w:val="left" w:pos="5400"/>
        </w:tabs>
        <w:rPr>
          <w:rFonts w:eastAsiaTheme="majorEastAsia" w:cstheme="majorBidi"/>
          <w:bCs/>
          <w:color w:val="000000" w:themeColor="text1"/>
          <w:szCs w:val="26"/>
        </w:rPr>
      </w:pPr>
      <w:r w:rsidRPr="00A36CE4">
        <w:rPr>
          <w:rFonts w:eastAsiaTheme="majorEastAsia" w:cstheme="majorBidi"/>
          <w:bCs/>
          <w:color w:val="000000" w:themeColor="text1"/>
          <w:szCs w:val="26"/>
        </w:rPr>
        <w:t xml:space="preserve">The Hate Crime and Public Order (Scotland Act 2021) commenced on 1st April 2024 and </w:t>
      </w:r>
      <w:r w:rsidR="00F54FB1">
        <w:rPr>
          <w:rFonts w:eastAsiaTheme="majorEastAsia" w:cstheme="majorBidi"/>
          <w:bCs/>
          <w:color w:val="000000" w:themeColor="text1"/>
          <w:szCs w:val="26"/>
        </w:rPr>
        <w:t>related</w:t>
      </w:r>
      <w:r w:rsidRPr="00A36CE4">
        <w:rPr>
          <w:rFonts w:eastAsiaTheme="majorEastAsia" w:cstheme="majorBidi"/>
          <w:bCs/>
          <w:color w:val="000000" w:themeColor="text1"/>
          <w:szCs w:val="26"/>
        </w:rPr>
        <w:t xml:space="preserve"> crimes are now recorded on the National Crime Unifi Database. Data from 1st April 2024 is provided in Table 2. </w:t>
      </w:r>
    </w:p>
    <w:p w14:paraId="7DE6F56D" w14:textId="77777777" w:rsidR="00A36CE4" w:rsidRPr="00A36CE4" w:rsidRDefault="00A36CE4" w:rsidP="00A36CE4">
      <w:pPr>
        <w:tabs>
          <w:tab w:val="left" w:pos="5400"/>
        </w:tabs>
        <w:rPr>
          <w:rFonts w:eastAsiaTheme="majorEastAsia" w:cstheme="majorBidi"/>
          <w:bCs/>
          <w:color w:val="000000" w:themeColor="text1"/>
          <w:szCs w:val="26"/>
        </w:rPr>
      </w:pPr>
      <w:r w:rsidRPr="00A36CE4">
        <w:rPr>
          <w:rFonts w:eastAsiaTheme="majorEastAsia" w:cstheme="majorBidi"/>
          <w:bCs/>
          <w:color w:val="000000" w:themeColor="text1"/>
          <w:szCs w:val="26"/>
        </w:rPr>
        <w:t>Please note, due to the different sources of data being used, any comparison of the two datasets should be carried out with caution.</w:t>
      </w:r>
    </w:p>
    <w:p w14:paraId="15EB5146" w14:textId="3EE3D6A3" w:rsidR="00705C01" w:rsidRPr="00705C01" w:rsidRDefault="00A36CE4" w:rsidP="00A36CE4">
      <w:pPr>
        <w:tabs>
          <w:tab w:val="left" w:pos="5400"/>
        </w:tabs>
        <w:rPr>
          <w:rFonts w:eastAsiaTheme="majorEastAsia" w:cstheme="majorBidi"/>
          <w:bCs/>
          <w:color w:val="000000" w:themeColor="text1"/>
          <w:szCs w:val="26"/>
        </w:rPr>
      </w:pPr>
      <w:r w:rsidRPr="00A36CE4">
        <w:rPr>
          <w:rFonts w:eastAsiaTheme="majorEastAsia" w:cstheme="majorBidi"/>
          <w:bCs/>
          <w:color w:val="000000" w:themeColor="text1"/>
          <w:szCs w:val="26"/>
        </w:rPr>
        <w:t>Please also note the caveats below the tables.</w:t>
      </w:r>
    </w:p>
    <w:p w14:paraId="593F58EE" w14:textId="3C87FB8B" w:rsidR="00705C01" w:rsidRPr="00705C01" w:rsidRDefault="00705C01" w:rsidP="00705C01">
      <w:pPr>
        <w:tabs>
          <w:tab w:val="left" w:pos="5400"/>
        </w:tabs>
        <w:rPr>
          <w:rFonts w:eastAsiaTheme="majorEastAsia" w:cstheme="majorBidi"/>
          <w:bCs/>
          <w:i/>
          <w:iCs/>
          <w:color w:val="000000" w:themeColor="text1"/>
          <w:szCs w:val="26"/>
        </w:rPr>
      </w:pPr>
      <w:r w:rsidRPr="00705C01">
        <w:rPr>
          <w:rFonts w:eastAsiaTheme="majorEastAsia" w:cstheme="majorBidi"/>
          <w:bCs/>
          <w:i/>
          <w:iCs/>
          <w:color w:val="000000" w:themeColor="text1"/>
          <w:szCs w:val="26"/>
        </w:rPr>
        <w:t xml:space="preserve">Table 1: Recorded Hate Crimes with Transgender Aggravator – </w:t>
      </w:r>
      <w:r w:rsidR="00DD4F88">
        <w:rPr>
          <w:rFonts w:eastAsiaTheme="majorEastAsia" w:cstheme="majorBidi"/>
          <w:bCs/>
          <w:i/>
          <w:iCs/>
          <w:color w:val="000000" w:themeColor="text1"/>
          <w:szCs w:val="26"/>
        </w:rPr>
        <w:t xml:space="preserve">01 January </w:t>
      </w:r>
      <w:r w:rsidRPr="00705C01">
        <w:rPr>
          <w:rFonts w:eastAsiaTheme="majorEastAsia" w:cstheme="majorBidi"/>
          <w:bCs/>
          <w:i/>
          <w:iCs/>
          <w:color w:val="000000" w:themeColor="text1"/>
          <w:szCs w:val="26"/>
        </w:rPr>
        <w:t>2014</w:t>
      </w:r>
      <w:r w:rsidR="00A36CE4">
        <w:rPr>
          <w:rFonts w:eastAsiaTheme="majorEastAsia" w:cstheme="majorBidi"/>
          <w:bCs/>
          <w:i/>
          <w:iCs/>
          <w:color w:val="000000" w:themeColor="text1"/>
          <w:szCs w:val="26"/>
        </w:rPr>
        <w:t xml:space="preserve"> </w:t>
      </w:r>
      <w:r w:rsidRPr="00705C01">
        <w:rPr>
          <w:rFonts w:eastAsiaTheme="majorEastAsia" w:cstheme="majorBidi"/>
          <w:bCs/>
          <w:i/>
          <w:iCs/>
          <w:color w:val="000000" w:themeColor="text1"/>
          <w:szCs w:val="26"/>
        </w:rPr>
        <w:t>-</w:t>
      </w:r>
      <w:r w:rsidR="00DD4F88">
        <w:rPr>
          <w:rFonts w:eastAsiaTheme="majorEastAsia" w:cstheme="majorBidi"/>
          <w:bCs/>
          <w:i/>
          <w:iCs/>
          <w:color w:val="000000" w:themeColor="text1"/>
          <w:szCs w:val="26"/>
        </w:rPr>
        <w:t xml:space="preserve"> 31 March </w:t>
      </w:r>
      <w:r w:rsidRPr="00705C01">
        <w:rPr>
          <w:rFonts w:eastAsiaTheme="majorEastAsia" w:cstheme="majorBidi"/>
          <w:bCs/>
          <w:i/>
          <w:iCs/>
          <w:color w:val="000000" w:themeColor="text1"/>
          <w:szCs w:val="26"/>
        </w:rPr>
        <w:t>2024 (Calendar Years)</w:t>
      </w:r>
    </w:p>
    <w:tbl>
      <w:tblPr>
        <w:tblStyle w:val="TableGrid"/>
        <w:tblW w:w="10107" w:type="dxa"/>
        <w:tblInd w:w="-147" w:type="dxa"/>
        <w:tblLook w:val="04A0" w:firstRow="1" w:lastRow="0" w:firstColumn="1" w:lastColumn="0" w:noHBand="0" w:noVBand="1"/>
        <w:tblCaption w:val="Table 1: Recorded Hate Crimes with Transgender Aggravator – 01 January 2014- 31 March 2024 (Calendar Years)"/>
        <w:tblDescription w:val="Table 1: Recorded Hate Crimes with Transgender Aggravator – 01 January 2014- 31 March 2024 (Calendar Years)"/>
      </w:tblPr>
      <w:tblGrid>
        <w:gridCol w:w="1857"/>
        <w:gridCol w:w="750"/>
        <w:gridCol w:w="750"/>
        <w:gridCol w:w="750"/>
        <w:gridCol w:w="750"/>
        <w:gridCol w:w="750"/>
        <w:gridCol w:w="750"/>
        <w:gridCol w:w="750"/>
        <w:gridCol w:w="750"/>
        <w:gridCol w:w="750"/>
        <w:gridCol w:w="750"/>
        <w:gridCol w:w="750"/>
      </w:tblGrid>
      <w:tr w:rsidR="00705C01" w:rsidRPr="00557306" w14:paraId="42E30959" w14:textId="65F5D8EF" w:rsidTr="00705C01">
        <w:trPr>
          <w:tblHeader/>
        </w:trPr>
        <w:tc>
          <w:tcPr>
            <w:tcW w:w="1857" w:type="dxa"/>
            <w:shd w:val="clear" w:color="auto" w:fill="D9D9D9" w:themeFill="background1" w:themeFillShade="D9"/>
          </w:tcPr>
          <w:p w14:paraId="0905CCE5" w14:textId="647DB216" w:rsidR="00705C01" w:rsidRPr="00557306" w:rsidRDefault="00705C01" w:rsidP="00F92BD4">
            <w:pPr>
              <w:spacing w:line="240" w:lineRule="auto"/>
              <w:rPr>
                <w:b/>
              </w:rPr>
            </w:pPr>
            <w:r>
              <w:rPr>
                <w:b/>
              </w:rPr>
              <w:t>Crime/Offence</w:t>
            </w:r>
          </w:p>
        </w:tc>
        <w:tc>
          <w:tcPr>
            <w:tcW w:w="750" w:type="dxa"/>
            <w:shd w:val="clear" w:color="auto" w:fill="D9D9D9" w:themeFill="background1" w:themeFillShade="D9"/>
          </w:tcPr>
          <w:p w14:paraId="3E923460" w14:textId="701998DB" w:rsidR="00705C01" w:rsidRPr="00557306" w:rsidRDefault="00705C01" w:rsidP="00F92BD4">
            <w:pPr>
              <w:spacing w:line="240" w:lineRule="auto"/>
              <w:rPr>
                <w:b/>
              </w:rPr>
            </w:pPr>
            <w:r>
              <w:rPr>
                <w:b/>
              </w:rPr>
              <w:t>2014</w:t>
            </w:r>
          </w:p>
        </w:tc>
        <w:tc>
          <w:tcPr>
            <w:tcW w:w="750" w:type="dxa"/>
            <w:shd w:val="clear" w:color="auto" w:fill="D9D9D9" w:themeFill="background1" w:themeFillShade="D9"/>
          </w:tcPr>
          <w:p w14:paraId="09F00FC9" w14:textId="058A7C4B" w:rsidR="00705C01" w:rsidRPr="00557306" w:rsidRDefault="00705C01" w:rsidP="00F92BD4">
            <w:pPr>
              <w:spacing w:line="240" w:lineRule="auto"/>
              <w:rPr>
                <w:b/>
              </w:rPr>
            </w:pPr>
            <w:r>
              <w:rPr>
                <w:b/>
              </w:rPr>
              <w:t>2015</w:t>
            </w:r>
          </w:p>
        </w:tc>
        <w:tc>
          <w:tcPr>
            <w:tcW w:w="750" w:type="dxa"/>
            <w:shd w:val="clear" w:color="auto" w:fill="D9D9D9" w:themeFill="background1" w:themeFillShade="D9"/>
          </w:tcPr>
          <w:p w14:paraId="599A3B61" w14:textId="28387DAC" w:rsidR="00705C01" w:rsidRPr="00557306" w:rsidRDefault="00705C01" w:rsidP="00F92BD4">
            <w:pPr>
              <w:spacing w:line="240" w:lineRule="auto"/>
              <w:rPr>
                <w:b/>
              </w:rPr>
            </w:pPr>
            <w:r>
              <w:rPr>
                <w:b/>
              </w:rPr>
              <w:t>2016</w:t>
            </w:r>
          </w:p>
        </w:tc>
        <w:tc>
          <w:tcPr>
            <w:tcW w:w="750" w:type="dxa"/>
            <w:shd w:val="clear" w:color="auto" w:fill="D9D9D9" w:themeFill="background1" w:themeFillShade="D9"/>
          </w:tcPr>
          <w:p w14:paraId="0CE4DC45" w14:textId="50F06CE0" w:rsidR="00705C01" w:rsidRPr="00557306" w:rsidRDefault="00705C01" w:rsidP="00F92BD4">
            <w:pPr>
              <w:spacing w:line="240" w:lineRule="auto"/>
              <w:rPr>
                <w:b/>
              </w:rPr>
            </w:pPr>
            <w:r>
              <w:rPr>
                <w:b/>
              </w:rPr>
              <w:t>2017</w:t>
            </w:r>
          </w:p>
        </w:tc>
        <w:tc>
          <w:tcPr>
            <w:tcW w:w="750" w:type="dxa"/>
            <w:shd w:val="clear" w:color="auto" w:fill="D9D9D9" w:themeFill="background1" w:themeFillShade="D9"/>
          </w:tcPr>
          <w:p w14:paraId="132C7A5B" w14:textId="04B9610B" w:rsidR="00705C01" w:rsidRPr="00557306" w:rsidRDefault="00705C01" w:rsidP="00F92BD4">
            <w:pPr>
              <w:spacing w:line="240" w:lineRule="auto"/>
              <w:rPr>
                <w:b/>
              </w:rPr>
            </w:pPr>
            <w:r>
              <w:rPr>
                <w:b/>
              </w:rPr>
              <w:t>2018</w:t>
            </w:r>
          </w:p>
        </w:tc>
        <w:tc>
          <w:tcPr>
            <w:tcW w:w="750" w:type="dxa"/>
            <w:shd w:val="clear" w:color="auto" w:fill="D9D9D9" w:themeFill="background1" w:themeFillShade="D9"/>
          </w:tcPr>
          <w:p w14:paraId="2C5EBDE4" w14:textId="69C29941" w:rsidR="00705C01" w:rsidRPr="00557306" w:rsidRDefault="00705C01" w:rsidP="00F92BD4">
            <w:pPr>
              <w:spacing w:line="240" w:lineRule="auto"/>
              <w:rPr>
                <w:b/>
              </w:rPr>
            </w:pPr>
            <w:r>
              <w:rPr>
                <w:b/>
              </w:rPr>
              <w:t>2019</w:t>
            </w:r>
          </w:p>
        </w:tc>
        <w:tc>
          <w:tcPr>
            <w:tcW w:w="750" w:type="dxa"/>
            <w:shd w:val="clear" w:color="auto" w:fill="D9D9D9" w:themeFill="background1" w:themeFillShade="D9"/>
          </w:tcPr>
          <w:p w14:paraId="23903E3D" w14:textId="7699F781" w:rsidR="00705C01" w:rsidRPr="00557306" w:rsidRDefault="00705C01" w:rsidP="00F92BD4">
            <w:pPr>
              <w:spacing w:line="240" w:lineRule="auto"/>
              <w:rPr>
                <w:b/>
              </w:rPr>
            </w:pPr>
            <w:r>
              <w:rPr>
                <w:b/>
              </w:rPr>
              <w:t>2022</w:t>
            </w:r>
          </w:p>
        </w:tc>
        <w:tc>
          <w:tcPr>
            <w:tcW w:w="750" w:type="dxa"/>
            <w:shd w:val="clear" w:color="auto" w:fill="D9D9D9" w:themeFill="background1" w:themeFillShade="D9"/>
          </w:tcPr>
          <w:p w14:paraId="6FB075D6" w14:textId="4FE5616F" w:rsidR="00705C01" w:rsidRPr="00557306" w:rsidRDefault="00705C01" w:rsidP="00F92BD4">
            <w:pPr>
              <w:spacing w:line="240" w:lineRule="auto"/>
              <w:rPr>
                <w:b/>
              </w:rPr>
            </w:pPr>
            <w:r>
              <w:rPr>
                <w:b/>
              </w:rPr>
              <w:t>2021</w:t>
            </w:r>
          </w:p>
        </w:tc>
        <w:tc>
          <w:tcPr>
            <w:tcW w:w="750" w:type="dxa"/>
            <w:shd w:val="clear" w:color="auto" w:fill="D9D9D9" w:themeFill="background1" w:themeFillShade="D9"/>
          </w:tcPr>
          <w:p w14:paraId="5FA57E1D" w14:textId="1C15ECB9" w:rsidR="00705C01" w:rsidRPr="00557306" w:rsidRDefault="00705C01" w:rsidP="00F92BD4">
            <w:pPr>
              <w:spacing w:line="240" w:lineRule="auto"/>
              <w:rPr>
                <w:b/>
              </w:rPr>
            </w:pPr>
            <w:r>
              <w:rPr>
                <w:b/>
              </w:rPr>
              <w:t>2022</w:t>
            </w:r>
          </w:p>
        </w:tc>
        <w:tc>
          <w:tcPr>
            <w:tcW w:w="750" w:type="dxa"/>
            <w:shd w:val="clear" w:color="auto" w:fill="D9D9D9" w:themeFill="background1" w:themeFillShade="D9"/>
          </w:tcPr>
          <w:p w14:paraId="6AE4039C" w14:textId="2C443966" w:rsidR="00705C01" w:rsidRPr="00557306" w:rsidRDefault="00705C01" w:rsidP="00F92BD4">
            <w:pPr>
              <w:spacing w:line="240" w:lineRule="auto"/>
              <w:rPr>
                <w:b/>
              </w:rPr>
            </w:pPr>
            <w:r>
              <w:rPr>
                <w:b/>
              </w:rPr>
              <w:t>2023</w:t>
            </w:r>
          </w:p>
        </w:tc>
        <w:tc>
          <w:tcPr>
            <w:tcW w:w="750" w:type="dxa"/>
            <w:shd w:val="clear" w:color="auto" w:fill="D9D9D9" w:themeFill="background1" w:themeFillShade="D9"/>
          </w:tcPr>
          <w:p w14:paraId="486B7926" w14:textId="6900B1B0" w:rsidR="00705C01" w:rsidRPr="00557306" w:rsidRDefault="00705C01" w:rsidP="00F92BD4">
            <w:pPr>
              <w:spacing w:line="240" w:lineRule="auto"/>
              <w:rPr>
                <w:b/>
              </w:rPr>
            </w:pPr>
            <w:r>
              <w:rPr>
                <w:b/>
              </w:rPr>
              <w:t>2024</w:t>
            </w:r>
          </w:p>
        </w:tc>
      </w:tr>
      <w:tr w:rsidR="00705C01" w14:paraId="23DD7297" w14:textId="5E137BD9" w:rsidTr="00705C01">
        <w:tc>
          <w:tcPr>
            <w:tcW w:w="1857" w:type="dxa"/>
          </w:tcPr>
          <w:p w14:paraId="1AEA83B6" w14:textId="3FB74771" w:rsidR="00705C01" w:rsidRDefault="00705C01" w:rsidP="00F92BD4">
            <w:pPr>
              <w:tabs>
                <w:tab w:val="left" w:pos="5400"/>
              </w:tabs>
              <w:spacing w:line="240" w:lineRule="auto"/>
            </w:pPr>
            <w:r>
              <w:t>Hate Crime</w:t>
            </w:r>
          </w:p>
        </w:tc>
        <w:tc>
          <w:tcPr>
            <w:tcW w:w="750" w:type="dxa"/>
          </w:tcPr>
          <w:p w14:paraId="31CB9191" w14:textId="4D5146F0" w:rsidR="00705C01" w:rsidRDefault="00705C01" w:rsidP="00F92BD4">
            <w:pPr>
              <w:tabs>
                <w:tab w:val="left" w:pos="5400"/>
              </w:tabs>
              <w:spacing w:line="240" w:lineRule="auto"/>
            </w:pPr>
            <w:r>
              <w:t>22</w:t>
            </w:r>
          </w:p>
        </w:tc>
        <w:tc>
          <w:tcPr>
            <w:tcW w:w="750" w:type="dxa"/>
          </w:tcPr>
          <w:p w14:paraId="699C4735" w14:textId="29C9872A" w:rsidR="00705C01" w:rsidRDefault="00705C01" w:rsidP="00F92BD4">
            <w:pPr>
              <w:tabs>
                <w:tab w:val="left" w:pos="5400"/>
              </w:tabs>
              <w:spacing w:line="240" w:lineRule="auto"/>
            </w:pPr>
            <w:r>
              <w:t>40</w:t>
            </w:r>
          </w:p>
        </w:tc>
        <w:tc>
          <w:tcPr>
            <w:tcW w:w="750" w:type="dxa"/>
          </w:tcPr>
          <w:p w14:paraId="2B64ACCC" w14:textId="1901856A" w:rsidR="00705C01" w:rsidRDefault="00705C01" w:rsidP="00F92BD4">
            <w:pPr>
              <w:tabs>
                <w:tab w:val="left" w:pos="5400"/>
              </w:tabs>
              <w:spacing w:line="240" w:lineRule="auto"/>
            </w:pPr>
            <w:r>
              <w:t>49</w:t>
            </w:r>
          </w:p>
        </w:tc>
        <w:tc>
          <w:tcPr>
            <w:tcW w:w="750" w:type="dxa"/>
          </w:tcPr>
          <w:p w14:paraId="5045E134" w14:textId="2E406CCA" w:rsidR="00705C01" w:rsidRDefault="00705C01" w:rsidP="00F92BD4">
            <w:pPr>
              <w:tabs>
                <w:tab w:val="left" w:pos="5400"/>
              </w:tabs>
              <w:spacing w:line="240" w:lineRule="auto"/>
            </w:pPr>
            <w:r>
              <w:t>64</w:t>
            </w:r>
          </w:p>
        </w:tc>
        <w:tc>
          <w:tcPr>
            <w:tcW w:w="750" w:type="dxa"/>
          </w:tcPr>
          <w:p w14:paraId="3E2EE848" w14:textId="544E6F84" w:rsidR="00705C01" w:rsidRDefault="00705C01" w:rsidP="00F92BD4">
            <w:pPr>
              <w:tabs>
                <w:tab w:val="left" w:pos="5400"/>
              </w:tabs>
              <w:spacing w:line="240" w:lineRule="auto"/>
            </w:pPr>
            <w:r>
              <w:t>64</w:t>
            </w:r>
          </w:p>
        </w:tc>
        <w:tc>
          <w:tcPr>
            <w:tcW w:w="750" w:type="dxa"/>
          </w:tcPr>
          <w:p w14:paraId="2891D811" w14:textId="151E9F36" w:rsidR="00705C01" w:rsidRDefault="00705C01" w:rsidP="00F92BD4">
            <w:pPr>
              <w:tabs>
                <w:tab w:val="left" w:pos="5400"/>
              </w:tabs>
              <w:spacing w:line="240" w:lineRule="auto"/>
            </w:pPr>
            <w:r>
              <w:t>127</w:t>
            </w:r>
          </w:p>
        </w:tc>
        <w:tc>
          <w:tcPr>
            <w:tcW w:w="750" w:type="dxa"/>
          </w:tcPr>
          <w:p w14:paraId="2C8313E4" w14:textId="4D17285B" w:rsidR="00705C01" w:rsidRDefault="00705C01" w:rsidP="00F92BD4">
            <w:pPr>
              <w:tabs>
                <w:tab w:val="left" w:pos="5400"/>
              </w:tabs>
              <w:spacing w:line="240" w:lineRule="auto"/>
            </w:pPr>
            <w:r>
              <w:t>114</w:t>
            </w:r>
          </w:p>
        </w:tc>
        <w:tc>
          <w:tcPr>
            <w:tcW w:w="750" w:type="dxa"/>
          </w:tcPr>
          <w:p w14:paraId="3B9EE66C" w14:textId="370C5BE6" w:rsidR="00705C01" w:rsidRDefault="00705C01" w:rsidP="00F92BD4">
            <w:pPr>
              <w:tabs>
                <w:tab w:val="left" w:pos="5400"/>
              </w:tabs>
              <w:spacing w:line="240" w:lineRule="auto"/>
            </w:pPr>
            <w:r>
              <w:t>16</w:t>
            </w:r>
            <w:r w:rsidR="009A4DAB">
              <w:t>5</w:t>
            </w:r>
          </w:p>
        </w:tc>
        <w:tc>
          <w:tcPr>
            <w:tcW w:w="750" w:type="dxa"/>
          </w:tcPr>
          <w:p w14:paraId="59FA99D8" w14:textId="1383777E" w:rsidR="00705C01" w:rsidRDefault="00705C01" w:rsidP="00F92BD4">
            <w:pPr>
              <w:tabs>
                <w:tab w:val="left" w:pos="5400"/>
              </w:tabs>
              <w:spacing w:line="240" w:lineRule="auto"/>
            </w:pPr>
            <w:r>
              <w:t>164</w:t>
            </w:r>
          </w:p>
        </w:tc>
        <w:tc>
          <w:tcPr>
            <w:tcW w:w="750" w:type="dxa"/>
          </w:tcPr>
          <w:p w14:paraId="7DECE0C9" w14:textId="174FCCC2" w:rsidR="00705C01" w:rsidRDefault="00705C01" w:rsidP="00F92BD4">
            <w:pPr>
              <w:tabs>
                <w:tab w:val="left" w:pos="5400"/>
              </w:tabs>
              <w:spacing w:line="240" w:lineRule="auto"/>
            </w:pPr>
            <w:r>
              <w:t>180</w:t>
            </w:r>
          </w:p>
        </w:tc>
        <w:tc>
          <w:tcPr>
            <w:tcW w:w="750" w:type="dxa"/>
          </w:tcPr>
          <w:p w14:paraId="03787FC0" w14:textId="19D068F1" w:rsidR="00705C01" w:rsidRDefault="00705C01" w:rsidP="00F92BD4">
            <w:pPr>
              <w:tabs>
                <w:tab w:val="left" w:pos="5400"/>
              </w:tabs>
              <w:spacing w:line="240" w:lineRule="auto"/>
            </w:pPr>
            <w:r>
              <w:t>30</w:t>
            </w:r>
          </w:p>
        </w:tc>
      </w:tr>
    </w:tbl>
    <w:p w14:paraId="1B350DF3" w14:textId="113377E1" w:rsidR="00705C01" w:rsidRPr="00584EBA" w:rsidRDefault="00705C01" w:rsidP="00705C01">
      <w:pPr>
        <w:tabs>
          <w:tab w:val="left" w:pos="5400"/>
        </w:tabs>
        <w:rPr>
          <w:rFonts w:eastAsiaTheme="majorEastAsia" w:cstheme="majorBidi"/>
          <w:bCs/>
          <w:color w:val="000000" w:themeColor="text1"/>
          <w:szCs w:val="26"/>
        </w:rPr>
      </w:pPr>
      <w:r w:rsidRPr="00584EBA">
        <w:rPr>
          <w:rFonts w:eastAsiaTheme="majorEastAsia" w:cstheme="majorBidi"/>
          <w:bCs/>
          <w:color w:val="000000" w:themeColor="text1"/>
          <w:szCs w:val="26"/>
        </w:rPr>
        <w:t xml:space="preserve">All statistics are provisional and should be treated as management information. </w:t>
      </w:r>
      <w:r w:rsidR="00F54FB1">
        <w:rPr>
          <w:rFonts w:eastAsiaTheme="majorEastAsia" w:cstheme="majorBidi"/>
          <w:bCs/>
          <w:color w:val="000000" w:themeColor="text1"/>
          <w:szCs w:val="26"/>
        </w:rPr>
        <w:br/>
        <w:t>Data was e</w:t>
      </w:r>
      <w:r w:rsidRPr="00584EBA">
        <w:rPr>
          <w:rFonts w:eastAsiaTheme="majorEastAsia" w:cstheme="majorBidi"/>
          <w:bCs/>
          <w:color w:val="000000" w:themeColor="text1"/>
          <w:szCs w:val="26"/>
        </w:rPr>
        <w:t>xtracted from Police Scotland systems and are correct as of 20th May 2025.</w:t>
      </w:r>
      <w:r w:rsidR="00F54FB1">
        <w:rPr>
          <w:rFonts w:eastAsiaTheme="majorEastAsia" w:cstheme="majorBidi"/>
          <w:bCs/>
          <w:color w:val="000000" w:themeColor="text1"/>
          <w:szCs w:val="26"/>
        </w:rPr>
        <w:br/>
      </w:r>
      <w:r w:rsidRPr="00584EBA">
        <w:rPr>
          <w:rFonts w:eastAsiaTheme="majorEastAsia" w:cstheme="majorBidi"/>
          <w:bCs/>
          <w:color w:val="000000" w:themeColor="text1"/>
          <w:szCs w:val="26"/>
        </w:rPr>
        <w:t>The data prior to the 1st April 2024 has been extracted from the Interim Vulnerable Persons Database (iVPD) using the ‘incident created’ date where a Transgender aggravator is present.</w:t>
      </w:r>
    </w:p>
    <w:p w14:paraId="181BECFC" w14:textId="77777777" w:rsidR="00131985" w:rsidRDefault="00131985" w:rsidP="00705C01">
      <w:pPr>
        <w:tabs>
          <w:tab w:val="left" w:pos="5400"/>
        </w:tabs>
        <w:rPr>
          <w:rFonts w:eastAsiaTheme="majorEastAsia" w:cstheme="majorBidi"/>
          <w:bCs/>
          <w:i/>
          <w:iCs/>
          <w:color w:val="000000" w:themeColor="text1"/>
          <w:szCs w:val="26"/>
        </w:rPr>
      </w:pPr>
    </w:p>
    <w:p w14:paraId="4F68745B" w14:textId="44D77122" w:rsidR="008A2277" w:rsidRPr="008A2277" w:rsidRDefault="008A2277" w:rsidP="00705C01">
      <w:pPr>
        <w:tabs>
          <w:tab w:val="left" w:pos="5400"/>
        </w:tabs>
        <w:rPr>
          <w:rFonts w:eastAsiaTheme="majorEastAsia" w:cstheme="majorBidi"/>
          <w:bCs/>
          <w:i/>
          <w:iCs/>
          <w:color w:val="000000" w:themeColor="text1"/>
          <w:szCs w:val="26"/>
        </w:rPr>
      </w:pPr>
      <w:r w:rsidRPr="008A2277">
        <w:rPr>
          <w:rFonts w:eastAsiaTheme="majorEastAsia" w:cstheme="majorBidi"/>
          <w:bCs/>
          <w:i/>
          <w:iCs/>
          <w:color w:val="000000" w:themeColor="text1"/>
          <w:szCs w:val="26"/>
        </w:rPr>
        <w:lastRenderedPageBreak/>
        <w:t>Table 2: Recorded Hate Crimes with Transgender Aggravator – 01 April 2024 – 31 December 2024</w:t>
      </w:r>
      <w:r>
        <w:rPr>
          <w:rFonts w:eastAsiaTheme="majorEastAsia" w:cstheme="majorBidi"/>
          <w:bCs/>
          <w:i/>
          <w:iCs/>
          <w:color w:val="000000" w:themeColor="text1"/>
          <w:szCs w:val="26"/>
        </w:rPr>
        <w:t xml:space="preserve"> (Inclusive)</w:t>
      </w:r>
    </w:p>
    <w:tbl>
      <w:tblPr>
        <w:tblStyle w:val="TableGrid"/>
        <w:tblW w:w="2941" w:type="dxa"/>
        <w:tblLook w:val="04A0" w:firstRow="1" w:lastRow="0" w:firstColumn="1" w:lastColumn="0" w:noHBand="0" w:noVBand="1"/>
        <w:tblCaption w:val="Table 2: Recorded Hate Crimes with Transgender Aggravator – 01 April 2024 – 31 December 2024 (Inclusive)"/>
        <w:tblDescription w:val="Table 2: Recorded Hate Crimes with Transgender Aggravator – 01 April 2024 – 31 December 2024 (Inclusive)"/>
      </w:tblPr>
      <w:tblGrid>
        <w:gridCol w:w="1990"/>
        <w:gridCol w:w="951"/>
      </w:tblGrid>
      <w:tr w:rsidR="008A2277" w:rsidRPr="00557306" w14:paraId="7CAE84EA" w14:textId="77777777" w:rsidTr="00975E8D">
        <w:trPr>
          <w:tblHeader/>
        </w:trPr>
        <w:tc>
          <w:tcPr>
            <w:tcW w:w="1990" w:type="dxa"/>
            <w:shd w:val="clear" w:color="auto" w:fill="D9D9D9" w:themeFill="background1" w:themeFillShade="D9"/>
          </w:tcPr>
          <w:p w14:paraId="1715D516" w14:textId="312B375B" w:rsidR="008A2277" w:rsidRPr="00557306" w:rsidRDefault="008A2277" w:rsidP="00F92BD4">
            <w:pPr>
              <w:spacing w:line="240" w:lineRule="auto"/>
              <w:rPr>
                <w:b/>
              </w:rPr>
            </w:pPr>
            <w:r>
              <w:rPr>
                <w:b/>
              </w:rPr>
              <w:t>Crime/Offence</w:t>
            </w:r>
          </w:p>
        </w:tc>
        <w:tc>
          <w:tcPr>
            <w:tcW w:w="951" w:type="dxa"/>
            <w:shd w:val="clear" w:color="auto" w:fill="D9D9D9" w:themeFill="background1" w:themeFillShade="D9"/>
          </w:tcPr>
          <w:p w14:paraId="3B9C77D9" w14:textId="2BBE68E9" w:rsidR="008A2277" w:rsidRPr="00557306" w:rsidRDefault="008A2277" w:rsidP="00F92BD4">
            <w:pPr>
              <w:spacing w:line="240" w:lineRule="auto"/>
              <w:rPr>
                <w:b/>
              </w:rPr>
            </w:pPr>
            <w:r>
              <w:rPr>
                <w:b/>
              </w:rPr>
              <w:t>2024</w:t>
            </w:r>
            <w:r w:rsidRPr="00557306">
              <w:rPr>
                <w:b/>
              </w:rPr>
              <w:t xml:space="preserve"> </w:t>
            </w:r>
          </w:p>
        </w:tc>
      </w:tr>
      <w:tr w:rsidR="008A2277" w14:paraId="54D8B3AA" w14:textId="77777777" w:rsidTr="00975E8D">
        <w:tc>
          <w:tcPr>
            <w:tcW w:w="1990" w:type="dxa"/>
          </w:tcPr>
          <w:p w14:paraId="4E2DF0FB" w14:textId="0358808B" w:rsidR="008A2277" w:rsidRDefault="008A2277" w:rsidP="00F92BD4">
            <w:pPr>
              <w:tabs>
                <w:tab w:val="left" w:pos="5400"/>
              </w:tabs>
              <w:spacing w:line="240" w:lineRule="auto"/>
            </w:pPr>
            <w:r>
              <w:t>Hate Crime</w:t>
            </w:r>
          </w:p>
        </w:tc>
        <w:tc>
          <w:tcPr>
            <w:tcW w:w="951" w:type="dxa"/>
          </w:tcPr>
          <w:p w14:paraId="53829D48" w14:textId="7A2DB8B2" w:rsidR="008A2277" w:rsidRDefault="008A2277" w:rsidP="00F92BD4">
            <w:pPr>
              <w:tabs>
                <w:tab w:val="left" w:pos="5400"/>
              </w:tabs>
              <w:spacing w:line="240" w:lineRule="auto"/>
            </w:pPr>
            <w:r>
              <w:t>144</w:t>
            </w:r>
          </w:p>
        </w:tc>
      </w:tr>
    </w:tbl>
    <w:p w14:paraId="7CE905B0" w14:textId="1FAA33BA" w:rsidR="008A2277" w:rsidRPr="00131985" w:rsidRDefault="008A2277" w:rsidP="008A2277">
      <w:pPr>
        <w:tabs>
          <w:tab w:val="left" w:pos="5400"/>
        </w:tabs>
        <w:rPr>
          <w:rFonts w:eastAsiaTheme="majorEastAsia" w:cstheme="majorBidi"/>
          <w:bCs/>
          <w:color w:val="000000" w:themeColor="text1"/>
          <w:szCs w:val="26"/>
        </w:rPr>
      </w:pPr>
      <w:r w:rsidRPr="00131985">
        <w:rPr>
          <w:rFonts w:eastAsiaTheme="majorEastAsia" w:cstheme="majorBidi"/>
          <w:bCs/>
          <w:color w:val="000000" w:themeColor="text1"/>
          <w:szCs w:val="26"/>
        </w:rPr>
        <w:t xml:space="preserve">All statistics are provisional and should be treated as management information. </w:t>
      </w:r>
      <w:r w:rsidR="00F54FB1">
        <w:rPr>
          <w:rFonts w:eastAsiaTheme="majorEastAsia" w:cstheme="majorBidi"/>
          <w:bCs/>
          <w:color w:val="000000" w:themeColor="text1"/>
          <w:szCs w:val="26"/>
        </w:rPr>
        <w:br/>
        <w:t xml:space="preserve">Data was </w:t>
      </w:r>
      <w:r w:rsidRPr="00131985">
        <w:rPr>
          <w:rFonts w:eastAsiaTheme="majorEastAsia" w:cstheme="majorBidi"/>
          <w:bCs/>
          <w:color w:val="000000" w:themeColor="text1"/>
          <w:szCs w:val="26"/>
        </w:rPr>
        <w:t>extracted from Police Scotland systems and are correct as of 20th May 2025</w:t>
      </w:r>
      <w:r w:rsidR="00F54FB1">
        <w:rPr>
          <w:rFonts w:eastAsiaTheme="majorEastAsia" w:cstheme="majorBidi"/>
          <w:bCs/>
          <w:color w:val="000000" w:themeColor="text1"/>
          <w:szCs w:val="26"/>
        </w:rPr>
        <w:br/>
      </w:r>
      <w:r w:rsidRPr="00131985">
        <w:rPr>
          <w:rFonts w:eastAsiaTheme="majorEastAsia" w:cstheme="majorBidi"/>
          <w:bCs/>
          <w:color w:val="000000" w:themeColor="text1"/>
          <w:szCs w:val="26"/>
        </w:rPr>
        <w:t>The data from the 1st April 2024 has been extracted from the National Crime Unifi database using the ‘date raised’.</w:t>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00F54FB1">
        <w:rPr>
          <w:rFonts w:eastAsiaTheme="majorEastAsia" w:cstheme="majorBidi"/>
          <w:bCs/>
          <w:color w:val="000000" w:themeColor="text1"/>
          <w:szCs w:val="26"/>
        </w:rPr>
        <w:br/>
      </w:r>
      <w:r w:rsidRPr="00131985">
        <w:rPr>
          <w:rFonts w:eastAsiaTheme="majorEastAsia" w:cstheme="majorBidi"/>
          <w:bCs/>
          <w:color w:val="000000" w:themeColor="text1"/>
          <w:szCs w:val="26"/>
        </w:rPr>
        <w:t>Please note, the data from National Unifi Crime has been extracted based on crimes/offences which include a Transgender hate aggravator.</w:t>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p>
    <w:p w14:paraId="79D94AEF" w14:textId="7E8AB2F3" w:rsidR="00705C01" w:rsidRPr="00705C01" w:rsidRDefault="00DC3918" w:rsidP="008A2277">
      <w:pPr>
        <w:tabs>
          <w:tab w:val="left" w:pos="5400"/>
        </w:tabs>
        <w:rPr>
          <w:rFonts w:eastAsiaTheme="majorEastAsia" w:cstheme="majorBidi"/>
          <w:bCs/>
          <w:color w:val="000000" w:themeColor="text1"/>
          <w:szCs w:val="26"/>
        </w:rPr>
      </w:pPr>
      <w:r w:rsidRPr="00DC3918">
        <w:rPr>
          <w:rFonts w:eastAsiaTheme="majorEastAsia" w:cstheme="majorBidi"/>
          <w:b/>
          <w:color w:val="000000" w:themeColor="text1"/>
          <w:szCs w:val="26"/>
        </w:rPr>
        <w:tab/>
      </w:r>
      <w:r w:rsidRPr="00DC3918">
        <w:rPr>
          <w:rFonts w:eastAsiaTheme="majorEastAsia" w:cstheme="majorBidi"/>
          <w:b/>
          <w:color w:val="000000" w:themeColor="text1"/>
          <w:szCs w:val="26"/>
        </w:rPr>
        <w:tab/>
      </w:r>
      <w:r w:rsidRPr="00DC3918">
        <w:rPr>
          <w:rFonts w:eastAsiaTheme="majorEastAsia" w:cstheme="majorBidi"/>
          <w:b/>
          <w:color w:val="000000" w:themeColor="text1"/>
          <w:szCs w:val="26"/>
        </w:rPr>
        <w:tab/>
      </w:r>
      <w:r w:rsidR="00705C01" w:rsidRPr="00705C01">
        <w:rPr>
          <w:rFonts w:eastAsiaTheme="majorEastAsia" w:cstheme="majorBidi"/>
          <w:b/>
          <w:color w:val="000000" w:themeColor="text1"/>
          <w:szCs w:val="26"/>
        </w:rPr>
        <w:tab/>
      </w:r>
      <w:r w:rsidR="00705C01" w:rsidRPr="00705C01">
        <w:rPr>
          <w:rFonts w:eastAsiaTheme="majorEastAsia" w:cstheme="majorBidi"/>
          <w:b/>
          <w:color w:val="000000" w:themeColor="text1"/>
          <w:szCs w:val="26"/>
        </w:rPr>
        <w:tab/>
      </w:r>
      <w:r w:rsidR="00705C01" w:rsidRPr="00705C01">
        <w:rPr>
          <w:rFonts w:eastAsiaTheme="majorEastAsia" w:cstheme="majorBidi"/>
          <w:b/>
          <w:color w:val="000000" w:themeColor="text1"/>
          <w:szCs w:val="26"/>
        </w:rPr>
        <w:tab/>
      </w:r>
      <w:r w:rsidR="00705C01" w:rsidRPr="00705C01">
        <w:rPr>
          <w:rFonts w:eastAsiaTheme="majorEastAsia" w:cstheme="majorBidi"/>
          <w:b/>
          <w:color w:val="000000" w:themeColor="text1"/>
          <w:szCs w:val="26"/>
        </w:rPr>
        <w:tab/>
      </w:r>
    </w:p>
    <w:p w14:paraId="56EB15E9" w14:textId="77777777" w:rsidR="001D14B3" w:rsidRDefault="00705C01" w:rsidP="001D14B3">
      <w:pPr>
        <w:pStyle w:val="ListParagraph"/>
        <w:numPr>
          <w:ilvl w:val="0"/>
          <w:numId w:val="2"/>
        </w:numPr>
        <w:tabs>
          <w:tab w:val="left" w:pos="5400"/>
        </w:tabs>
        <w:rPr>
          <w:rFonts w:eastAsiaTheme="majorEastAsia" w:cstheme="majorBidi"/>
          <w:b/>
          <w:color w:val="000000" w:themeColor="text1"/>
          <w:szCs w:val="26"/>
        </w:rPr>
      </w:pPr>
      <w:r w:rsidRPr="008A2277">
        <w:rPr>
          <w:rFonts w:eastAsiaTheme="majorEastAsia" w:cstheme="majorBidi"/>
          <w:b/>
          <w:color w:val="000000" w:themeColor="text1"/>
          <w:szCs w:val="26"/>
        </w:rPr>
        <w:t>The number of transgender hate crimes referred to the COPFS for prosecution, per year from 2014 to 2024 inclusive </w:t>
      </w:r>
    </w:p>
    <w:p w14:paraId="4F8DBEBF" w14:textId="4305F73F" w:rsidR="001D14B3" w:rsidRPr="001D14B3" w:rsidRDefault="001D14B3" w:rsidP="001D14B3">
      <w:pPr>
        <w:pStyle w:val="ListParagraph"/>
        <w:numPr>
          <w:ilvl w:val="0"/>
          <w:numId w:val="2"/>
        </w:numPr>
        <w:tabs>
          <w:tab w:val="left" w:pos="5400"/>
        </w:tabs>
        <w:rPr>
          <w:rFonts w:eastAsiaTheme="majorEastAsia" w:cstheme="majorBidi"/>
          <w:b/>
          <w:color w:val="000000" w:themeColor="text1"/>
          <w:szCs w:val="26"/>
        </w:rPr>
      </w:pPr>
      <w:r w:rsidRPr="001D14B3">
        <w:rPr>
          <w:rFonts w:eastAsiaTheme="majorEastAsia" w:cstheme="majorBidi"/>
          <w:b/>
          <w:color w:val="000000" w:themeColor="text1"/>
          <w:szCs w:val="26"/>
        </w:rPr>
        <w:t>The number of transgender hate crimes that resulted in no further action, reported per year from 2014 to 2024 inclusive</w:t>
      </w:r>
    </w:p>
    <w:p w14:paraId="5D33ED6F" w14:textId="77777777" w:rsidR="00975E8D" w:rsidRDefault="00975E8D" w:rsidP="00975E8D">
      <w:r>
        <w:t>Detected crimes are those</w:t>
      </w:r>
      <w:r w:rsidRPr="007D1918">
        <w:t xml:space="preserve"> where an accused has been identified and there exists a sufficiency of evidence under Scots Law to justify consideration of criminal proceedings.</w:t>
      </w:r>
    </w:p>
    <w:p w14:paraId="096C45E5" w14:textId="55922A4D" w:rsidR="00D928CD" w:rsidRPr="0033213A" w:rsidRDefault="00D928CD" w:rsidP="0033213A">
      <w:pPr>
        <w:tabs>
          <w:tab w:val="left" w:pos="5400"/>
        </w:tabs>
        <w:rPr>
          <w:rFonts w:eastAsiaTheme="majorEastAsia" w:cstheme="majorBidi"/>
          <w:bCs/>
          <w:color w:val="000000" w:themeColor="text1"/>
          <w:szCs w:val="26"/>
        </w:rPr>
      </w:pPr>
      <w:r>
        <w:t>As previously stated, due to the changes in recording</w:t>
      </w:r>
      <w:r w:rsidR="00F54FB1">
        <w:t>,</w:t>
      </w:r>
      <w:r>
        <w:t xml:space="preserve"> </w:t>
      </w:r>
      <w:r w:rsidR="009C2852">
        <w:t xml:space="preserve">Table 3 provides data from </w:t>
      </w:r>
      <w:r w:rsidR="009C2852" w:rsidRPr="009C2852">
        <w:rPr>
          <w:rFonts w:eastAsiaTheme="majorEastAsia" w:cstheme="majorBidi"/>
          <w:bCs/>
          <w:color w:val="000000" w:themeColor="text1"/>
          <w:szCs w:val="26"/>
        </w:rPr>
        <w:t>1 January 2014 - 31 March 2024</w:t>
      </w:r>
      <w:r w:rsidR="009C2852">
        <w:rPr>
          <w:rFonts w:eastAsiaTheme="majorEastAsia" w:cstheme="majorBidi"/>
          <w:bCs/>
          <w:i/>
          <w:iCs/>
          <w:color w:val="000000" w:themeColor="text1"/>
          <w:szCs w:val="26"/>
        </w:rPr>
        <w:t xml:space="preserve">. </w:t>
      </w:r>
      <w:r w:rsidR="009C2852">
        <w:rPr>
          <w:rFonts w:eastAsiaTheme="majorEastAsia" w:cstheme="majorBidi"/>
          <w:bCs/>
          <w:color w:val="000000" w:themeColor="text1"/>
          <w:szCs w:val="26"/>
        </w:rPr>
        <w:t>Table 4 provid</w:t>
      </w:r>
      <w:r w:rsidR="00F54FB1">
        <w:rPr>
          <w:rFonts w:eastAsiaTheme="majorEastAsia" w:cstheme="majorBidi"/>
          <w:bCs/>
          <w:color w:val="000000" w:themeColor="text1"/>
          <w:szCs w:val="26"/>
        </w:rPr>
        <w:t>es</w:t>
      </w:r>
      <w:r w:rsidR="009C2852">
        <w:rPr>
          <w:rFonts w:eastAsiaTheme="majorEastAsia" w:cstheme="majorBidi"/>
          <w:bCs/>
          <w:color w:val="000000" w:themeColor="text1"/>
          <w:szCs w:val="26"/>
        </w:rPr>
        <w:t xml:space="preserve"> data from 1 April 2024 – 31 December 2024.</w:t>
      </w:r>
    </w:p>
    <w:p w14:paraId="03E6B19A" w14:textId="3C5351A7" w:rsidR="00584EBA" w:rsidRDefault="00D928CD" w:rsidP="00584EBA">
      <w:pPr>
        <w:tabs>
          <w:tab w:val="left" w:pos="5400"/>
        </w:tabs>
        <w:rPr>
          <w:rFonts w:eastAsiaTheme="majorEastAsia" w:cstheme="majorBidi"/>
          <w:bCs/>
          <w:i/>
          <w:iCs/>
          <w:color w:val="000000" w:themeColor="text1"/>
          <w:szCs w:val="26"/>
        </w:rPr>
      </w:pPr>
      <w:r w:rsidRPr="00D928CD">
        <w:rPr>
          <w:rFonts w:eastAsiaTheme="majorEastAsia" w:cstheme="majorBidi"/>
          <w:bCs/>
          <w:i/>
          <w:iCs/>
          <w:color w:val="000000" w:themeColor="text1"/>
          <w:szCs w:val="26"/>
        </w:rPr>
        <w:t xml:space="preserve">Table 3: Detected Hate Crimes with Transgender Aggravator - </w:t>
      </w:r>
      <w:r>
        <w:rPr>
          <w:rFonts w:eastAsiaTheme="majorEastAsia" w:cstheme="majorBidi"/>
          <w:bCs/>
          <w:i/>
          <w:iCs/>
          <w:color w:val="000000" w:themeColor="text1"/>
          <w:szCs w:val="26"/>
        </w:rPr>
        <w:t xml:space="preserve">01 January </w:t>
      </w:r>
      <w:r w:rsidRPr="00705C01">
        <w:rPr>
          <w:rFonts w:eastAsiaTheme="majorEastAsia" w:cstheme="majorBidi"/>
          <w:bCs/>
          <w:i/>
          <w:iCs/>
          <w:color w:val="000000" w:themeColor="text1"/>
          <w:szCs w:val="26"/>
        </w:rPr>
        <w:t>2014</w:t>
      </w:r>
      <w:r>
        <w:rPr>
          <w:rFonts w:eastAsiaTheme="majorEastAsia" w:cstheme="majorBidi"/>
          <w:bCs/>
          <w:i/>
          <w:iCs/>
          <w:color w:val="000000" w:themeColor="text1"/>
          <w:szCs w:val="26"/>
        </w:rPr>
        <w:t xml:space="preserve"> </w:t>
      </w:r>
      <w:r w:rsidRPr="00705C01">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31 March </w:t>
      </w:r>
      <w:r w:rsidRPr="00705C01">
        <w:rPr>
          <w:rFonts w:eastAsiaTheme="majorEastAsia" w:cstheme="majorBidi"/>
          <w:bCs/>
          <w:i/>
          <w:iCs/>
          <w:color w:val="000000" w:themeColor="text1"/>
          <w:szCs w:val="26"/>
        </w:rPr>
        <w:t>2024 (Calendar Years)</w:t>
      </w:r>
    </w:p>
    <w:tbl>
      <w:tblPr>
        <w:tblStyle w:val="TableGrid"/>
        <w:tblW w:w="10107" w:type="dxa"/>
        <w:tblInd w:w="-147" w:type="dxa"/>
        <w:tblLook w:val="04A0" w:firstRow="1" w:lastRow="0" w:firstColumn="1" w:lastColumn="0" w:noHBand="0" w:noVBand="1"/>
        <w:tblCaption w:val="Table 3: Detected Hate Crimes with Transgender Aggravator - 01 January 2014 - 31 March 2024 (Calendar Years)"/>
        <w:tblDescription w:val="Table 3: Detected Hate Crimes with Transgender Aggravator - 01 January 2014 - 31 March 2024 (Calendar Years)&#10;"/>
      </w:tblPr>
      <w:tblGrid>
        <w:gridCol w:w="1857"/>
        <w:gridCol w:w="750"/>
        <w:gridCol w:w="750"/>
        <w:gridCol w:w="750"/>
        <w:gridCol w:w="750"/>
        <w:gridCol w:w="750"/>
        <w:gridCol w:w="750"/>
        <w:gridCol w:w="750"/>
        <w:gridCol w:w="750"/>
        <w:gridCol w:w="750"/>
        <w:gridCol w:w="750"/>
        <w:gridCol w:w="750"/>
      </w:tblGrid>
      <w:tr w:rsidR="001D14B3" w:rsidRPr="00557306" w14:paraId="3F5EA181" w14:textId="77777777" w:rsidTr="00EB3D4B">
        <w:trPr>
          <w:tblHeader/>
        </w:trPr>
        <w:tc>
          <w:tcPr>
            <w:tcW w:w="1857" w:type="dxa"/>
            <w:shd w:val="clear" w:color="auto" w:fill="D9D9D9" w:themeFill="background1" w:themeFillShade="D9"/>
          </w:tcPr>
          <w:p w14:paraId="41B93164" w14:textId="77777777" w:rsidR="001D14B3" w:rsidRPr="00557306" w:rsidRDefault="001D14B3" w:rsidP="00EB3D4B">
            <w:pPr>
              <w:spacing w:line="240" w:lineRule="auto"/>
              <w:rPr>
                <w:b/>
              </w:rPr>
            </w:pPr>
            <w:r>
              <w:rPr>
                <w:b/>
              </w:rPr>
              <w:t>Crime/Offence</w:t>
            </w:r>
          </w:p>
        </w:tc>
        <w:tc>
          <w:tcPr>
            <w:tcW w:w="750" w:type="dxa"/>
            <w:shd w:val="clear" w:color="auto" w:fill="D9D9D9" w:themeFill="background1" w:themeFillShade="D9"/>
          </w:tcPr>
          <w:p w14:paraId="78A8AA0F" w14:textId="77777777" w:rsidR="001D14B3" w:rsidRPr="00557306" w:rsidRDefault="001D14B3" w:rsidP="00EB3D4B">
            <w:pPr>
              <w:spacing w:line="240" w:lineRule="auto"/>
              <w:rPr>
                <w:b/>
              </w:rPr>
            </w:pPr>
            <w:r>
              <w:rPr>
                <w:b/>
              </w:rPr>
              <w:t>2014</w:t>
            </w:r>
          </w:p>
        </w:tc>
        <w:tc>
          <w:tcPr>
            <w:tcW w:w="750" w:type="dxa"/>
            <w:shd w:val="clear" w:color="auto" w:fill="D9D9D9" w:themeFill="background1" w:themeFillShade="D9"/>
          </w:tcPr>
          <w:p w14:paraId="7990EE64" w14:textId="77777777" w:rsidR="001D14B3" w:rsidRPr="00557306" w:rsidRDefault="001D14B3" w:rsidP="00EB3D4B">
            <w:pPr>
              <w:spacing w:line="240" w:lineRule="auto"/>
              <w:rPr>
                <w:b/>
              </w:rPr>
            </w:pPr>
            <w:r>
              <w:rPr>
                <w:b/>
              </w:rPr>
              <w:t>2015</w:t>
            </w:r>
          </w:p>
        </w:tc>
        <w:tc>
          <w:tcPr>
            <w:tcW w:w="750" w:type="dxa"/>
            <w:shd w:val="clear" w:color="auto" w:fill="D9D9D9" w:themeFill="background1" w:themeFillShade="D9"/>
          </w:tcPr>
          <w:p w14:paraId="481676BA" w14:textId="77777777" w:rsidR="001D14B3" w:rsidRPr="00557306" w:rsidRDefault="001D14B3" w:rsidP="00EB3D4B">
            <w:pPr>
              <w:spacing w:line="240" w:lineRule="auto"/>
              <w:rPr>
                <w:b/>
              </w:rPr>
            </w:pPr>
            <w:r>
              <w:rPr>
                <w:b/>
              </w:rPr>
              <w:t>2016</w:t>
            </w:r>
          </w:p>
        </w:tc>
        <w:tc>
          <w:tcPr>
            <w:tcW w:w="750" w:type="dxa"/>
            <w:shd w:val="clear" w:color="auto" w:fill="D9D9D9" w:themeFill="background1" w:themeFillShade="D9"/>
          </w:tcPr>
          <w:p w14:paraId="20D595EA" w14:textId="77777777" w:rsidR="001D14B3" w:rsidRPr="00557306" w:rsidRDefault="001D14B3" w:rsidP="00EB3D4B">
            <w:pPr>
              <w:spacing w:line="240" w:lineRule="auto"/>
              <w:rPr>
                <w:b/>
              </w:rPr>
            </w:pPr>
            <w:r>
              <w:rPr>
                <w:b/>
              </w:rPr>
              <w:t>2017</w:t>
            </w:r>
          </w:p>
        </w:tc>
        <w:tc>
          <w:tcPr>
            <w:tcW w:w="750" w:type="dxa"/>
            <w:shd w:val="clear" w:color="auto" w:fill="D9D9D9" w:themeFill="background1" w:themeFillShade="D9"/>
          </w:tcPr>
          <w:p w14:paraId="3CE4EB67" w14:textId="77777777" w:rsidR="001D14B3" w:rsidRPr="00557306" w:rsidRDefault="001D14B3" w:rsidP="00EB3D4B">
            <w:pPr>
              <w:spacing w:line="240" w:lineRule="auto"/>
              <w:rPr>
                <w:b/>
              </w:rPr>
            </w:pPr>
            <w:r>
              <w:rPr>
                <w:b/>
              </w:rPr>
              <w:t>2018</w:t>
            </w:r>
          </w:p>
        </w:tc>
        <w:tc>
          <w:tcPr>
            <w:tcW w:w="750" w:type="dxa"/>
            <w:shd w:val="clear" w:color="auto" w:fill="D9D9D9" w:themeFill="background1" w:themeFillShade="D9"/>
          </w:tcPr>
          <w:p w14:paraId="3527AD81" w14:textId="77777777" w:rsidR="001D14B3" w:rsidRPr="00557306" w:rsidRDefault="001D14B3" w:rsidP="00EB3D4B">
            <w:pPr>
              <w:spacing w:line="240" w:lineRule="auto"/>
              <w:rPr>
                <w:b/>
              </w:rPr>
            </w:pPr>
            <w:r>
              <w:rPr>
                <w:b/>
              </w:rPr>
              <w:t>2019</w:t>
            </w:r>
          </w:p>
        </w:tc>
        <w:tc>
          <w:tcPr>
            <w:tcW w:w="750" w:type="dxa"/>
            <w:shd w:val="clear" w:color="auto" w:fill="D9D9D9" w:themeFill="background1" w:themeFillShade="D9"/>
          </w:tcPr>
          <w:p w14:paraId="4E37F498" w14:textId="77777777" w:rsidR="001D14B3" w:rsidRPr="00557306" w:rsidRDefault="001D14B3" w:rsidP="00EB3D4B">
            <w:pPr>
              <w:spacing w:line="240" w:lineRule="auto"/>
              <w:rPr>
                <w:b/>
              </w:rPr>
            </w:pPr>
            <w:r>
              <w:rPr>
                <w:b/>
              </w:rPr>
              <w:t>2022</w:t>
            </w:r>
          </w:p>
        </w:tc>
        <w:tc>
          <w:tcPr>
            <w:tcW w:w="750" w:type="dxa"/>
            <w:shd w:val="clear" w:color="auto" w:fill="D9D9D9" w:themeFill="background1" w:themeFillShade="D9"/>
          </w:tcPr>
          <w:p w14:paraId="53AF570A" w14:textId="77777777" w:rsidR="001D14B3" w:rsidRPr="00557306" w:rsidRDefault="001D14B3" w:rsidP="00EB3D4B">
            <w:pPr>
              <w:spacing w:line="240" w:lineRule="auto"/>
              <w:rPr>
                <w:b/>
              </w:rPr>
            </w:pPr>
            <w:r>
              <w:rPr>
                <w:b/>
              </w:rPr>
              <w:t>2021</w:t>
            </w:r>
          </w:p>
        </w:tc>
        <w:tc>
          <w:tcPr>
            <w:tcW w:w="750" w:type="dxa"/>
            <w:shd w:val="clear" w:color="auto" w:fill="D9D9D9" w:themeFill="background1" w:themeFillShade="D9"/>
          </w:tcPr>
          <w:p w14:paraId="08AB0316" w14:textId="77777777" w:rsidR="001D14B3" w:rsidRPr="00557306" w:rsidRDefault="001D14B3" w:rsidP="00EB3D4B">
            <w:pPr>
              <w:spacing w:line="240" w:lineRule="auto"/>
              <w:rPr>
                <w:b/>
              </w:rPr>
            </w:pPr>
            <w:r>
              <w:rPr>
                <w:b/>
              </w:rPr>
              <w:t>2022</w:t>
            </w:r>
          </w:p>
        </w:tc>
        <w:tc>
          <w:tcPr>
            <w:tcW w:w="750" w:type="dxa"/>
            <w:shd w:val="clear" w:color="auto" w:fill="D9D9D9" w:themeFill="background1" w:themeFillShade="D9"/>
          </w:tcPr>
          <w:p w14:paraId="23A21E6A" w14:textId="77777777" w:rsidR="001D14B3" w:rsidRPr="00557306" w:rsidRDefault="001D14B3" w:rsidP="00EB3D4B">
            <w:pPr>
              <w:spacing w:line="240" w:lineRule="auto"/>
              <w:rPr>
                <w:b/>
              </w:rPr>
            </w:pPr>
            <w:r>
              <w:rPr>
                <w:b/>
              </w:rPr>
              <w:t>2023</w:t>
            </w:r>
          </w:p>
        </w:tc>
        <w:tc>
          <w:tcPr>
            <w:tcW w:w="750" w:type="dxa"/>
            <w:shd w:val="clear" w:color="auto" w:fill="D9D9D9" w:themeFill="background1" w:themeFillShade="D9"/>
          </w:tcPr>
          <w:p w14:paraId="1D757D8F" w14:textId="77777777" w:rsidR="001D14B3" w:rsidRPr="00557306" w:rsidRDefault="001D14B3" w:rsidP="00EB3D4B">
            <w:pPr>
              <w:spacing w:line="240" w:lineRule="auto"/>
              <w:rPr>
                <w:b/>
              </w:rPr>
            </w:pPr>
            <w:r>
              <w:rPr>
                <w:b/>
              </w:rPr>
              <w:t>2024</w:t>
            </w:r>
          </w:p>
        </w:tc>
      </w:tr>
      <w:tr w:rsidR="001D14B3" w14:paraId="47B7FEE4" w14:textId="77777777" w:rsidTr="00EB3D4B">
        <w:tc>
          <w:tcPr>
            <w:tcW w:w="1857" w:type="dxa"/>
          </w:tcPr>
          <w:p w14:paraId="2C66A170" w14:textId="77777777" w:rsidR="001D14B3" w:rsidRDefault="001D14B3" w:rsidP="00EB3D4B">
            <w:pPr>
              <w:tabs>
                <w:tab w:val="left" w:pos="5400"/>
              </w:tabs>
              <w:spacing w:line="240" w:lineRule="auto"/>
            </w:pPr>
            <w:r>
              <w:t>Hate Crime</w:t>
            </w:r>
          </w:p>
        </w:tc>
        <w:tc>
          <w:tcPr>
            <w:tcW w:w="750" w:type="dxa"/>
          </w:tcPr>
          <w:p w14:paraId="784C1BC7" w14:textId="7650BA78" w:rsidR="001D14B3" w:rsidRDefault="001D14B3" w:rsidP="00EB3D4B">
            <w:pPr>
              <w:tabs>
                <w:tab w:val="left" w:pos="5400"/>
              </w:tabs>
              <w:spacing w:line="240" w:lineRule="auto"/>
            </w:pPr>
            <w:r>
              <w:t>16</w:t>
            </w:r>
          </w:p>
        </w:tc>
        <w:tc>
          <w:tcPr>
            <w:tcW w:w="750" w:type="dxa"/>
          </w:tcPr>
          <w:p w14:paraId="1AD2962F" w14:textId="513AB5B0" w:rsidR="001D14B3" w:rsidRDefault="001D14B3" w:rsidP="00EB3D4B">
            <w:pPr>
              <w:tabs>
                <w:tab w:val="left" w:pos="5400"/>
              </w:tabs>
              <w:spacing w:line="240" w:lineRule="auto"/>
            </w:pPr>
            <w:r>
              <w:t>30</w:t>
            </w:r>
          </w:p>
        </w:tc>
        <w:tc>
          <w:tcPr>
            <w:tcW w:w="750" w:type="dxa"/>
          </w:tcPr>
          <w:p w14:paraId="1BD84A57" w14:textId="736BA38B" w:rsidR="001D14B3" w:rsidRDefault="001D14B3" w:rsidP="00EB3D4B">
            <w:pPr>
              <w:tabs>
                <w:tab w:val="left" w:pos="5400"/>
              </w:tabs>
              <w:spacing w:line="240" w:lineRule="auto"/>
            </w:pPr>
            <w:r>
              <w:t>30</w:t>
            </w:r>
          </w:p>
        </w:tc>
        <w:tc>
          <w:tcPr>
            <w:tcW w:w="750" w:type="dxa"/>
          </w:tcPr>
          <w:p w14:paraId="53A8A719" w14:textId="2B8DB433" w:rsidR="001D14B3" w:rsidRDefault="001D14B3" w:rsidP="00EB3D4B">
            <w:pPr>
              <w:tabs>
                <w:tab w:val="left" w:pos="5400"/>
              </w:tabs>
              <w:spacing w:line="240" w:lineRule="auto"/>
            </w:pPr>
            <w:r>
              <w:t>40</w:t>
            </w:r>
          </w:p>
        </w:tc>
        <w:tc>
          <w:tcPr>
            <w:tcW w:w="750" w:type="dxa"/>
          </w:tcPr>
          <w:p w14:paraId="081F4C77" w14:textId="1436D210" w:rsidR="001D14B3" w:rsidRDefault="001D14B3" w:rsidP="00EB3D4B">
            <w:pPr>
              <w:tabs>
                <w:tab w:val="left" w:pos="5400"/>
              </w:tabs>
              <w:spacing w:line="240" w:lineRule="auto"/>
            </w:pPr>
            <w:r>
              <w:t>42</w:t>
            </w:r>
          </w:p>
        </w:tc>
        <w:tc>
          <w:tcPr>
            <w:tcW w:w="750" w:type="dxa"/>
          </w:tcPr>
          <w:p w14:paraId="33C537AA" w14:textId="33B51BAD" w:rsidR="001D14B3" w:rsidRDefault="001D14B3" w:rsidP="00EB3D4B">
            <w:pPr>
              <w:tabs>
                <w:tab w:val="left" w:pos="5400"/>
              </w:tabs>
              <w:spacing w:line="240" w:lineRule="auto"/>
            </w:pPr>
            <w:r>
              <w:t>77</w:t>
            </w:r>
          </w:p>
        </w:tc>
        <w:tc>
          <w:tcPr>
            <w:tcW w:w="750" w:type="dxa"/>
          </w:tcPr>
          <w:p w14:paraId="2FF544B5" w14:textId="2B696221" w:rsidR="001D14B3" w:rsidRDefault="001D14B3" w:rsidP="00EB3D4B">
            <w:pPr>
              <w:tabs>
                <w:tab w:val="left" w:pos="5400"/>
              </w:tabs>
              <w:spacing w:line="240" w:lineRule="auto"/>
            </w:pPr>
            <w:r>
              <w:t>60</w:t>
            </w:r>
          </w:p>
        </w:tc>
        <w:tc>
          <w:tcPr>
            <w:tcW w:w="750" w:type="dxa"/>
          </w:tcPr>
          <w:p w14:paraId="6F59A653" w14:textId="152B0FB5" w:rsidR="001D14B3" w:rsidRDefault="001D14B3" w:rsidP="00EB3D4B">
            <w:pPr>
              <w:tabs>
                <w:tab w:val="left" w:pos="5400"/>
              </w:tabs>
              <w:spacing w:line="240" w:lineRule="auto"/>
            </w:pPr>
            <w:r>
              <w:t>85</w:t>
            </w:r>
          </w:p>
        </w:tc>
        <w:tc>
          <w:tcPr>
            <w:tcW w:w="750" w:type="dxa"/>
          </w:tcPr>
          <w:p w14:paraId="5D4E9E6F" w14:textId="7F7B6C2A" w:rsidR="001D14B3" w:rsidRDefault="001D14B3" w:rsidP="00EB3D4B">
            <w:pPr>
              <w:tabs>
                <w:tab w:val="left" w:pos="5400"/>
              </w:tabs>
              <w:spacing w:line="240" w:lineRule="auto"/>
            </w:pPr>
            <w:r>
              <w:t>79</w:t>
            </w:r>
          </w:p>
        </w:tc>
        <w:tc>
          <w:tcPr>
            <w:tcW w:w="750" w:type="dxa"/>
          </w:tcPr>
          <w:p w14:paraId="2C20F1E6" w14:textId="1AC3B626" w:rsidR="001D14B3" w:rsidRDefault="001D14B3" w:rsidP="00EB3D4B">
            <w:pPr>
              <w:tabs>
                <w:tab w:val="left" w:pos="5400"/>
              </w:tabs>
              <w:spacing w:line="240" w:lineRule="auto"/>
            </w:pPr>
            <w:r>
              <w:t>76</w:t>
            </w:r>
          </w:p>
        </w:tc>
        <w:tc>
          <w:tcPr>
            <w:tcW w:w="750" w:type="dxa"/>
          </w:tcPr>
          <w:p w14:paraId="06ECDBC6" w14:textId="78BD7C74" w:rsidR="001D14B3" w:rsidRDefault="001D14B3" w:rsidP="00EB3D4B">
            <w:pPr>
              <w:tabs>
                <w:tab w:val="left" w:pos="5400"/>
              </w:tabs>
              <w:spacing w:line="240" w:lineRule="auto"/>
            </w:pPr>
            <w:r>
              <w:t>16</w:t>
            </w:r>
          </w:p>
        </w:tc>
      </w:tr>
    </w:tbl>
    <w:p w14:paraId="45756CB0" w14:textId="7C8E4755" w:rsidR="00131985" w:rsidRDefault="00131985" w:rsidP="00131985">
      <w:pPr>
        <w:tabs>
          <w:tab w:val="left" w:pos="5400"/>
        </w:tabs>
        <w:rPr>
          <w:rFonts w:eastAsiaTheme="majorEastAsia" w:cstheme="majorBidi"/>
          <w:bCs/>
          <w:color w:val="000000" w:themeColor="text1"/>
          <w:szCs w:val="26"/>
        </w:rPr>
      </w:pPr>
      <w:r w:rsidRPr="00131985">
        <w:rPr>
          <w:rFonts w:eastAsiaTheme="majorEastAsia" w:cstheme="majorBidi"/>
          <w:bCs/>
          <w:color w:val="000000" w:themeColor="text1"/>
          <w:szCs w:val="26"/>
        </w:rPr>
        <w:t xml:space="preserve">All statistics are provisional and should be treated as management information. </w:t>
      </w:r>
      <w:r w:rsidR="00F54FB1">
        <w:rPr>
          <w:rFonts w:eastAsiaTheme="majorEastAsia" w:cstheme="majorBidi"/>
          <w:bCs/>
          <w:color w:val="000000" w:themeColor="text1"/>
          <w:szCs w:val="26"/>
        </w:rPr>
        <w:br/>
        <w:t xml:space="preserve">Data was </w:t>
      </w:r>
      <w:r w:rsidRPr="00131985">
        <w:rPr>
          <w:rFonts w:eastAsiaTheme="majorEastAsia" w:cstheme="majorBidi"/>
          <w:bCs/>
          <w:color w:val="000000" w:themeColor="text1"/>
          <w:szCs w:val="26"/>
        </w:rPr>
        <w:t>extracted from Police Scotland systems and are correct as of 20th May 2025.</w:t>
      </w:r>
      <w:r w:rsidR="00F54FB1">
        <w:rPr>
          <w:rFonts w:eastAsiaTheme="majorEastAsia" w:cstheme="majorBidi"/>
          <w:bCs/>
          <w:color w:val="000000" w:themeColor="text1"/>
          <w:szCs w:val="26"/>
        </w:rPr>
        <w:br/>
      </w:r>
      <w:r w:rsidRPr="00131985">
        <w:rPr>
          <w:rFonts w:eastAsiaTheme="majorEastAsia" w:cstheme="majorBidi"/>
          <w:bCs/>
          <w:color w:val="000000" w:themeColor="text1"/>
          <w:szCs w:val="26"/>
        </w:rPr>
        <w:t>The data prior to the 1st April 2024 has been extracted from the Interim Vulnerable Persons Database (iVPD) using the ‘DETECTED</w:t>
      </w:r>
      <w:r w:rsidR="00F54FB1">
        <w:rPr>
          <w:rFonts w:eastAsiaTheme="majorEastAsia" w:cstheme="majorBidi"/>
          <w:bCs/>
          <w:color w:val="000000" w:themeColor="text1"/>
          <w:szCs w:val="26"/>
        </w:rPr>
        <w:t xml:space="preserve"> </w:t>
      </w:r>
      <w:r w:rsidRPr="00131985">
        <w:rPr>
          <w:rFonts w:eastAsiaTheme="majorEastAsia" w:cstheme="majorBidi"/>
          <w:bCs/>
          <w:color w:val="000000" w:themeColor="text1"/>
          <w:szCs w:val="26"/>
        </w:rPr>
        <w:t>DATE’ date where a Transgender aggravator is present.</w:t>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p>
    <w:p w14:paraId="1EB3DD8C" w14:textId="1322B031" w:rsidR="008A2277" w:rsidRPr="00131985" w:rsidRDefault="00131985" w:rsidP="00131985">
      <w:pPr>
        <w:tabs>
          <w:tab w:val="left" w:pos="5400"/>
        </w:tabs>
        <w:rPr>
          <w:rFonts w:eastAsiaTheme="majorEastAsia" w:cstheme="majorBidi"/>
          <w:bCs/>
          <w:color w:val="000000" w:themeColor="text1"/>
          <w:szCs w:val="26"/>
        </w:rPr>
      </w:pP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r w:rsidRPr="00131985">
        <w:rPr>
          <w:rFonts w:eastAsiaTheme="majorEastAsia" w:cstheme="majorBidi"/>
          <w:b/>
          <w:color w:val="000000" w:themeColor="text1"/>
          <w:szCs w:val="26"/>
        </w:rPr>
        <w:tab/>
      </w:r>
    </w:p>
    <w:p w14:paraId="15A2ED2E" w14:textId="44511546" w:rsidR="006B0EF0" w:rsidRPr="006B0EF0" w:rsidRDefault="006B0EF0" w:rsidP="006B0EF0">
      <w:pPr>
        <w:tabs>
          <w:tab w:val="left" w:pos="5400"/>
        </w:tabs>
        <w:rPr>
          <w:rFonts w:eastAsiaTheme="majorEastAsia" w:cstheme="majorBidi"/>
          <w:bCs/>
          <w:i/>
          <w:iCs/>
          <w:color w:val="000000" w:themeColor="text1"/>
          <w:szCs w:val="26"/>
        </w:rPr>
      </w:pPr>
      <w:r w:rsidRPr="006B0EF0">
        <w:rPr>
          <w:rFonts w:eastAsiaTheme="majorEastAsia" w:cstheme="majorBidi"/>
          <w:bCs/>
          <w:i/>
          <w:iCs/>
          <w:color w:val="000000" w:themeColor="text1"/>
          <w:szCs w:val="26"/>
        </w:rPr>
        <w:lastRenderedPageBreak/>
        <w:t>Table 4:</w:t>
      </w:r>
      <w:r w:rsidRPr="00D928CD">
        <w:rPr>
          <w:rFonts w:eastAsiaTheme="majorEastAsia" w:cstheme="majorBidi"/>
          <w:bCs/>
          <w:i/>
          <w:iCs/>
          <w:color w:val="000000" w:themeColor="text1"/>
          <w:szCs w:val="26"/>
        </w:rPr>
        <w:t xml:space="preserve"> Detected Hate Crimes with Transgender Aggravator - </w:t>
      </w:r>
      <w:r>
        <w:rPr>
          <w:rFonts w:eastAsiaTheme="majorEastAsia" w:cstheme="majorBidi"/>
          <w:bCs/>
          <w:i/>
          <w:iCs/>
          <w:color w:val="000000" w:themeColor="text1"/>
          <w:szCs w:val="26"/>
        </w:rPr>
        <w:t>01 April 2024 – 31</w:t>
      </w:r>
      <w:r w:rsidRPr="006B0EF0">
        <w:rPr>
          <w:rFonts w:eastAsiaTheme="majorEastAsia" w:cstheme="majorBidi"/>
          <w:bCs/>
          <w:i/>
          <w:iCs/>
          <w:color w:val="000000" w:themeColor="text1"/>
          <w:szCs w:val="26"/>
          <w:vertAlign w:val="superscript"/>
        </w:rPr>
        <w:t>st</w:t>
      </w:r>
      <w:r>
        <w:rPr>
          <w:rFonts w:eastAsiaTheme="majorEastAsia" w:cstheme="majorBidi"/>
          <w:bCs/>
          <w:i/>
          <w:iCs/>
          <w:color w:val="000000" w:themeColor="text1"/>
          <w:szCs w:val="26"/>
        </w:rPr>
        <w:t xml:space="preserve"> December 2024</w:t>
      </w:r>
    </w:p>
    <w:tbl>
      <w:tblPr>
        <w:tblStyle w:val="TableGrid"/>
        <w:tblW w:w="2941" w:type="dxa"/>
        <w:tblLook w:val="04A0" w:firstRow="1" w:lastRow="0" w:firstColumn="1" w:lastColumn="0" w:noHBand="0" w:noVBand="1"/>
        <w:tblCaption w:val="Table 4: Detected Hate Crimes with Transgender Aggravator - 01 April 2024 – 31st December 2024"/>
        <w:tblDescription w:val="Table 4: Detected Hate Crimes with Transgender Aggravator - 01 April 2024 – 31st December 2024"/>
      </w:tblPr>
      <w:tblGrid>
        <w:gridCol w:w="1990"/>
        <w:gridCol w:w="951"/>
      </w:tblGrid>
      <w:tr w:rsidR="001D14B3" w:rsidRPr="00557306" w14:paraId="759BD361" w14:textId="77777777" w:rsidTr="00EB3D4B">
        <w:trPr>
          <w:tblHeader/>
        </w:trPr>
        <w:tc>
          <w:tcPr>
            <w:tcW w:w="1990" w:type="dxa"/>
            <w:shd w:val="clear" w:color="auto" w:fill="D9D9D9" w:themeFill="background1" w:themeFillShade="D9"/>
          </w:tcPr>
          <w:p w14:paraId="6C0199DD" w14:textId="77777777" w:rsidR="001D14B3" w:rsidRPr="00557306" w:rsidRDefault="001D14B3" w:rsidP="00EB3D4B">
            <w:pPr>
              <w:spacing w:line="240" w:lineRule="auto"/>
              <w:rPr>
                <w:b/>
              </w:rPr>
            </w:pPr>
            <w:r>
              <w:rPr>
                <w:b/>
              </w:rPr>
              <w:t>Crime/Offence</w:t>
            </w:r>
          </w:p>
        </w:tc>
        <w:tc>
          <w:tcPr>
            <w:tcW w:w="951" w:type="dxa"/>
            <w:shd w:val="clear" w:color="auto" w:fill="D9D9D9" w:themeFill="background1" w:themeFillShade="D9"/>
          </w:tcPr>
          <w:p w14:paraId="1478B3F1" w14:textId="77777777" w:rsidR="001D14B3" w:rsidRPr="00557306" w:rsidRDefault="001D14B3" w:rsidP="00EB3D4B">
            <w:pPr>
              <w:spacing w:line="240" w:lineRule="auto"/>
              <w:rPr>
                <w:b/>
              </w:rPr>
            </w:pPr>
            <w:r>
              <w:rPr>
                <w:b/>
              </w:rPr>
              <w:t>2024</w:t>
            </w:r>
            <w:r w:rsidRPr="00557306">
              <w:rPr>
                <w:b/>
              </w:rPr>
              <w:t xml:space="preserve"> </w:t>
            </w:r>
          </w:p>
        </w:tc>
      </w:tr>
      <w:tr w:rsidR="001D14B3" w14:paraId="78477F3D" w14:textId="77777777" w:rsidTr="00EB3D4B">
        <w:tc>
          <w:tcPr>
            <w:tcW w:w="1990" w:type="dxa"/>
          </w:tcPr>
          <w:p w14:paraId="76091E3B" w14:textId="77777777" w:rsidR="001D14B3" w:rsidRDefault="001D14B3" w:rsidP="00EB3D4B">
            <w:pPr>
              <w:tabs>
                <w:tab w:val="left" w:pos="5400"/>
              </w:tabs>
              <w:spacing w:line="240" w:lineRule="auto"/>
            </w:pPr>
            <w:r>
              <w:t>Hate Crime</w:t>
            </w:r>
          </w:p>
        </w:tc>
        <w:tc>
          <w:tcPr>
            <w:tcW w:w="951" w:type="dxa"/>
          </w:tcPr>
          <w:p w14:paraId="56D9B026" w14:textId="4B7F574C" w:rsidR="001D14B3" w:rsidRDefault="001D14B3" w:rsidP="00EB3D4B">
            <w:pPr>
              <w:tabs>
                <w:tab w:val="left" w:pos="5400"/>
              </w:tabs>
              <w:spacing w:line="240" w:lineRule="auto"/>
            </w:pPr>
            <w:r>
              <w:t>56</w:t>
            </w:r>
          </w:p>
        </w:tc>
      </w:tr>
    </w:tbl>
    <w:p w14:paraId="5AADDC30" w14:textId="432301CE" w:rsidR="00131985" w:rsidRPr="00131985" w:rsidRDefault="00131985" w:rsidP="00131985">
      <w:pPr>
        <w:tabs>
          <w:tab w:val="left" w:pos="5400"/>
        </w:tabs>
        <w:rPr>
          <w:rFonts w:eastAsiaTheme="majorEastAsia" w:cstheme="majorBidi"/>
          <w:bCs/>
          <w:color w:val="000000" w:themeColor="text1"/>
          <w:szCs w:val="26"/>
        </w:rPr>
      </w:pPr>
      <w:r w:rsidRPr="00131985">
        <w:rPr>
          <w:rFonts w:eastAsiaTheme="majorEastAsia" w:cstheme="majorBidi"/>
          <w:bCs/>
          <w:color w:val="000000" w:themeColor="text1"/>
          <w:szCs w:val="26"/>
        </w:rPr>
        <w:t xml:space="preserve">All statistics are provisional and should be treated as management information. </w:t>
      </w:r>
      <w:r w:rsidR="00F54FB1">
        <w:rPr>
          <w:rFonts w:eastAsiaTheme="majorEastAsia" w:cstheme="majorBidi"/>
          <w:bCs/>
          <w:color w:val="000000" w:themeColor="text1"/>
          <w:szCs w:val="26"/>
        </w:rPr>
        <w:br/>
        <w:t xml:space="preserve">Data was </w:t>
      </w:r>
      <w:r w:rsidRPr="00131985">
        <w:rPr>
          <w:rFonts w:eastAsiaTheme="majorEastAsia" w:cstheme="majorBidi"/>
          <w:bCs/>
          <w:color w:val="000000" w:themeColor="text1"/>
          <w:szCs w:val="26"/>
        </w:rPr>
        <w:t>extracted from Police Scotland systems and are correct as of 20th May 2025</w:t>
      </w:r>
      <w:r w:rsidR="00F54FB1">
        <w:rPr>
          <w:rFonts w:eastAsiaTheme="majorEastAsia" w:cstheme="majorBidi"/>
          <w:bCs/>
          <w:color w:val="000000" w:themeColor="text1"/>
          <w:szCs w:val="26"/>
        </w:rPr>
        <w:br/>
      </w:r>
      <w:r w:rsidRPr="00131985">
        <w:rPr>
          <w:rFonts w:eastAsiaTheme="majorEastAsia" w:cstheme="majorBidi"/>
          <w:bCs/>
          <w:color w:val="000000" w:themeColor="text1"/>
          <w:szCs w:val="26"/>
        </w:rPr>
        <w:t>The data from the 1st April 2024 has been extracted from the National Crime Unifi database using the ‘Date Detected’.</w:t>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00F54FB1">
        <w:rPr>
          <w:rFonts w:eastAsiaTheme="majorEastAsia" w:cstheme="majorBidi"/>
          <w:bCs/>
          <w:color w:val="000000" w:themeColor="text1"/>
          <w:szCs w:val="26"/>
        </w:rPr>
        <w:br/>
      </w:r>
      <w:r w:rsidRPr="00131985">
        <w:rPr>
          <w:rFonts w:eastAsiaTheme="majorEastAsia" w:cstheme="majorBidi"/>
          <w:bCs/>
          <w:color w:val="000000" w:themeColor="text1"/>
          <w:szCs w:val="26"/>
        </w:rPr>
        <w:t>Please note, the data from National Unifi Crime has been extracted based on crimes/offences which include a Transgender hate aggravator.</w:t>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r w:rsidRPr="00131985">
        <w:rPr>
          <w:rFonts w:eastAsiaTheme="majorEastAsia" w:cstheme="majorBidi"/>
          <w:bCs/>
          <w:color w:val="000000" w:themeColor="text1"/>
          <w:szCs w:val="26"/>
        </w:rPr>
        <w:tab/>
      </w:r>
    </w:p>
    <w:p w14:paraId="65A3F393" w14:textId="220A7977" w:rsidR="008A2277" w:rsidRPr="008A2277" w:rsidRDefault="00131985" w:rsidP="008A2277">
      <w:pPr>
        <w:tabs>
          <w:tab w:val="left" w:pos="5400"/>
        </w:tabs>
        <w:rPr>
          <w:rFonts w:eastAsiaTheme="majorEastAsia" w:cstheme="majorBidi"/>
          <w:b/>
          <w:color w:val="000000" w:themeColor="text1"/>
          <w:szCs w:val="26"/>
        </w:rPr>
      </w:pPr>
      <w:r w:rsidRPr="00131985">
        <w:rPr>
          <w:rFonts w:eastAsiaTheme="majorEastAsia" w:cstheme="majorBidi"/>
          <w:b/>
          <w:color w:val="000000" w:themeColor="text1"/>
          <w:szCs w:val="26"/>
        </w:rPr>
        <w:tab/>
      </w:r>
    </w:p>
    <w:p w14:paraId="3184660F" w14:textId="276731F2" w:rsidR="00705C01" w:rsidRPr="008A2277" w:rsidRDefault="00705C01" w:rsidP="008A2277">
      <w:pPr>
        <w:pStyle w:val="ListParagraph"/>
        <w:numPr>
          <w:ilvl w:val="0"/>
          <w:numId w:val="2"/>
        </w:numPr>
        <w:tabs>
          <w:tab w:val="left" w:pos="5400"/>
        </w:tabs>
        <w:rPr>
          <w:rFonts w:eastAsiaTheme="majorEastAsia" w:cstheme="majorBidi"/>
          <w:b/>
          <w:color w:val="000000" w:themeColor="text1"/>
          <w:szCs w:val="26"/>
        </w:rPr>
      </w:pPr>
      <w:r w:rsidRPr="008A2277">
        <w:rPr>
          <w:rFonts w:eastAsiaTheme="majorEastAsia" w:cstheme="majorBidi"/>
          <w:b/>
          <w:color w:val="000000" w:themeColor="text1"/>
          <w:szCs w:val="26"/>
        </w:rPr>
        <w:t>The details of any police policies or initiatives to increase the detection and/or prosecution of hate crimes against transgender people in Scotland</w:t>
      </w:r>
    </w:p>
    <w:p w14:paraId="6AB7EA41" w14:textId="77777777" w:rsidR="008A2277" w:rsidRPr="008A2277" w:rsidRDefault="008A2277" w:rsidP="008A2277">
      <w:pPr>
        <w:tabs>
          <w:tab w:val="left" w:pos="5400"/>
        </w:tabs>
        <w:rPr>
          <w:rFonts w:eastAsiaTheme="majorEastAsia" w:cstheme="majorBidi"/>
          <w:bCs/>
          <w:color w:val="000000" w:themeColor="text1"/>
          <w:szCs w:val="26"/>
        </w:rPr>
      </w:pPr>
      <w:r w:rsidRPr="008A2277">
        <w:rPr>
          <w:rFonts w:eastAsiaTheme="majorEastAsia" w:cstheme="majorBidi"/>
          <w:bCs/>
          <w:color w:val="000000" w:themeColor="text1"/>
          <w:szCs w:val="26"/>
        </w:rPr>
        <w:t>The information sought is not held by Police Scotland and section 17 of the Act therefore applies.</w:t>
      </w:r>
    </w:p>
    <w:p w14:paraId="14DE18B9" w14:textId="78CD9B6A" w:rsidR="008A2277" w:rsidRDefault="008A2277" w:rsidP="008A2277">
      <w:pPr>
        <w:tabs>
          <w:tab w:val="left" w:pos="5400"/>
        </w:tabs>
        <w:rPr>
          <w:rFonts w:eastAsiaTheme="majorEastAsia" w:cstheme="majorBidi"/>
          <w:bCs/>
          <w:color w:val="000000" w:themeColor="text1"/>
          <w:szCs w:val="26"/>
        </w:rPr>
      </w:pPr>
      <w:r w:rsidRPr="008A2277">
        <w:rPr>
          <w:rFonts w:eastAsiaTheme="majorEastAsia" w:cstheme="majorBidi"/>
          <w:bCs/>
          <w:color w:val="000000" w:themeColor="text1"/>
          <w:szCs w:val="26"/>
        </w:rPr>
        <w:t>By way of explanation, there are no specific policies or initiatives in place with regards to increasing detection rates of hate crimes for any protected characteristics.</w:t>
      </w:r>
    </w:p>
    <w:p w14:paraId="599F653C" w14:textId="556A6975" w:rsidR="00584EBA" w:rsidRDefault="00584EBA" w:rsidP="008A227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following standard operating procedures are in place to assist officers with their investigation of all crime and responding to hate:</w:t>
      </w:r>
    </w:p>
    <w:p w14:paraId="277C7A56" w14:textId="77777777" w:rsidR="00584EBA" w:rsidRDefault="00584EBA" w:rsidP="008A2277">
      <w:pPr>
        <w:tabs>
          <w:tab w:val="left" w:pos="5400"/>
        </w:tabs>
        <w:rPr>
          <w:rFonts w:eastAsiaTheme="majorEastAsia" w:cstheme="majorBidi"/>
          <w:bCs/>
          <w:color w:val="000000" w:themeColor="text1"/>
          <w:szCs w:val="26"/>
        </w:rPr>
      </w:pPr>
      <w:hyperlink r:id="rId11" w:history="1">
        <w:r>
          <w:rPr>
            <w:rStyle w:val="Hyperlink"/>
            <w:rFonts w:eastAsiaTheme="majorEastAsia" w:cstheme="majorBidi"/>
            <w:bCs/>
            <w:szCs w:val="26"/>
          </w:rPr>
          <w:t>Crime Investigation SOP</w:t>
        </w:r>
      </w:hyperlink>
    </w:p>
    <w:p w14:paraId="07CE7A11" w14:textId="77777777" w:rsidR="00584EBA" w:rsidRDefault="00584EBA" w:rsidP="008A2277">
      <w:pPr>
        <w:tabs>
          <w:tab w:val="left" w:pos="5400"/>
        </w:tabs>
        <w:rPr>
          <w:rFonts w:eastAsiaTheme="majorEastAsia" w:cstheme="majorBidi"/>
          <w:bCs/>
          <w:color w:val="000000" w:themeColor="text1"/>
          <w:szCs w:val="26"/>
        </w:rPr>
      </w:pPr>
      <w:hyperlink r:id="rId12" w:history="1">
        <w:r>
          <w:rPr>
            <w:rStyle w:val="Hyperlink"/>
            <w:rFonts w:eastAsiaTheme="majorEastAsia" w:cstheme="majorBidi"/>
            <w:bCs/>
            <w:szCs w:val="26"/>
          </w:rPr>
          <w:t>Responding to Hate SOP</w:t>
        </w:r>
      </w:hyperlink>
    </w:p>
    <w:p w14:paraId="6FD7E018" w14:textId="0DC98A62" w:rsidR="00584EBA" w:rsidRPr="008A2277" w:rsidRDefault="00584EBA" w:rsidP="008A227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  </w:t>
      </w:r>
    </w:p>
    <w:p w14:paraId="3F4C2198" w14:textId="77777777" w:rsidR="00705C01" w:rsidRPr="00705C01" w:rsidRDefault="00705C01" w:rsidP="00705C01">
      <w:pPr>
        <w:tabs>
          <w:tab w:val="left" w:pos="5400"/>
        </w:tabs>
        <w:rPr>
          <w:rFonts w:eastAsiaTheme="majorEastAsia" w:cstheme="majorBidi"/>
          <w:b/>
          <w:color w:val="000000" w:themeColor="text1"/>
          <w:szCs w:val="26"/>
        </w:rPr>
      </w:pPr>
      <w:r w:rsidRPr="00705C01">
        <w:rPr>
          <w:rFonts w:eastAsiaTheme="majorEastAsia" w:cstheme="majorBidi"/>
          <w:b/>
          <w:color w:val="000000" w:themeColor="text1"/>
          <w:szCs w:val="26"/>
        </w:rPr>
        <w:t>5. The details of any police policies or initiatives involving outreach to transgender communities or trans advocacy groups in Scotland</w:t>
      </w:r>
    </w:p>
    <w:p w14:paraId="0FD76730" w14:textId="77777777" w:rsidR="00584EBA" w:rsidRPr="008A2277" w:rsidRDefault="00584EBA" w:rsidP="00584EBA">
      <w:pPr>
        <w:tabs>
          <w:tab w:val="left" w:pos="5400"/>
        </w:tabs>
        <w:rPr>
          <w:rFonts w:eastAsiaTheme="majorEastAsia" w:cstheme="majorBidi"/>
          <w:bCs/>
          <w:color w:val="000000" w:themeColor="text1"/>
          <w:szCs w:val="26"/>
        </w:rPr>
      </w:pPr>
      <w:r w:rsidRPr="008A2277">
        <w:rPr>
          <w:rFonts w:eastAsiaTheme="majorEastAsia" w:cstheme="majorBidi"/>
          <w:bCs/>
          <w:color w:val="000000" w:themeColor="text1"/>
          <w:szCs w:val="26"/>
        </w:rPr>
        <w:t>The information sought is not held by Police Scotland and section 17 of the Act therefore applies.</w:t>
      </w:r>
    </w:p>
    <w:p w14:paraId="24EF0822" w14:textId="0AC609C8" w:rsidR="00584EBA" w:rsidRPr="00584EBA" w:rsidRDefault="00584EBA" w:rsidP="00584EBA">
      <w:pPr>
        <w:tabs>
          <w:tab w:val="left" w:pos="5400"/>
        </w:tabs>
      </w:pPr>
      <w:r>
        <w:t xml:space="preserve">By way of explanation, there </w:t>
      </w:r>
      <w:r w:rsidRPr="00584EBA">
        <w:t>are no policies in place involving outreach with any specific group at present. Local Policing are encouraged to engage with the following communities where appropriate:</w:t>
      </w:r>
    </w:p>
    <w:p w14:paraId="0117D40D" w14:textId="77777777" w:rsidR="00584EBA" w:rsidRPr="00584EBA" w:rsidRDefault="00584EBA" w:rsidP="00584EBA">
      <w:pPr>
        <w:numPr>
          <w:ilvl w:val="0"/>
          <w:numId w:val="3"/>
        </w:numPr>
        <w:tabs>
          <w:tab w:val="left" w:pos="5400"/>
        </w:tabs>
      </w:pPr>
      <w:r w:rsidRPr="00584EBA">
        <w:t>Black &amp; African Communities</w:t>
      </w:r>
    </w:p>
    <w:p w14:paraId="0A2EA615" w14:textId="77777777" w:rsidR="00584EBA" w:rsidRPr="00584EBA" w:rsidRDefault="00584EBA" w:rsidP="00584EBA">
      <w:pPr>
        <w:numPr>
          <w:ilvl w:val="0"/>
          <w:numId w:val="3"/>
        </w:numPr>
        <w:tabs>
          <w:tab w:val="left" w:pos="5400"/>
        </w:tabs>
      </w:pPr>
      <w:r w:rsidRPr="00584EBA">
        <w:lastRenderedPageBreak/>
        <w:t>LGBTIQ+ Communities</w:t>
      </w:r>
    </w:p>
    <w:p w14:paraId="120C216F" w14:textId="557F2BF4" w:rsidR="00584EBA" w:rsidRPr="00584EBA" w:rsidRDefault="00584EBA" w:rsidP="00584EBA">
      <w:pPr>
        <w:numPr>
          <w:ilvl w:val="0"/>
          <w:numId w:val="3"/>
        </w:numPr>
        <w:tabs>
          <w:tab w:val="left" w:pos="5400"/>
        </w:tabs>
      </w:pPr>
      <w:r w:rsidRPr="00584EBA">
        <w:t>Jewish Communities</w:t>
      </w:r>
    </w:p>
    <w:p w14:paraId="11709053" w14:textId="6F9390CA" w:rsidR="00584EBA" w:rsidRPr="00584EBA" w:rsidRDefault="00584EBA" w:rsidP="00584EBA">
      <w:pPr>
        <w:tabs>
          <w:tab w:val="left" w:pos="5400"/>
        </w:tabs>
      </w:pPr>
      <w:r w:rsidRPr="00584EBA">
        <w:t>The above communities have been identified as priority areas of engagement for Police Scotland based on various factors such as:</w:t>
      </w:r>
    </w:p>
    <w:p w14:paraId="265D7C9F" w14:textId="77777777" w:rsidR="00584EBA" w:rsidRPr="00584EBA" w:rsidRDefault="00584EBA" w:rsidP="00584EBA">
      <w:pPr>
        <w:numPr>
          <w:ilvl w:val="0"/>
          <w:numId w:val="4"/>
        </w:numPr>
        <w:tabs>
          <w:tab w:val="left" w:pos="5400"/>
        </w:tabs>
      </w:pPr>
      <w:r w:rsidRPr="00584EBA">
        <w:t>Current ongoing threat, risk, or harm to the relevant community</w:t>
      </w:r>
    </w:p>
    <w:p w14:paraId="6B82A9A4" w14:textId="77777777" w:rsidR="00584EBA" w:rsidRPr="00584EBA" w:rsidRDefault="00584EBA" w:rsidP="00584EBA">
      <w:pPr>
        <w:numPr>
          <w:ilvl w:val="0"/>
          <w:numId w:val="4"/>
        </w:numPr>
        <w:tabs>
          <w:tab w:val="left" w:pos="5400"/>
        </w:tabs>
      </w:pPr>
      <w:r w:rsidRPr="00584EBA">
        <w:t>Local, national and or international incidents which disproportionately impact a specific community</w:t>
      </w:r>
    </w:p>
    <w:p w14:paraId="0EB2D62B" w14:textId="77777777" w:rsidR="00584EBA" w:rsidRPr="00584EBA" w:rsidRDefault="00584EBA" w:rsidP="00584EBA">
      <w:pPr>
        <w:numPr>
          <w:ilvl w:val="0"/>
          <w:numId w:val="4"/>
        </w:numPr>
        <w:tabs>
          <w:tab w:val="left" w:pos="5400"/>
        </w:tabs>
      </w:pPr>
      <w:r w:rsidRPr="00584EBA">
        <w:t>Identified engagement gaps</w:t>
      </w:r>
    </w:p>
    <w:p w14:paraId="042D504B" w14:textId="47C87093" w:rsidR="00584EBA" w:rsidRPr="00584EBA" w:rsidRDefault="00584EBA" w:rsidP="00584EBA">
      <w:pPr>
        <w:numPr>
          <w:ilvl w:val="0"/>
          <w:numId w:val="4"/>
        </w:numPr>
        <w:tabs>
          <w:tab w:val="left" w:pos="5400"/>
        </w:tabs>
      </w:pPr>
      <w:r w:rsidRPr="00584EBA">
        <w:t>An identified lack of trust and confidence in police from a specific community</w:t>
      </w:r>
    </w:p>
    <w:p w14:paraId="6C9185B4" w14:textId="101A038D" w:rsidR="00584EBA" w:rsidRPr="00584EBA" w:rsidRDefault="00584EBA" w:rsidP="00584EBA">
      <w:pPr>
        <w:tabs>
          <w:tab w:val="left" w:pos="5400"/>
        </w:tabs>
      </w:pPr>
      <w:r w:rsidRPr="00584EBA">
        <w:t xml:space="preserve">Policing Together will action engagement with these communities via the national Equality, Diversity and Inclusion SPOC`s network who will in turn feedback to the national team on levels of ongoing engagement.  </w:t>
      </w:r>
    </w:p>
    <w:p w14:paraId="34BDABB8" w14:textId="01187F1E" w:rsidR="00255F1E" w:rsidRPr="00B11A55" w:rsidRDefault="00584EBA" w:rsidP="00793DD5">
      <w:pPr>
        <w:tabs>
          <w:tab w:val="left" w:pos="5400"/>
        </w:tabs>
      </w:pPr>
      <w:r w:rsidRPr="00584EBA">
        <w:t>This is not to be detrimental to any local engagement or with other communities based on local need but designed to address the needs and concerns of communities based on the above factors.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91419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5546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5BEC2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6EC7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2E9A0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ACB83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8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519D"/>
    <w:multiLevelType w:val="hybridMultilevel"/>
    <w:tmpl w:val="6818D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012528"/>
    <w:multiLevelType w:val="hybridMultilevel"/>
    <w:tmpl w:val="C038D1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F55420"/>
    <w:multiLevelType w:val="hybridMultilevel"/>
    <w:tmpl w:val="1380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5545566">
    <w:abstractNumId w:val="1"/>
  </w:num>
  <w:num w:numId="3" w16cid:durableId="484204776">
    <w:abstractNumId w:val="0"/>
  </w:num>
  <w:num w:numId="4" w16cid:durableId="689646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4E7D"/>
    <w:rsid w:val="000B0F1B"/>
    <w:rsid w:val="000E2F19"/>
    <w:rsid w:val="000E6526"/>
    <w:rsid w:val="000F4DA7"/>
    <w:rsid w:val="00131985"/>
    <w:rsid w:val="00141533"/>
    <w:rsid w:val="00151DD0"/>
    <w:rsid w:val="00167528"/>
    <w:rsid w:val="00195CC4"/>
    <w:rsid w:val="001D14B3"/>
    <w:rsid w:val="00207326"/>
    <w:rsid w:val="00253DF6"/>
    <w:rsid w:val="00255F1E"/>
    <w:rsid w:val="002C7CC5"/>
    <w:rsid w:val="002F5274"/>
    <w:rsid w:val="0033213A"/>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84EBA"/>
    <w:rsid w:val="005B25C1"/>
    <w:rsid w:val="0063382D"/>
    <w:rsid w:val="006362CB"/>
    <w:rsid w:val="00645CFA"/>
    <w:rsid w:val="00685219"/>
    <w:rsid w:val="006B0EF0"/>
    <w:rsid w:val="006D5799"/>
    <w:rsid w:val="007016B1"/>
    <w:rsid w:val="00705C01"/>
    <w:rsid w:val="00741285"/>
    <w:rsid w:val="007440EA"/>
    <w:rsid w:val="00750D83"/>
    <w:rsid w:val="00785DBC"/>
    <w:rsid w:val="00793DD5"/>
    <w:rsid w:val="007D55F6"/>
    <w:rsid w:val="007F490F"/>
    <w:rsid w:val="00823637"/>
    <w:rsid w:val="00854A15"/>
    <w:rsid w:val="0086779C"/>
    <w:rsid w:val="00874BFD"/>
    <w:rsid w:val="008964EF"/>
    <w:rsid w:val="008A2277"/>
    <w:rsid w:val="009041A0"/>
    <w:rsid w:val="00915E01"/>
    <w:rsid w:val="009631A4"/>
    <w:rsid w:val="00975E8D"/>
    <w:rsid w:val="00977296"/>
    <w:rsid w:val="009A4DAB"/>
    <w:rsid w:val="009C2852"/>
    <w:rsid w:val="009C5925"/>
    <w:rsid w:val="00A04A7E"/>
    <w:rsid w:val="00A25E93"/>
    <w:rsid w:val="00A320FF"/>
    <w:rsid w:val="00A36CE4"/>
    <w:rsid w:val="00A4486C"/>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7CA2"/>
    <w:rsid w:val="00CF1111"/>
    <w:rsid w:val="00D05706"/>
    <w:rsid w:val="00D27DC5"/>
    <w:rsid w:val="00D47E36"/>
    <w:rsid w:val="00D928CD"/>
    <w:rsid w:val="00DA1167"/>
    <w:rsid w:val="00DC3918"/>
    <w:rsid w:val="00DD4F88"/>
    <w:rsid w:val="00DF3689"/>
    <w:rsid w:val="00E25AB4"/>
    <w:rsid w:val="00E366D4"/>
    <w:rsid w:val="00E371FB"/>
    <w:rsid w:val="00E55D79"/>
    <w:rsid w:val="00ED3D2F"/>
    <w:rsid w:val="00EE2373"/>
    <w:rsid w:val="00EF0FBB"/>
    <w:rsid w:val="00EF4761"/>
    <w:rsid w:val="00F54FB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84EBA"/>
    <w:rPr>
      <w:color w:val="605E5C"/>
      <w:shd w:val="clear" w:color="auto" w:fill="E1DFDD"/>
    </w:rPr>
  </w:style>
  <w:style w:type="character" w:styleId="FollowedHyperlink">
    <w:name w:val="FollowedHyperlink"/>
    <w:basedOn w:val="DefaultParagraphFont"/>
    <w:uiPriority w:val="99"/>
    <w:semiHidden/>
    <w:unhideWhenUsed/>
    <w:rsid w:val="00584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6297">
      <w:bodyDiv w:val="1"/>
      <w:marLeft w:val="0"/>
      <w:marRight w:val="0"/>
      <w:marTop w:val="0"/>
      <w:marBottom w:val="0"/>
      <w:divBdr>
        <w:top w:val="none" w:sz="0" w:space="0" w:color="auto"/>
        <w:left w:val="none" w:sz="0" w:space="0" w:color="auto"/>
        <w:bottom w:val="none" w:sz="0" w:space="0" w:color="auto"/>
        <w:right w:val="none" w:sz="0" w:space="0" w:color="auto"/>
      </w:divBdr>
    </w:div>
    <w:div w:id="699548201">
      <w:bodyDiv w:val="1"/>
      <w:marLeft w:val="0"/>
      <w:marRight w:val="0"/>
      <w:marTop w:val="0"/>
      <w:marBottom w:val="0"/>
      <w:divBdr>
        <w:top w:val="none" w:sz="0" w:space="0" w:color="auto"/>
        <w:left w:val="none" w:sz="0" w:space="0" w:color="auto"/>
        <w:bottom w:val="none" w:sz="0" w:space="0" w:color="auto"/>
        <w:right w:val="none" w:sz="0" w:space="0" w:color="auto"/>
      </w:divBdr>
    </w:div>
    <w:div w:id="737440037">
      <w:bodyDiv w:val="1"/>
      <w:marLeft w:val="0"/>
      <w:marRight w:val="0"/>
      <w:marTop w:val="0"/>
      <w:marBottom w:val="0"/>
      <w:divBdr>
        <w:top w:val="none" w:sz="0" w:space="0" w:color="auto"/>
        <w:left w:val="none" w:sz="0" w:space="0" w:color="auto"/>
        <w:bottom w:val="none" w:sz="0" w:space="0" w:color="auto"/>
        <w:right w:val="none" w:sz="0" w:space="0" w:color="auto"/>
      </w:divBdr>
    </w:div>
    <w:div w:id="1100760134">
      <w:bodyDiv w:val="1"/>
      <w:marLeft w:val="0"/>
      <w:marRight w:val="0"/>
      <w:marTop w:val="0"/>
      <w:marBottom w:val="0"/>
      <w:divBdr>
        <w:top w:val="none" w:sz="0" w:space="0" w:color="auto"/>
        <w:left w:val="none" w:sz="0" w:space="0" w:color="auto"/>
        <w:bottom w:val="none" w:sz="0" w:space="0" w:color="auto"/>
        <w:right w:val="none" w:sz="0" w:space="0" w:color="auto"/>
      </w:divBdr>
    </w:div>
    <w:div w:id="1115443676">
      <w:bodyDiv w:val="1"/>
      <w:marLeft w:val="0"/>
      <w:marRight w:val="0"/>
      <w:marTop w:val="0"/>
      <w:marBottom w:val="0"/>
      <w:divBdr>
        <w:top w:val="none" w:sz="0" w:space="0" w:color="auto"/>
        <w:left w:val="none" w:sz="0" w:space="0" w:color="auto"/>
        <w:bottom w:val="none" w:sz="0" w:space="0" w:color="auto"/>
        <w:right w:val="none" w:sz="0" w:space="0" w:color="auto"/>
      </w:divBdr>
    </w:div>
    <w:div w:id="1202328540">
      <w:bodyDiv w:val="1"/>
      <w:marLeft w:val="0"/>
      <w:marRight w:val="0"/>
      <w:marTop w:val="0"/>
      <w:marBottom w:val="0"/>
      <w:divBdr>
        <w:top w:val="none" w:sz="0" w:space="0" w:color="auto"/>
        <w:left w:val="none" w:sz="0" w:space="0" w:color="auto"/>
        <w:bottom w:val="none" w:sz="0" w:space="0" w:color="auto"/>
        <w:right w:val="none" w:sz="0" w:space="0" w:color="auto"/>
      </w:divBdr>
    </w:div>
    <w:div w:id="1214390833">
      <w:bodyDiv w:val="1"/>
      <w:marLeft w:val="0"/>
      <w:marRight w:val="0"/>
      <w:marTop w:val="0"/>
      <w:marBottom w:val="0"/>
      <w:divBdr>
        <w:top w:val="none" w:sz="0" w:space="0" w:color="auto"/>
        <w:left w:val="none" w:sz="0" w:space="0" w:color="auto"/>
        <w:bottom w:val="none" w:sz="0" w:space="0" w:color="auto"/>
        <w:right w:val="none" w:sz="0" w:space="0" w:color="auto"/>
      </w:divBdr>
    </w:div>
    <w:div w:id="1669215592">
      <w:bodyDiv w:val="1"/>
      <w:marLeft w:val="0"/>
      <w:marRight w:val="0"/>
      <w:marTop w:val="0"/>
      <w:marBottom w:val="0"/>
      <w:divBdr>
        <w:top w:val="none" w:sz="0" w:space="0" w:color="auto"/>
        <w:left w:val="none" w:sz="0" w:space="0" w:color="auto"/>
        <w:bottom w:val="none" w:sz="0" w:space="0" w:color="auto"/>
        <w:right w:val="none" w:sz="0" w:space="0" w:color="auto"/>
      </w:divBdr>
    </w:div>
    <w:div w:id="1847598376">
      <w:bodyDiv w:val="1"/>
      <w:marLeft w:val="0"/>
      <w:marRight w:val="0"/>
      <w:marTop w:val="0"/>
      <w:marBottom w:val="0"/>
      <w:divBdr>
        <w:top w:val="none" w:sz="0" w:space="0" w:color="auto"/>
        <w:left w:val="none" w:sz="0" w:space="0" w:color="auto"/>
        <w:bottom w:val="none" w:sz="0" w:space="0" w:color="auto"/>
        <w:right w:val="none" w:sz="0" w:space="0" w:color="auto"/>
      </w:divBdr>
    </w:div>
    <w:div w:id="1850748866">
      <w:bodyDiv w:val="1"/>
      <w:marLeft w:val="0"/>
      <w:marRight w:val="0"/>
      <w:marTop w:val="0"/>
      <w:marBottom w:val="0"/>
      <w:divBdr>
        <w:top w:val="none" w:sz="0" w:space="0" w:color="auto"/>
        <w:left w:val="none" w:sz="0" w:space="0" w:color="auto"/>
        <w:bottom w:val="none" w:sz="0" w:space="0" w:color="auto"/>
        <w:right w:val="none" w:sz="0" w:space="0" w:color="auto"/>
      </w:divBdr>
    </w:div>
    <w:div w:id="20640580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rfwdhysd/responding-to-hate-psos-sop-publication-scheme.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wwcamlx/crime-investigation-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0e32d40b-a8f5-4c24-a46b-b72b5f0b9b52"/>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1074</Words>
  <Characters>6125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2025-06-06T07:02:00Z</cp:lastPrinted>
  <dcterms:created xsi:type="dcterms:W3CDTF">2024-01-26T13:56:00Z</dcterms:created>
  <dcterms:modified xsi:type="dcterms:W3CDTF">2025-06-06T07:14:00Z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