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FA10DA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062BC">
              <w:t>1995</w:t>
            </w:r>
          </w:p>
          <w:p w14:paraId="34BDABA6" w14:textId="41C3265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</w:t>
            </w:r>
            <w:r w:rsidR="00201BD0">
              <w:t>11</w:t>
            </w:r>
            <w:r w:rsidR="00201BD0" w:rsidRPr="00201BD0">
              <w:rPr>
                <w:vertAlign w:val="superscript"/>
              </w:rPr>
              <w:t>th</w:t>
            </w:r>
            <w:r w:rsidR="00201BD0">
              <w:t xml:space="preserve">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2B720B1" w14:textId="33C9E7AD" w:rsidR="00FF3477" w:rsidRPr="00FF3477" w:rsidRDefault="00FF3477" w:rsidP="00FF3477">
      <w:pPr>
        <w:pStyle w:val="Heading2"/>
      </w:pPr>
      <w:r w:rsidRPr="00FF3477">
        <w:t>Can you please tell me, of all those who police officers who received a promotion in the last five years:</w:t>
      </w:r>
    </w:p>
    <w:p w14:paraId="266E034A" w14:textId="77777777" w:rsidR="00FF3477" w:rsidRPr="00FF3477" w:rsidRDefault="00FF3477" w:rsidP="00FF3477">
      <w:pPr>
        <w:pStyle w:val="Heading2"/>
      </w:pPr>
      <w:r w:rsidRPr="00FF3477">
        <w:t>a) what the average score was at the most recent point of measurement on aptitude tests, as broken down by (1) sex and (2) ethnicity?</w:t>
      </w:r>
    </w:p>
    <w:p w14:paraId="5FE4435E" w14:textId="5A4A4F6A" w:rsidR="00EF4CA8" w:rsidRDefault="00EF4CA8" w:rsidP="00EF4CA8">
      <w:pPr>
        <w:jc w:val="both"/>
      </w:pPr>
      <w:r>
        <w:t>Unfortunately,</w:t>
      </w:r>
      <w:r w:rsidRPr="00453F0A">
        <w:t xml:space="preserve"> I</w:t>
      </w:r>
      <w:r>
        <w:t xml:space="preserve"> regret to inform you that I</w:t>
      </w:r>
      <w:r w:rsidRPr="00453F0A">
        <w:t xml:space="preserve"> estimate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0333EB8E" w14:textId="77777777" w:rsidR="00AE0E39" w:rsidRDefault="00EF4CA8" w:rsidP="00AE0E39">
      <w:pPr>
        <w:pStyle w:val="Heading2"/>
        <w:jc w:val="both"/>
        <w:rPr>
          <w:b w:val="0"/>
          <w:bCs/>
        </w:rPr>
      </w:pPr>
      <w:r w:rsidRPr="00AE0E39">
        <w:rPr>
          <w:b w:val="0"/>
          <w:bCs/>
        </w:rPr>
        <w:t>By way of explanation, whilst</w:t>
      </w:r>
      <w:r w:rsidR="005A11F1" w:rsidRPr="00AE0E39">
        <w:rPr>
          <w:b w:val="0"/>
          <w:bCs/>
        </w:rPr>
        <w:t xml:space="preserve"> our</w:t>
      </w:r>
      <w:r w:rsidRPr="00AE0E39">
        <w:rPr>
          <w:b w:val="0"/>
          <w:bCs/>
        </w:rPr>
        <w:t xml:space="preserve"> Promotions team do record individual aptitude scores, they do </w:t>
      </w:r>
      <w:r w:rsidRPr="00AE0E39">
        <w:rPr>
          <w:b w:val="0"/>
          <w:bCs/>
          <w:i/>
          <w:iCs/>
        </w:rPr>
        <w:t>not</w:t>
      </w:r>
      <w:r w:rsidRPr="00AE0E39">
        <w:rPr>
          <w:b w:val="0"/>
          <w:bCs/>
        </w:rPr>
        <w:t xml:space="preserve"> hold a compiled average</w:t>
      </w:r>
      <w:r w:rsidR="00AE0E39" w:rsidRPr="00AE0E39">
        <w:rPr>
          <w:b w:val="0"/>
          <w:bCs/>
        </w:rPr>
        <w:t xml:space="preserve">, broken down by either sex or ethnicity. </w:t>
      </w:r>
    </w:p>
    <w:p w14:paraId="2E48B3FB" w14:textId="5FA61CB9" w:rsidR="00AE0E39" w:rsidRPr="005106E7" w:rsidRDefault="005A11F1" w:rsidP="00AE0E39">
      <w:pPr>
        <w:pStyle w:val="Heading2"/>
        <w:jc w:val="both"/>
        <w:rPr>
          <w:b w:val="0"/>
          <w:bCs/>
        </w:rPr>
      </w:pPr>
      <w:r w:rsidRPr="00AE0E39">
        <w:rPr>
          <w:b w:val="0"/>
          <w:bCs/>
        </w:rPr>
        <w:t>The scoring framework has varied over the last five years</w:t>
      </w:r>
      <w:r w:rsidR="00AE0E39">
        <w:rPr>
          <w:b w:val="0"/>
          <w:bCs/>
        </w:rPr>
        <w:t xml:space="preserve">, therefore scores have </w:t>
      </w:r>
      <w:r w:rsidR="00AE0E39" w:rsidRPr="00A50244">
        <w:rPr>
          <w:b w:val="0"/>
          <w:bCs/>
        </w:rPr>
        <w:t>not</w:t>
      </w:r>
      <w:r w:rsidR="00AE0E39">
        <w:rPr>
          <w:b w:val="0"/>
          <w:bCs/>
          <w:i/>
          <w:iCs/>
        </w:rPr>
        <w:t xml:space="preserve"> </w:t>
      </w:r>
      <w:r w:rsidR="00AE0E39">
        <w:rPr>
          <w:b w:val="0"/>
          <w:bCs/>
        </w:rPr>
        <w:t xml:space="preserve">been </w:t>
      </w:r>
      <w:r w:rsidR="00AE0E39" w:rsidRPr="005106E7">
        <w:rPr>
          <w:b w:val="0"/>
          <w:bCs/>
        </w:rPr>
        <w:t xml:space="preserve">recorded </w:t>
      </w:r>
      <w:r w:rsidR="005106E7">
        <w:rPr>
          <w:b w:val="0"/>
          <w:bCs/>
        </w:rPr>
        <w:t xml:space="preserve">nor reported </w:t>
      </w:r>
      <w:r w:rsidR="00AE0E39" w:rsidRPr="005106E7">
        <w:rPr>
          <w:b w:val="0"/>
          <w:bCs/>
        </w:rPr>
        <w:t xml:space="preserve">in a consistent format which would allow for meaningful comparison. </w:t>
      </w:r>
    </w:p>
    <w:p w14:paraId="67779178" w14:textId="2A7D6749" w:rsidR="003925D0" w:rsidRPr="005106E7" w:rsidRDefault="003925D0" w:rsidP="005106E7">
      <w:pPr>
        <w:pStyle w:val="Heading2"/>
        <w:jc w:val="both"/>
        <w:rPr>
          <w:b w:val="0"/>
          <w:bCs/>
        </w:rPr>
      </w:pPr>
      <w:r w:rsidRPr="005106E7">
        <w:rPr>
          <w:b w:val="0"/>
          <w:bCs/>
        </w:rPr>
        <w:t xml:space="preserve">Thus, the only way to provide an accurate response to your request would be to manually review and calculate each individual </w:t>
      </w:r>
      <w:r w:rsidR="005106E7" w:rsidRPr="005106E7">
        <w:rPr>
          <w:b w:val="0"/>
          <w:bCs/>
        </w:rPr>
        <w:t xml:space="preserve">set of </w:t>
      </w:r>
      <w:r w:rsidRPr="005106E7">
        <w:rPr>
          <w:b w:val="0"/>
          <w:bCs/>
        </w:rPr>
        <w:t xml:space="preserve">assessment results; given the significant volume of results that would be required to be read through for the five-year period </w:t>
      </w:r>
      <w:r w:rsidR="005106E7">
        <w:rPr>
          <w:b w:val="0"/>
          <w:bCs/>
        </w:rPr>
        <w:t>specified</w:t>
      </w:r>
      <w:r w:rsidRPr="005106E7">
        <w:rPr>
          <w:b w:val="0"/>
          <w:bCs/>
        </w:rPr>
        <w:t xml:space="preserve">, this exercise would far exceed the cost limit set out in the Fees Regulations. </w:t>
      </w:r>
    </w:p>
    <w:p w14:paraId="2A321F37" w14:textId="77777777" w:rsidR="00EF4CA8" w:rsidRPr="00EF4CA8" w:rsidRDefault="00EF4CA8" w:rsidP="00EF4CA8"/>
    <w:p w14:paraId="1EB69C8D" w14:textId="376FEEC3" w:rsidR="00FF3477" w:rsidRDefault="00FF3477" w:rsidP="00FF3477">
      <w:pPr>
        <w:pStyle w:val="Heading2"/>
      </w:pPr>
      <w:r w:rsidRPr="00FF3477">
        <w:t>b) what the average years of employment was</w:t>
      </w:r>
      <w:r w:rsidR="00235E6A">
        <w:t xml:space="preserve"> </w:t>
      </w:r>
      <w:r w:rsidR="005A11F1">
        <w:t>[</w:t>
      </w:r>
      <w:r w:rsidR="00235E6A">
        <w:t>at the point of promotion</w:t>
      </w:r>
      <w:r w:rsidR="005A11F1">
        <w:t>]</w:t>
      </w:r>
      <w:r w:rsidRPr="00FF3477">
        <w:t>, also by (1) sex and (2) ethnicity?</w:t>
      </w:r>
    </w:p>
    <w:p w14:paraId="412D3AF6" w14:textId="146DA4C4" w:rsidR="00CC4FD2" w:rsidRDefault="00CC4FD2" w:rsidP="00CC4FD2">
      <w:r>
        <w:t xml:space="preserve">First and foremost, please note that the average length of service has been calculated regardless of rank for all promotions during the five-year requested reporting periods. </w:t>
      </w:r>
    </w:p>
    <w:p w14:paraId="12AF3715" w14:textId="04EF9FEE" w:rsidR="00CC4FD2" w:rsidRDefault="00CC4FD2" w:rsidP="00CC4FD2">
      <w:r>
        <w:t xml:space="preserve">The promotions for the reporting period 01/04/2024 to 31/03/2025 are currently being analysed as part of the 2024/2025 Employment Monitoring Report and are therefore not yet available. </w:t>
      </w:r>
    </w:p>
    <w:p w14:paraId="1BA0EEF0" w14:textId="77D70E0D" w:rsidR="00B54A8C" w:rsidRDefault="00B54A8C" w:rsidP="00B54A8C">
      <w:r>
        <w:lastRenderedPageBreak/>
        <w:t xml:space="preserve">For additional insight into length of service by each of the protected characteristics, you may also wish to refer to the </w:t>
      </w:r>
      <w:r w:rsidRPr="00CC658F">
        <w:t>Equality and Diversity Employment Monitoring Reports</w:t>
      </w:r>
      <w:r w:rsidRPr="00B54A8C">
        <w:t xml:space="preserve"> </w:t>
      </w:r>
      <w:r w:rsidRPr="00CC658F">
        <w:t xml:space="preserve">for the years </w:t>
      </w:r>
      <w:hyperlink r:id="rId11" w:history="1">
        <w:r w:rsidRPr="00CC658F">
          <w:rPr>
            <w:rStyle w:val="Hyperlink"/>
          </w:rPr>
          <w:t>2024</w:t>
        </w:r>
      </w:hyperlink>
      <w:r w:rsidRPr="00CC658F">
        <w:t xml:space="preserve">, </w:t>
      </w:r>
      <w:hyperlink r:id="rId12" w:history="1">
        <w:r w:rsidRPr="00CC658F">
          <w:rPr>
            <w:rStyle w:val="Hyperlink"/>
          </w:rPr>
          <w:t>2022</w:t>
        </w:r>
      </w:hyperlink>
      <w:r w:rsidRPr="00CC658F">
        <w:t xml:space="preserve"> and </w:t>
      </w:r>
      <w:hyperlink r:id="rId13" w:history="1">
        <w:r w:rsidRPr="00CC658F">
          <w:rPr>
            <w:rStyle w:val="Hyperlink"/>
          </w:rPr>
          <w:t>2020</w:t>
        </w:r>
      </w:hyperlink>
      <w:r>
        <w:t xml:space="preserve"> </w:t>
      </w:r>
      <w:r w:rsidRPr="00CC658F">
        <w:t>on the Police Scotland Website</w:t>
      </w:r>
      <w:r>
        <w:t xml:space="preserve"> (</w:t>
      </w:r>
      <w:hyperlink r:id="rId14" w:history="1">
        <w:r>
          <w:rPr>
            <w:rStyle w:val="Hyperlink"/>
          </w:rPr>
          <w:t>Strategic Planning - Police Scotland</w:t>
        </w:r>
      </w:hyperlink>
      <w:r>
        <w:t xml:space="preserve">). </w:t>
      </w:r>
    </w:p>
    <w:p w14:paraId="2BA4FD24" w14:textId="76CE5D03" w:rsidR="00AB621C" w:rsidRDefault="00F56896" w:rsidP="00AB621C">
      <w:r>
        <w:t xml:space="preserve">The </w:t>
      </w:r>
      <w:r w:rsidR="00B54A8C">
        <w:t xml:space="preserve">first </w:t>
      </w:r>
      <w:r>
        <w:t>table below details the average years of employment at the point of promotion</w:t>
      </w:r>
      <w:r w:rsidR="00CC4FD2">
        <w:t xml:space="preserve"> (temporary and substantive)</w:t>
      </w:r>
      <w:r w:rsidR="000114CF">
        <w:t>,</w:t>
      </w:r>
      <w:r>
        <w:t xml:space="preserve"> for</w:t>
      </w:r>
      <w:r w:rsidR="00B54A8C">
        <w:t xml:space="preserve"> all</w:t>
      </w:r>
      <w:r>
        <w:t xml:space="preserve"> police officers broken down by sex</w:t>
      </w:r>
      <w:r w:rsidR="000114CF">
        <w:t>,</w:t>
      </w:r>
      <w:r>
        <w:t xml:space="preserve"> over the last five years</w:t>
      </w:r>
      <w:r w:rsidR="00EF5782">
        <w:t>, inclusive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0"/>
        <w:gridCol w:w="2218"/>
        <w:gridCol w:w="2246"/>
        <w:gridCol w:w="2244"/>
      </w:tblGrid>
      <w:tr w:rsidR="00F56896" w14:paraId="6D0CCC48" w14:textId="77777777" w:rsidTr="00E95F5C">
        <w:tc>
          <w:tcPr>
            <w:tcW w:w="3121" w:type="dxa"/>
            <w:shd w:val="clear" w:color="auto" w:fill="D9D9D9" w:themeFill="background1" w:themeFillShade="D9"/>
          </w:tcPr>
          <w:p w14:paraId="382C9096" w14:textId="7F0AE79A" w:rsidR="00F56896" w:rsidRPr="00F56896" w:rsidRDefault="00F56896" w:rsidP="000114CF">
            <w:pPr>
              <w:spacing w:line="240" w:lineRule="auto"/>
              <w:jc w:val="center"/>
              <w:rPr>
                <w:b/>
                <w:bCs/>
              </w:rPr>
            </w:pPr>
            <w:r w:rsidRPr="00F56896">
              <w:rPr>
                <w:b/>
                <w:bCs/>
              </w:rPr>
              <w:t>Reporting Period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20B39F8A" w14:textId="774923F6" w:rsidR="00F56896" w:rsidRPr="00F56896" w:rsidRDefault="00F56896" w:rsidP="000114CF">
            <w:pPr>
              <w:spacing w:line="240" w:lineRule="auto"/>
              <w:jc w:val="center"/>
              <w:rPr>
                <w:b/>
                <w:bCs/>
              </w:rPr>
            </w:pPr>
            <w:r w:rsidRPr="00F56896">
              <w:rPr>
                <w:b/>
                <w:bCs/>
              </w:rPr>
              <w:t>Male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25FC2AD4" w14:textId="64CD101E" w:rsidR="00F56896" w:rsidRPr="00F56896" w:rsidRDefault="00F56896" w:rsidP="000114CF">
            <w:pPr>
              <w:spacing w:line="240" w:lineRule="auto"/>
              <w:jc w:val="center"/>
              <w:rPr>
                <w:b/>
                <w:bCs/>
              </w:rPr>
            </w:pPr>
            <w:r w:rsidRPr="00F56896">
              <w:rPr>
                <w:b/>
                <w:bCs/>
              </w:rPr>
              <w:t>Female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5603DB9C" w14:textId="048A16A7" w:rsidR="00F56896" w:rsidRPr="00F56896" w:rsidRDefault="00F56896" w:rsidP="000114CF">
            <w:pPr>
              <w:spacing w:line="240" w:lineRule="auto"/>
              <w:jc w:val="center"/>
              <w:rPr>
                <w:b/>
                <w:bCs/>
              </w:rPr>
            </w:pPr>
            <w:r w:rsidRPr="00F56896">
              <w:rPr>
                <w:b/>
                <w:bCs/>
              </w:rPr>
              <w:t>Overall</w:t>
            </w:r>
          </w:p>
        </w:tc>
      </w:tr>
      <w:tr w:rsidR="00B54A8C" w14:paraId="6A4CB305" w14:textId="77777777" w:rsidTr="00E95F5C">
        <w:tc>
          <w:tcPr>
            <w:tcW w:w="3121" w:type="dxa"/>
          </w:tcPr>
          <w:p w14:paraId="1F05D37B" w14:textId="454874D3" w:rsidR="00B54A8C" w:rsidRDefault="00B54A8C" w:rsidP="000114CF">
            <w:pPr>
              <w:spacing w:line="240" w:lineRule="auto"/>
              <w:jc w:val="center"/>
            </w:pPr>
            <w:r>
              <w:t>01/04/2023 - 31/03/2024</w:t>
            </w:r>
          </w:p>
        </w:tc>
        <w:tc>
          <w:tcPr>
            <w:tcW w:w="2407" w:type="dxa"/>
          </w:tcPr>
          <w:p w14:paraId="3D8EC9C2" w14:textId="30FD9EFA" w:rsidR="00B54A8C" w:rsidRDefault="00B54A8C" w:rsidP="000114CF">
            <w:pPr>
              <w:spacing w:line="240" w:lineRule="auto"/>
              <w:jc w:val="right"/>
            </w:pPr>
            <w:r>
              <w:t>17 years</w:t>
            </w:r>
          </w:p>
        </w:tc>
        <w:tc>
          <w:tcPr>
            <w:tcW w:w="2407" w:type="dxa"/>
          </w:tcPr>
          <w:p w14:paraId="29DEFA89" w14:textId="0CC89B3D" w:rsidR="00B54A8C" w:rsidRDefault="00B54A8C" w:rsidP="000114CF">
            <w:pPr>
              <w:spacing w:line="240" w:lineRule="auto"/>
              <w:jc w:val="right"/>
            </w:pPr>
            <w:r>
              <w:t>17 years</w:t>
            </w:r>
          </w:p>
        </w:tc>
        <w:tc>
          <w:tcPr>
            <w:tcW w:w="2407" w:type="dxa"/>
          </w:tcPr>
          <w:p w14:paraId="6A3E1230" w14:textId="06F83267" w:rsidR="00B54A8C" w:rsidRDefault="00B54A8C" w:rsidP="000114CF">
            <w:pPr>
              <w:spacing w:line="240" w:lineRule="auto"/>
              <w:jc w:val="right"/>
            </w:pPr>
            <w:r>
              <w:t>17 years</w:t>
            </w:r>
          </w:p>
        </w:tc>
      </w:tr>
      <w:tr w:rsidR="00B54A8C" w14:paraId="47BA0D98" w14:textId="77777777" w:rsidTr="00E95F5C">
        <w:tc>
          <w:tcPr>
            <w:tcW w:w="3121" w:type="dxa"/>
          </w:tcPr>
          <w:p w14:paraId="1B7CC320" w14:textId="0478D59F" w:rsidR="00B54A8C" w:rsidRDefault="00B54A8C" w:rsidP="000114CF">
            <w:pPr>
              <w:spacing w:line="240" w:lineRule="auto"/>
              <w:jc w:val="center"/>
            </w:pPr>
            <w:r>
              <w:t>01/04/2022 - 31/03/2023</w:t>
            </w:r>
          </w:p>
        </w:tc>
        <w:tc>
          <w:tcPr>
            <w:tcW w:w="2407" w:type="dxa"/>
          </w:tcPr>
          <w:p w14:paraId="1C566337" w14:textId="26FD2AB1" w:rsidR="00B54A8C" w:rsidRDefault="00B54A8C" w:rsidP="000114CF">
            <w:pPr>
              <w:spacing w:line="240" w:lineRule="auto"/>
              <w:jc w:val="right"/>
            </w:pPr>
            <w:r>
              <w:t>17 years</w:t>
            </w:r>
          </w:p>
        </w:tc>
        <w:tc>
          <w:tcPr>
            <w:tcW w:w="2407" w:type="dxa"/>
          </w:tcPr>
          <w:p w14:paraId="3928FE7C" w14:textId="595B84C4" w:rsidR="00B54A8C" w:rsidRDefault="00B54A8C" w:rsidP="000114CF">
            <w:pPr>
              <w:spacing w:line="240" w:lineRule="auto"/>
              <w:jc w:val="right"/>
            </w:pPr>
            <w:r>
              <w:t>17 years</w:t>
            </w:r>
          </w:p>
        </w:tc>
        <w:tc>
          <w:tcPr>
            <w:tcW w:w="2407" w:type="dxa"/>
          </w:tcPr>
          <w:p w14:paraId="74B7BC27" w14:textId="27014373" w:rsidR="00B54A8C" w:rsidRDefault="00B54A8C" w:rsidP="000114CF">
            <w:pPr>
              <w:spacing w:line="240" w:lineRule="auto"/>
              <w:jc w:val="right"/>
            </w:pPr>
            <w:r>
              <w:t>17 years</w:t>
            </w:r>
          </w:p>
        </w:tc>
      </w:tr>
      <w:tr w:rsidR="008B084B" w14:paraId="5C28C8C3" w14:textId="77777777" w:rsidTr="00E95F5C">
        <w:tc>
          <w:tcPr>
            <w:tcW w:w="3121" w:type="dxa"/>
          </w:tcPr>
          <w:p w14:paraId="47A84993" w14:textId="26FCC218" w:rsidR="008B084B" w:rsidRDefault="008B084B" w:rsidP="000114CF">
            <w:pPr>
              <w:spacing w:line="240" w:lineRule="auto"/>
              <w:jc w:val="center"/>
            </w:pPr>
            <w:r>
              <w:t>01/04/2021 - 31/03/2022</w:t>
            </w:r>
          </w:p>
        </w:tc>
        <w:tc>
          <w:tcPr>
            <w:tcW w:w="2407" w:type="dxa"/>
          </w:tcPr>
          <w:p w14:paraId="1E1B5F93" w14:textId="66C16590" w:rsidR="008B084B" w:rsidRDefault="008B084B" w:rsidP="000114CF">
            <w:pPr>
              <w:spacing w:line="240" w:lineRule="auto"/>
              <w:jc w:val="right"/>
            </w:pPr>
            <w:r>
              <w:t>17 years</w:t>
            </w:r>
          </w:p>
        </w:tc>
        <w:tc>
          <w:tcPr>
            <w:tcW w:w="2407" w:type="dxa"/>
          </w:tcPr>
          <w:p w14:paraId="1B2E55B5" w14:textId="246224DA" w:rsidR="008B084B" w:rsidRDefault="008B084B" w:rsidP="000114CF">
            <w:pPr>
              <w:spacing w:line="240" w:lineRule="auto"/>
              <w:jc w:val="right"/>
            </w:pPr>
            <w:r>
              <w:t>17 years</w:t>
            </w:r>
          </w:p>
        </w:tc>
        <w:tc>
          <w:tcPr>
            <w:tcW w:w="2407" w:type="dxa"/>
          </w:tcPr>
          <w:p w14:paraId="5B9AC948" w14:textId="642C7A03" w:rsidR="008B084B" w:rsidRDefault="008B084B" w:rsidP="000114CF">
            <w:pPr>
              <w:spacing w:line="240" w:lineRule="auto"/>
              <w:jc w:val="right"/>
            </w:pPr>
            <w:r>
              <w:t>17 years</w:t>
            </w:r>
          </w:p>
        </w:tc>
      </w:tr>
      <w:tr w:rsidR="008B084B" w14:paraId="10CC7D6A" w14:textId="77777777" w:rsidTr="00E95F5C">
        <w:tc>
          <w:tcPr>
            <w:tcW w:w="3121" w:type="dxa"/>
          </w:tcPr>
          <w:p w14:paraId="23AAD97A" w14:textId="56A79C44" w:rsidR="008B084B" w:rsidRDefault="008B084B" w:rsidP="000114CF">
            <w:pPr>
              <w:spacing w:line="240" w:lineRule="auto"/>
              <w:jc w:val="center"/>
            </w:pPr>
            <w:r>
              <w:t>01/04/2020 - 21/03/2021</w:t>
            </w:r>
          </w:p>
        </w:tc>
        <w:tc>
          <w:tcPr>
            <w:tcW w:w="2407" w:type="dxa"/>
          </w:tcPr>
          <w:p w14:paraId="6C65E1BA" w14:textId="16677F0F" w:rsidR="008B084B" w:rsidRDefault="008B084B" w:rsidP="000114CF">
            <w:pPr>
              <w:spacing w:line="240" w:lineRule="auto"/>
              <w:jc w:val="right"/>
            </w:pPr>
            <w:r>
              <w:t>16 years</w:t>
            </w:r>
          </w:p>
        </w:tc>
        <w:tc>
          <w:tcPr>
            <w:tcW w:w="2407" w:type="dxa"/>
          </w:tcPr>
          <w:p w14:paraId="1B91968E" w14:textId="6CAA9780" w:rsidR="008B084B" w:rsidRDefault="008B084B" w:rsidP="000114CF">
            <w:pPr>
              <w:spacing w:line="240" w:lineRule="auto"/>
              <w:jc w:val="right"/>
            </w:pPr>
            <w:r>
              <w:t>16 years</w:t>
            </w:r>
          </w:p>
        </w:tc>
        <w:tc>
          <w:tcPr>
            <w:tcW w:w="2407" w:type="dxa"/>
          </w:tcPr>
          <w:p w14:paraId="3B499456" w14:textId="7464728D" w:rsidR="008B084B" w:rsidRDefault="008B084B" w:rsidP="000114CF">
            <w:pPr>
              <w:spacing w:line="240" w:lineRule="auto"/>
              <w:jc w:val="right"/>
            </w:pPr>
            <w:r>
              <w:t>16 years</w:t>
            </w:r>
          </w:p>
        </w:tc>
      </w:tr>
      <w:tr w:rsidR="008B084B" w14:paraId="23BFF1DE" w14:textId="77777777" w:rsidTr="00E95F5C">
        <w:tc>
          <w:tcPr>
            <w:tcW w:w="3121" w:type="dxa"/>
          </w:tcPr>
          <w:p w14:paraId="67A07CAA" w14:textId="0CC70162" w:rsidR="008B084B" w:rsidRDefault="008B084B" w:rsidP="000114CF">
            <w:pPr>
              <w:spacing w:line="240" w:lineRule="auto"/>
              <w:jc w:val="center"/>
            </w:pPr>
            <w:r>
              <w:t>01/04/2019 - 31/03/2020</w:t>
            </w:r>
          </w:p>
        </w:tc>
        <w:tc>
          <w:tcPr>
            <w:tcW w:w="2407" w:type="dxa"/>
          </w:tcPr>
          <w:p w14:paraId="12DB775A" w14:textId="117B49E4" w:rsidR="008B084B" w:rsidRDefault="008B084B" w:rsidP="000114CF">
            <w:pPr>
              <w:spacing w:line="240" w:lineRule="auto"/>
              <w:jc w:val="right"/>
            </w:pPr>
            <w:r>
              <w:t>16 years</w:t>
            </w:r>
          </w:p>
        </w:tc>
        <w:tc>
          <w:tcPr>
            <w:tcW w:w="2407" w:type="dxa"/>
          </w:tcPr>
          <w:p w14:paraId="087E7943" w14:textId="26F52B4D" w:rsidR="008B084B" w:rsidRDefault="008B084B" w:rsidP="000114CF">
            <w:pPr>
              <w:spacing w:line="240" w:lineRule="auto"/>
              <w:jc w:val="right"/>
            </w:pPr>
            <w:r>
              <w:t>16 years</w:t>
            </w:r>
          </w:p>
        </w:tc>
        <w:tc>
          <w:tcPr>
            <w:tcW w:w="2407" w:type="dxa"/>
          </w:tcPr>
          <w:p w14:paraId="76FEB057" w14:textId="3BAD519E" w:rsidR="008B084B" w:rsidRDefault="008B084B" w:rsidP="000114CF">
            <w:pPr>
              <w:spacing w:line="240" w:lineRule="auto"/>
              <w:jc w:val="right"/>
            </w:pPr>
            <w:r>
              <w:t>16 years</w:t>
            </w:r>
          </w:p>
        </w:tc>
      </w:tr>
    </w:tbl>
    <w:p w14:paraId="7F4BA3BC" w14:textId="77777777" w:rsidR="00B54A8C" w:rsidRDefault="00B54A8C" w:rsidP="00AB621C"/>
    <w:p w14:paraId="7865D48E" w14:textId="7D1D5E89" w:rsidR="00F56896" w:rsidRDefault="00F56896" w:rsidP="00AB621C">
      <w:r>
        <w:t xml:space="preserve">The </w:t>
      </w:r>
      <w:r w:rsidR="00B54A8C">
        <w:t xml:space="preserve">second </w:t>
      </w:r>
      <w:r>
        <w:t xml:space="preserve">table </w:t>
      </w:r>
      <w:r w:rsidR="00CC4FD2">
        <w:t>at the bottom of the document</w:t>
      </w:r>
      <w:r>
        <w:t xml:space="preserve"> details the average years of employment at the point of promotion</w:t>
      </w:r>
      <w:r w:rsidR="00CC4FD2">
        <w:t xml:space="preserve"> (temporary and substantive)</w:t>
      </w:r>
      <w:r w:rsidR="000114CF">
        <w:t>,</w:t>
      </w:r>
      <w:r>
        <w:t xml:space="preserve"> for</w:t>
      </w:r>
      <w:r w:rsidR="00B54A8C">
        <w:t xml:space="preserve"> all</w:t>
      </w:r>
      <w:r>
        <w:t xml:space="preserve"> police officers broken down by ethnicity</w:t>
      </w:r>
      <w:r w:rsidR="000114CF">
        <w:t>,</w:t>
      </w:r>
      <w:r>
        <w:t xml:space="preserve"> over the last five years</w:t>
      </w:r>
      <w:r w:rsidR="00EF5782">
        <w:t>, inclusive.</w:t>
      </w:r>
    </w:p>
    <w:p w14:paraId="0E574813" w14:textId="52798DC8" w:rsidR="00F56896" w:rsidRPr="00F56896" w:rsidRDefault="00F56896" w:rsidP="00F56896">
      <w:r>
        <w:t xml:space="preserve">It is important to note that </w:t>
      </w:r>
      <w:r w:rsidRPr="00F56896">
        <w:t>the ethnic origin categories have been categorised in the following way due to some of them having very small numbers:</w:t>
      </w:r>
    </w:p>
    <w:p w14:paraId="0F35E340" w14:textId="77777777" w:rsidR="00EF5782" w:rsidRPr="00EF5782" w:rsidRDefault="00EF5782" w:rsidP="0079078E">
      <w:pPr>
        <w:numPr>
          <w:ilvl w:val="0"/>
          <w:numId w:val="3"/>
        </w:numPr>
      </w:pPr>
      <w:r w:rsidRPr="00EF5782">
        <w:rPr>
          <w:b/>
        </w:rPr>
        <w:t xml:space="preserve">BME - </w:t>
      </w:r>
      <w:r w:rsidRPr="00EF5782">
        <w:t xml:space="preserve">Mixed or Multiple Ethnic Group, Asian Pakistani, Asian Indian, Asian Bangladeshi, Asian Chinese, Asian Other, African, African Other, Caribbean, Black, Caribbean or Black Other, Arab and Other Ethnic Group. </w:t>
      </w:r>
    </w:p>
    <w:p w14:paraId="215BC267" w14:textId="77777777" w:rsidR="00EF5782" w:rsidRPr="00EF5782" w:rsidRDefault="00EF5782" w:rsidP="0079078E">
      <w:pPr>
        <w:numPr>
          <w:ilvl w:val="0"/>
          <w:numId w:val="3"/>
        </w:numPr>
      </w:pPr>
      <w:r w:rsidRPr="00EF5782">
        <w:rPr>
          <w:b/>
        </w:rPr>
        <w:t>White Minority</w:t>
      </w:r>
      <w:r w:rsidRPr="00EF5782">
        <w:t xml:space="preserve"> - White Irish, White Gypsy/Traveller, White Polish and White Other.</w:t>
      </w:r>
    </w:p>
    <w:p w14:paraId="30818179" w14:textId="6CE07C5F" w:rsidR="00F56896" w:rsidRDefault="00EF5782" w:rsidP="0079078E">
      <w:pPr>
        <w:numPr>
          <w:ilvl w:val="0"/>
          <w:numId w:val="3"/>
        </w:numPr>
      </w:pPr>
      <w:bookmarkStart w:id="0" w:name="_Toc394043181"/>
      <w:r w:rsidRPr="00EF5782">
        <w:rPr>
          <w:b/>
        </w:rPr>
        <w:t xml:space="preserve">All Other White British - </w:t>
      </w:r>
      <w:r w:rsidRPr="00EF5782">
        <w:t>White English, White Northern Irish, White Welsh and White Other British.</w:t>
      </w:r>
      <w:bookmarkEnd w:id="0"/>
    </w:p>
    <w:p w14:paraId="278A4F77" w14:textId="77777777" w:rsidR="00B54A8C" w:rsidRPr="00AB621C" w:rsidRDefault="00B54A8C" w:rsidP="00AB621C"/>
    <w:p w14:paraId="34BDABAA" w14:textId="10887A8A" w:rsidR="00496A08" w:rsidRDefault="00FF3477" w:rsidP="00235E6A">
      <w:pPr>
        <w:pStyle w:val="Heading2"/>
      </w:pPr>
      <w:r w:rsidRPr="00FF3477">
        <w:lastRenderedPageBreak/>
        <w:t>c) what the average number of arrests made was, also by (1) sex and (2) ethnicity?</w:t>
      </w:r>
    </w:p>
    <w:p w14:paraId="50D38FD0" w14:textId="48E732AF" w:rsidR="008C56BF" w:rsidRDefault="008C56BF" w:rsidP="008C56BF">
      <w:pPr>
        <w:jc w:val="both"/>
      </w:pPr>
      <w:r>
        <w:t>Unfortunately,</w:t>
      </w:r>
      <w:r w:rsidRPr="00453F0A">
        <w:t xml:space="preserve"> </w:t>
      </w:r>
      <w:r>
        <w:t>again I</w:t>
      </w:r>
      <w:r w:rsidRPr="00453F0A">
        <w:t xml:space="preserve"> estimate </w:t>
      </w:r>
      <w:r w:rsidR="007E3593">
        <w:t xml:space="preserve">that </w:t>
      </w:r>
      <w:r w:rsidRPr="00453F0A">
        <w:t>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17294729" w14:textId="30F6E2FA" w:rsidR="007E3593" w:rsidRDefault="008C56BF" w:rsidP="00235E6A">
      <w:pPr>
        <w:jc w:val="both"/>
      </w:pPr>
      <w:r>
        <w:t>To explain, the number of arrests made per officer is not a metric that is measured nor monitored by Police Scotland. Therefore, the only way to provide an accurate</w:t>
      </w:r>
      <w:r w:rsidR="001A5E03">
        <w:t xml:space="preserve"> </w:t>
      </w:r>
      <w:r>
        <w:t xml:space="preserve">response </w:t>
      </w:r>
      <w:r w:rsidR="001A5E03">
        <w:t xml:space="preserve">to your request for </w:t>
      </w:r>
      <w:r w:rsidR="007E3593">
        <w:t xml:space="preserve">an </w:t>
      </w:r>
      <w:r w:rsidR="001A5E03">
        <w:t>average number of arrests</w:t>
      </w:r>
      <w:r w:rsidR="007E3593">
        <w:t xml:space="preserve"> made</w:t>
      </w:r>
      <w:r w:rsidR="001A5E03">
        <w:t xml:space="preserve"> would be to </w:t>
      </w:r>
      <w:r w:rsidR="00B36587">
        <w:t xml:space="preserve">manually </w:t>
      </w:r>
      <w:r w:rsidR="001A5E03">
        <w:t>retrieve</w:t>
      </w:r>
      <w:r w:rsidR="00B36587">
        <w:t xml:space="preserve"> and review the notebooks of every single police officer </w:t>
      </w:r>
      <w:r w:rsidR="000C70DC">
        <w:t xml:space="preserve">who received a promotion </w:t>
      </w:r>
      <w:r w:rsidR="00B36587">
        <w:t xml:space="preserve">across Scotland over the five-year period specified. </w:t>
      </w:r>
    </w:p>
    <w:p w14:paraId="587A613D" w14:textId="7DE8F0E6" w:rsidR="00235E6A" w:rsidRDefault="00B36587" w:rsidP="00235E6A">
      <w:pPr>
        <w:jc w:val="both"/>
      </w:pPr>
      <w:r>
        <w:t>Given the volume of material that would be required to be read through</w:t>
      </w:r>
      <w:r w:rsidR="00B12920">
        <w:t xml:space="preserve"> and </w:t>
      </w:r>
      <w:r>
        <w:t xml:space="preserve">collated </w:t>
      </w:r>
      <w:r w:rsidR="00B12920">
        <w:t xml:space="preserve">to calculate </w:t>
      </w:r>
      <w:r w:rsidR="007E3593">
        <w:t xml:space="preserve">an overall average in the first instance, then </w:t>
      </w:r>
      <w:r w:rsidR="00B12920">
        <w:t xml:space="preserve">to calculate separate </w:t>
      </w:r>
      <w:r w:rsidR="007E3593">
        <w:t>average</w:t>
      </w:r>
      <w:r w:rsidR="00B12920">
        <w:t>s</w:t>
      </w:r>
      <w:r w:rsidR="007E3593">
        <w:t xml:space="preserve"> dependent upon officer sex and officer ethnicity, this exercise would thus </w:t>
      </w:r>
      <w:r>
        <w:t xml:space="preserve">far exceed the cost limit set out in the Fees Regulations. </w:t>
      </w:r>
      <w:r w:rsidR="00B12920">
        <w:t xml:space="preserve"> </w:t>
      </w:r>
    </w:p>
    <w:p w14:paraId="65B0A956" w14:textId="77777777" w:rsidR="00235E6A" w:rsidRDefault="00235E6A" w:rsidP="00235E6A">
      <w:pPr>
        <w:jc w:val="both"/>
      </w:pPr>
    </w:p>
    <w:p w14:paraId="692CD191" w14:textId="77777777" w:rsidR="00644FB9" w:rsidRPr="00B11A55" w:rsidRDefault="00644FB9" w:rsidP="00235E6A">
      <w:pPr>
        <w:jc w:val="both"/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6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7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8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131C7FA6" w:rsidR="007F490F" w:rsidRDefault="007F490F" w:rsidP="008C56B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0A8C6728" w14:textId="77777777" w:rsidR="00CC4FD2" w:rsidRDefault="00CC4FD2" w:rsidP="008C56BF">
      <w:pPr>
        <w:jc w:val="both"/>
      </w:pPr>
    </w:p>
    <w:p w14:paraId="7EA5DD40" w14:textId="77777777" w:rsidR="00CC4FD2" w:rsidRDefault="00CC4FD2" w:rsidP="008C56BF">
      <w:pPr>
        <w:jc w:val="both"/>
      </w:pPr>
    </w:p>
    <w:p w14:paraId="14F26A60" w14:textId="77777777" w:rsidR="00CC4FD2" w:rsidRDefault="00CC4FD2" w:rsidP="008C56BF">
      <w:pPr>
        <w:jc w:val="both"/>
      </w:pPr>
    </w:p>
    <w:p w14:paraId="7AA41CAA" w14:textId="77777777" w:rsidR="00CC4FD2" w:rsidRDefault="00CC4FD2" w:rsidP="008C56BF">
      <w:pPr>
        <w:jc w:val="both"/>
      </w:pPr>
    </w:p>
    <w:p w14:paraId="203F9A43" w14:textId="77777777" w:rsidR="00B54A8C" w:rsidRDefault="00B54A8C" w:rsidP="00CC4FD2">
      <w:pPr>
        <w:sectPr w:rsidR="00B54A8C" w:rsidSect="007F490F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tbl>
      <w:tblPr>
        <w:tblStyle w:val="TableGrid"/>
        <w:tblW w:w="14704" w:type="dxa"/>
        <w:tblLook w:val="04A0" w:firstRow="1" w:lastRow="0" w:firstColumn="1" w:lastColumn="0" w:noHBand="0" w:noVBand="1"/>
      </w:tblPr>
      <w:tblGrid>
        <w:gridCol w:w="3558"/>
        <w:gridCol w:w="1857"/>
        <w:gridCol w:w="1858"/>
        <w:gridCol w:w="1858"/>
        <w:gridCol w:w="1857"/>
        <w:gridCol w:w="1858"/>
        <w:gridCol w:w="1858"/>
      </w:tblGrid>
      <w:tr w:rsidR="0079078E" w14:paraId="7696E525" w14:textId="77777777" w:rsidTr="0079078E">
        <w:trPr>
          <w:trHeight w:val="841"/>
        </w:trPr>
        <w:tc>
          <w:tcPr>
            <w:tcW w:w="3558" w:type="dxa"/>
            <w:shd w:val="clear" w:color="auto" w:fill="D9D9D9" w:themeFill="background1" w:themeFillShade="D9"/>
          </w:tcPr>
          <w:p w14:paraId="17D529AE" w14:textId="77777777" w:rsidR="0079078E" w:rsidRPr="00F56896" w:rsidRDefault="0079078E" w:rsidP="000114CF">
            <w:pPr>
              <w:spacing w:line="240" w:lineRule="auto"/>
              <w:jc w:val="center"/>
              <w:rPr>
                <w:b/>
                <w:bCs/>
              </w:rPr>
            </w:pPr>
            <w:r w:rsidRPr="00F56896">
              <w:rPr>
                <w:b/>
                <w:bCs/>
              </w:rPr>
              <w:lastRenderedPageBreak/>
              <w:t>Reporting Period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14:paraId="67ACB7AC" w14:textId="1B59145C" w:rsidR="0079078E" w:rsidRPr="00F56896" w:rsidRDefault="0079078E" w:rsidP="000114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White Scottish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680F3BEA" w14:textId="436EDC06" w:rsidR="0079078E" w:rsidRPr="00F56896" w:rsidRDefault="0079078E" w:rsidP="000114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White British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2B7A7892" w14:textId="0EFB9A6A" w:rsidR="0079078E" w:rsidRPr="00F56896" w:rsidRDefault="0079078E" w:rsidP="000114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White Minority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14:paraId="1470367C" w14:textId="655F8BE1" w:rsidR="0079078E" w:rsidRPr="00F56896" w:rsidRDefault="0079078E" w:rsidP="000114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BME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2FE6E46D" w14:textId="3EFAF8AE" w:rsidR="0079078E" w:rsidRPr="00F56896" w:rsidRDefault="0079078E" w:rsidP="000114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Choose </w:t>
            </w:r>
            <w:r w:rsidR="00A50244">
              <w:rPr>
                <w:b/>
                <w:bCs/>
              </w:rPr>
              <w:t>not  to</w:t>
            </w:r>
            <w:r>
              <w:rPr>
                <w:b/>
                <w:bCs/>
              </w:rPr>
              <w:t xml:space="preserve"> Disclose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47D5F7F9" w14:textId="3C8CE00C" w:rsidR="0079078E" w:rsidRPr="00F56896" w:rsidRDefault="0079078E" w:rsidP="000114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Recorded</w:t>
            </w:r>
          </w:p>
        </w:tc>
      </w:tr>
      <w:tr w:rsidR="0079078E" w14:paraId="0F1B4DA1" w14:textId="77777777" w:rsidTr="0079078E">
        <w:trPr>
          <w:trHeight w:val="458"/>
        </w:trPr>
        <w:tc>
          <w:tcPr>
            <w:tcW w:w="3558" w:type="dxa"/>
          </w:tcPr>
          <w:p w14:paraId="15E1A68B" w14:textId="10DF5044" w:rsidR="0079078E" w:rsidRDefault="0079078E" w:rsidP="000114CF">
            <w:pPr>
              <w:spacing w:line="240" w:lineRule="auto"/>
              <w:jc w:val="center"/>
            </w:pPr>
            <w:r>
              <w:t>01/04/2023 - 31/03/2024</w:t>
            </w:r>
          </w:p>
        </w:tc>
        <w:tc>
          <w:tcPr>
            <w:tcW w:w="1857" w:type="dxa"/>
          </w:tcPr>
          <w:p w14:paraId="0CBEDDC5" w14:textId="3E7E7278" w:rsidR="0079078E" w:rsidRDefault="0079078E" w:rsidP="000114CF">
            <w:pPr>
              <w:spacing w:line="240" w:lineRule="auto"/>
              <w:jc w:val="right"/>
            </w:pPr>
            <w:r>
              <w:t>17 years</w:t>
            </w:r>
          </w:p>
        </w:tc>
        <w:tc>
          <w:tcPr>
            <w:tcW w:w="1858" w:type="dxa"/>
          </w:tcPr>
          <w:p w14:paraId="114E75AF" w14:textId="13FA4B33" w:rsidR="0079078E" w:rsidRDefault="0079078E" w:rsidP="000114CF">
            <w:pPr>
              <w:spacing w:line="240" w:lineRule="auto"/>
              <w:jc w:val="right"/>
            </w:pPr>
            <w:r>
              <w:t>16 years</w:t>
            </w:r>
          </w:p>
        </w:tc>
        <w:tc>
          <w:tcPr>
            <w:tcW w:w="1858" w:type="dxa"/>
          </w:tcPr>
          <w:p w14:paraId="0A056703" w14:textId="0423A2B2" w:rsidR="0079078E" w:rsidRDefault="0079078E" w:rsidP="000114CF">
            <w:pPr>
              <w:spacing w:line="240" w:lineRule="auto"/>
              <w:jc w:val="right"/>
            </w:pPr>
            <w:r>
              <w:t>15 years</w:t>
            </w:r>
          </w:p>
        </w:tc>
        <w:tc>
          <w:tcPr>
            <w:tcW w:w="1857" w:type="dxa"/>
          </w:tcPr>
          <w:p w14:paraId="0C4D868E" w14:textId="66253EDC" w:rsidR="0079078E" w:rsidRDefault="0079078E" w:rsidP="000114CF">
            <w:pPr>
              <w:spacing w:line="240" w:lineRule="auto"/>
              <w:jc w:val="right"/>
            </w:pPr>
            <w:r>
              <w:t>17 years</w:t>
            </w:r>
          </w:p>
        </w:tc>
        <w:tc>
          <w:tcPr>
            <w:tcW w:w="1858" w:type="dxa"/>
          </w:tcPr>
          <w:p w14:paraId="152FAC5D" w14:textId="3DE9609A" w:rsidR="0079078E" w:rsidRDefault="0079078E" w:rsidP="000114CF">
            <w:pPr>
              <w:spacing w:line="240" w:lineRule="auto"/>
              <w:jc w:val="right"/>
            </w:pPr>
            <w:r>
              <w:t>17 years</w:t>
            </w:r>
          </w:p>
        </w:tc>
        <w:tc>
          <w:tcPr>
            <w:tcW w:w="1858" w:type="dxa"/>
          </w:tcPr>
          <w:p w14:paraId="60F416CB" w14:textId="3D2BD640" w:rsidR="0079078E" w:rsidRDefault="0079078E" w:rsidP="000114CF">
            <w:pPr>
              <w:spacing w:line="240" w:lineRule="auto"/>
              <w:jc w:val="right"/>
            </w:pPr>
            <w:r>
              <w:t>n/a</w:t>
            </w:r>
          </w:p>
        </w:tc>
      </w:tr>
      <w:tr w:rsidR="0079078E" w14:paraId="58FD1EAB" w14:textId="77777777" w:rsidTr="0079078E">
        <w:trPr>
          <w:trHeight w:val="368"/>
        </w:trPr>
        <w:tc>
          <w:tcPr>
            <w:tcW w:w="3558" w:type="dxa"/>
          </w:tcPr>
          <w:p w14:paraId="257DD1D6" w14:textId="2606F5DC" w:rsidR="0079078E" w:rsidRDefault="0079078E" w:rsidP="000114CF">
            <w:pPr>
              <w:spacing w:line="240" w:lineRule="auto"/>
              <w:jc w:val="center"/>
            </w:pPr>
            <w:r>
              <w:t>01/04/2022 - 31/03/2023</w:t>
            </w:r>
          </w:p>
        </w:tc>
        <w:tc>
          <w:tcPr>
            <w:tcW w:w="1857" w:type="dxa"/>
          </w:tcPr>
          <w:p w14:paraId="66E7C8FE" w14:textId="573E5A5B" w:rsidR="0079078E" w:rsidRDefault="0079078E" w:rsidP="000114CF">
            <w:pPr>
              <w:spacing w:line="240" w:lineRule="auto"/>
              <w:jc w:val="right"/>
            </w:pPr>
            <w:r>
              <w:t>17 years</w:t>
            </w:r>
          </w:p>
        </w:tc>
        <w:tc>
          <w:tcPr>
            <w:tcW w:w="1858" w:type="dxa"/>
          </w:tcPr>
          <w:p w14:paraId="6516B8B3" w14:textId="0E1D2D8D" w:rsidR="0079078E" w:rsidRDefault="0079078E" w:rsidP="000114CF">
            <w:pPr>
              <w:spacing w:line="240" w:lineRule="auto"/>
              <w:jc w:val="right"/>
            </w:pPr>
            <w:r>
              <w:t>16 years</w:t>
            </w:r>
          </w:p>
        </w:tc>
        <w:tc>
          <w:tcPr>
            <w:tcW w:w="1858" w:type="dxa"/>
          </w:tcPr>
          <w:p w14:paraId="33B8919B" w14:textId="1069418F" w:rsidR="0079078E" w:rsidRDefault="0079078E" w:rsidP="000114CF">
            <w:pPr>
              <w:spacing w:line="240" w:lineRule="auto"/>
              <w:jc w:val="right"/>
            </w:pPr>
            <w:r>
              <w:t>17 years</w:t>
            </w:r>
          </w:p>
        </w:tc>
        <w:tc>
          <w:tcPr>
            <w:tcW w:w="1857" w:type="dxa"/>
          </w:tcPr>
          <w:p w14:paraId="4AB6B456" w14:textId="3104BB6E" w:rsidR="0079078E" w:rsidRDefault="0079078E" w:rsidP="000114CF">
            <w:pPr>
              <w:spacing w:line="240" w:lineRule="auto"/>
              <w:jc w:val="right"/>
            </w:pPr>
            <w:r>
              <w:t>16 years</w:t>
            </w:r>
          </w:p>
        </w:tc>
        <w:tc>
          <w:tcPr>
            <w:tcW w:w="1858" w:type="dxa"/>
          </w:tcPr>
          <w:p w14:paraId="5E311697" w14:textId="1D973272" w:rsidR="0079078E" w:rsidRDefault="0079078E" w:rsidP="000114CF">
            <w:pPr>
              <w:spacing w:line="240" w:lineRule="auto"/>
              <w:jc w:val="right"/>
            </w:pPr>
            <w:r>
              <w:t>17 years</w:t>
            </w:r>
          </w:p>
        </w:tc>
        <w:tc>
          <w:tcPr>
            <w:tcW w:w="1858" w:type="dxa"/>
          </w:tcPr>
          <w:p w14:paraId="1C3C8669" w14:textId="4C76FDD4" w:rsidR="0079078E" w:rsidRDefault="0079078E" w:rsidP="000114CF">
            <w:pPr>
              <w:spacing w:line="240" w:lineRule="auto"/>
              <w:jc w:val="right"/>
            </w:pPr>
            <w:r>
              <w:t>14 years</w:t>
            </w:r>
          </w:p>
        </w:tc>
      </w:tr>
      <w:tr w:rsidR="0079078E" w14:paraId="4EB4D60C" w14:textId="77777777" w:rsidTr="0079078E">
        <w:trPr>
          <w:trHeight w:val="419"/>
        </w:trPr>
        <w:tc>
          <w:tcPr>
            <w:tcW w:w="3558" w:type="dxa"/>
          </w:tcPr>
          <w:p w14:paraId="018E6CA1" w14:textId="0CBCE799" w:rsidR="0079078E" w:rsidRDefault="0079078E" w:rsidP="000114CF">
            <w:pPr>
              <w:spacing w:line="240" w:lineRule="auto"/>
              <w:jc w:val="center"/>
            </w:pPr>
            <w:r>
              <w:t>01/04/2021 - 31/03/2022</w:t>
            </w:r>
          </w:p>
        </w:tc>
        <w:tc>
          <w:tcPr>
            <w:tcW w:w="1857" w:type="dxa"/>
          </w:tcPr>
          <w:p w14:paraId="4FE9FC2F" w14:textId="5408F44C" w:rsidR="0079078E" w:rsidRDefault="0079078E" w:rsidP="000114CF">
            <w:pPr>
              <w:spacing w:line="240" w:lineRule="auto"/>
              <w:jc w:val="right"/>
            </w:pPr>
            <w:r>
              <w:t>17 years</w:t>
            </w:r>
          </w:p>
        </w:tc>
        <w:tc>
          <w:tcPr>
            <w:tcW w:w="1858" w:type="dxa"/>
          </w:tcPr>
          <w:p w14:paraId="5E7C6A8B" w14:textId="35704285" w:rsidR="0079078E" w:rsidRDefault="0079078E" w:rsidP="000114CF">
            <w:pPr>
              <w:spacing w:line="240" w:lineRule="auto"/>
              <w:jc w:val="right"/>
            </w:pPr>
            <w:r>
              <w:t>15 years</w:t>
            </w:r>
          </w:p>
        </w:tc>
        <w:tc>
          <w:tcPr>
            <w:tcW w:w="1858" w:type="dxa"/>
          </w:tcPr>
          <w:p w14:paraId="66104922" w14:textId="3D0058C5" w:rsidR="0079078E" w:rsidRDefault="0079078E" w:rsidP="000114CF">
            <w:pPr>
              <w:spacing w:line="240" w:lineRule="auto"/>
              <w:jc w:val="right"/>
            </w:pPr>
            <w:r>
              <w:t>18 years</w:t>
            </w:r>
          </w:p>
        </w:tc>
        <w:tc>
          <w:tcPr>
            <w:tcW w:w="1857" w:type="dxa"/>
          </w:tcPr>
          <w:p w14:paraId="19D29A1C" w14:textId="64E31E1B" w:rsidR="0079078E" w:rsidRDefault="0079078E" w:rsidP="000114CF">
            <w:pPr>
              <w:spacing w:line="240" w:lineRule="auto"/>
              <w:jc w:val="right"/>
            </w:pPr>
            <w:r>
              <w:t>18 years</w:t>
            </w:r>
          </w:p>
        </w:tc>
        <w:tc>
          <w:tcPr>
            <w:tcW w:w="1858" w:type="dxa"/>
          </w:tcPr>
          <w:p w14:paraId="3F6EE835" w14:textId="3A0AD5D2" w:rsidR="0079078E" w:rsidRDefault="0079078E" w:rsidP="000114CF">
            <w:pPr>
              <w:spacing w:line="240" w:lineRule="auto"/>
              <w:jc w:val="right"/>
            </w:pPr>
            <w:r>
              <w:t xml:space="preserve">16 years </w:t>
            </w:r>
          </w:p>
        </w:tc>
        <w:tc>
          <w:tcPr>
            <w:tcW w:w="1858" w:type="dxa"/>
          </w:tcPr>
          <w:p w14:paraId="1CCF1066" w14:textId="7F702DE4" w:rsidR="0079078E" w:rsidRDefault="0079078E" w:rsidP="000114CF">
            <w:pPr>
              <w:spacing w:line="240" w:lineRule="auto"/>
              <w:jc w:val="right"/>
            </w:pPr>
            <w:r>
              <w:t>13 years</w:t>
            </w:r>
          </w:p>
        </w:tc>
      </w:tr>
      <w:tr w:rsidR="0079078E" w14:paraId="11F9701F" w14:textId="77777777" w:rsidTr="0079078E">
        <w:trPr>
          <w:trHeight w:val="315"/>
        </w:trPr>
        <w:tc>
          <w:tcPr>
            <w:tcW w:w="3558" w:type="dxa"/>
          </w:tcPr>
          <w:p w14:paraId="0A845EA8" w14:textId="132FD131" w:rsidR="0079078E" w:rsidRDefault="0079078E" w:rsidP="000114CF">
            <w:pPr>
              <w:spacing w:line="240" w:lineRule="auto"/>
              <w:jc w:val="center"/>
            </w:pPr>
            <w:r>
              <w:t>01/04/2020 - 21/03/2021</w:t>
            </w:r>
          </w:p>
        </w:tc>
        <w:tc>
          <w:tcPr>
            <w:tcW w:w="1857" w:type="dxa"/>
          </w:tcPr>
          <w:p w14:paraId="133013C6" w14:textId="5FF80CE1" w:rsidR="0079078E" w:rsidRDefault="0079078E" w:rsidP="000114CF">
            <w:pPr>
              <w:spacing w:line="240" w:lineRule="auto"/>
              <w:jc w:val="right"/>
            </w:pPr>
            <w:r>
              <w:t>16 years</w:t>
            </w:r>
          </w:p>
        </w:tc>
        <w:tc>
          <w:tcPr>
            <w:tcW w:w="1858" w:type="dxa"/>
          </w:tcPr>
          <w:p w14:paraId="36734402" w14:textId="535B6322" w:rsidR="0079078E" w:rsidRDefault="0079078E" w:rsidP="000114CF">
            <w:pPr>
              <w:spacing w:line="240" w:lineRule="auto"/>
              <w:jc w:val="right"/>
            </w:pPr>
            <w:r>
              <w:t>14 years</w:t>
            </w:r>
          </w:p>
        </w:tc>
        <w:tc>
          <w:tcPr>
            <w:tcW w:w="1858" w:type="dxa"/>
          </w:tcPr>
          <w:p w14:paraId="7F04D997" w14:textId="254CE459" w:rsidR="0079078E" w:rsidRDefault="0079078E" w:rsidP="000114CF">
            <w:pPr>
              <w:spacing w:line="240" w:lineRule="auto"/>
              <w:jc w:val="right"/>
            </w:pPr>
            <w:r>
              <w:t>15 years</w:t>
            </w:r>
          </w:p>
        </w:tc>
        <w:tc>
          <w:tcPr>
            <w:tcW w:w="1857" w:type="dxa"/>
          </w:tcPr>
          <w:p w14:paraId="781C6007" w14:textId="0783D794" w:rsidR="0079078E" w:rsidRDefault="0079078E" w:rsidP="000114CF">
            <w:pPr>
              <w:spacing w:line="240" w:lineRule="auto"/>
              <w:jc w:val="right"/>
            </w:pPr>
            <w:r>
              <w:t>16 years</w:t>
            </w:r>
          </w:p>
        </w:tc>
        <w:tc>
          <w:tcPr>
            <w:tcW w:w="1858" w:type="dxa"/>
          </w:tcPr>
          <w:p w14:paraId="739CD537" w14:textId="68311F39" w:rsidR="0079078E" w:rsidRDefault="0079078E" w:rsidP="000114CF">
            <w:pPr>
              <w:spacing w:line="240" w:lineRule="auto"/>
              <w:jc w:val="right"/>
            </w:pPr>
            <w:r>
              <w:t>16 years</w:t>
            </w:r>
          </w:p>
        </w:tc>
        <w:tc>
          <w:tcPr>
            <w:tcW w:w="1858" w:type="dxa"/>
          </w:tcPr>
          <w:p w14:paraId="62AC95BD" w14:textId="2C961350" w:rsidR="0079078E" w:rsidRDefault="0079078E" w:rsidP="000114CF">
            <w:pPr>
              <w:spacing w:line="240" w:lineRule="auto"/>
              <w:jc w:val="right"/>
            </w:pPr>
            <w:r>
              <w:t>n/a</w:t>
            </w:r>
          </w:p>
        </w:tc>
      </w:tr>
      <w:tr w:rsidR="0079078E" w14:paraId="5B12D917" w14:textId="77777777" w:rsidTr="0079078E">
        <w:trPr>
          <w:trHeight w:val="637"/>
        </w:trPr>
        <w:tc>
          <w:tcPr>
            <w:tcW w:w="3558" w:type="dxa"/>
          </w:tcPr>
          <w:p w14:paraId="12624611" w14:textId="369D5BB1" w:rsidR="0079078E" w:rsidRDefault="0079078E" w:rsidP="000114CF">
            <w:pPr>
              <w:spacing w:line="240" w:lineRule="auto"/>
              <w:jc w:val="center"/>
            </w:pPr>
            <w:r>
              <w:t>01/04/2019 - 31/03/2020</w:t>
            </w:r>
          </w:p>
        </w:tc>
        <w:tc>
          <w:tcPr>
            <w:tcW w:w="1857" w:type="dxa"/>
          </w:tcPr>
          <w:p w14:paraId="5F26BCB6" w14:textId="030296B8" w:rsidR="0079078E" w:rsidRDefault="0079078E" w:rsidP="000114CF">
            <w:pPr>
              <w:spacing w:line="240" w:lineRule="auto"/>
              <w:jc w:val="right"/>
            </w:pPr>
            <w:r>
              <w:t>16 years</w:t>
            </w:r>
          </w:p>
        </w:tc>
        <w:tc>
          <w:tcPr>
            <w:tcW w:w="1858" w:type="dxa"/>
          </w:tcPr>
          <w:p w14:paraId="6C227758" w14:textId="3558D388" w:rsidR="0079078E" w:rsidRDefault="0079078E" w:rsidP="000114CF">
            <w:pPr>
              <w:spacing w:line="240" w:lineRule="auto"/>
              <w:jc w:val="right"/>
            </w:pPr>
            <w:r>
              <w:t>14 years</w:t>
            </w:r>
          </w:p>
        </w:tc>
        <w:tc>
          <w:tcPr>
            <w:tcW w:w="1858" w:type="dxa"/>
          </w:tcPr>
          <w:p w14:paraId="01495406" w14:textId="0FEAE5E7" w:rsidR="0079078E" w:rsidRDefault="0079078E" w:rsidP="000114CF">
            <w:pPr>
              <w:spacing w:line="240" w:lineRule="auto"/>
              <w:jc w:val="right"/>
            </w:pPr>
            <w:r>
              <w:t>15 years</w:t>
            </w:r>
          </w:p>
        </w:tc>
        <w:tc>
          <w:tcPr>
            <w:tcW w:w="1857" w:type="dxa"/>
          </w:tcPr>
          <w:p w14:paraId="752910C4" w14:textId="36F51080" w:rsidR="0079078E" w:rsidRDefault="0079078E" w:rsidP="000114CF">
            <w:pPr>
              <w:spacing w:line="240" w:lineRule="auto"/>
              <w:jc w:val="right"/>
            </w:pPr>
            <w:r>
              <w:t>16 years</w:t>
            </w:r>
          </w:p>
        </w:tc>
        <w:tc>
          <w:tcPr>
            <w:tcW w:w="1858" w:type="dxa"/>
          </w:tcPr>
          <w:p w14:paraId="43751DF3" w14:textId="2241427C" w:rsidR="0079078E" w:rsidRDefault="0079078E" w:rsidP="000114CF">
            <w:pPr>
              <w:spacing w:line="240" w:lineRule="auto"/>
              <w:jc w:val="right"/>
            </w:pPr>
            <w:r>
              <w:t>16 years</w:t>
            </w:r>
          </w:p>
        </w:tc>
        <w:tc>
          <w:tcPr>
            <w:tcW w:w="1858" w:type="dxa"/>
          </w:tcPr>
          <w:p w14:paraId="7F0AC41F" w14:textId="51C47237" w:rsidR="0079078E" w:rsidRDefault="0079078E" w:rsidP="000114CF">
            <w:pPr>
              <w:spacing w:line="240" w:lineRule="auto"/>
              <w:jc w:val="right"/>
            </w:pPr>
            <w:r>
              <w:t>11 years</w:t>
            </w:r>
          </w:p>
        </w:tc>
      </w:tr>
    </w:tbl>
    <w:p w14:paraId="49139166" w14:textId="1F692866" w:rsidR="00CC4FD2" w:rsidRDefault="00CC4FD2" w:rsidP="00CC4FD2"/>
    <w:sectPr w:rsidR="00CC4FD2" w:rsidSect="00B54A8C">
      <w:pgSz w:w="16838" w:h="11906" w:orient="landscape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5A4594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14F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939144228" name="Picture 939144228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954961145" name="Picture 954961145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69FF55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14F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F3BDE2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14F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E830D7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14F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4BA922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14F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4DD0B0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14F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E576D"/>
    <w:multiLevelType w:val="hybridMultilevel"/>
    <w:tmpl w:val="3306E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742B6"/>
    <w:multiLevelType w:val="hybridMultilevel"/>
    <w:tmpl w:val="ED546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060053651">
    <w:abstractNumId w:val="0"/>
  </w:num>
  <w:num w:numId="3" w16cid:durableId="263852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14CF"/>
    <w:rsid w:val="00017604"/>
    <w:rsid w:val="00081621"/>
    <w:rsid w:val="00090F3B"/>
    <w:rsid w:val="000B0F1B"/>
    <w:rsid w:val="000B4146"/>
    <w:rsid w:val="000C70DC"/>
    <w:rsid w:val="000E2F19"/>
    <w:rsid w:val="000E6526"/>
    <w:rsid w:val="00141533"/>
    <w:rsid w:val="00151DD0"/>
    <w:rsid w:val="001668CA"/>
    <w:rsid w:val="00167528"/>
    <w:rsid w:val="00195CC4"/>
    <w:rsid w:val="001A5E03"/>
    <w:rsid w:val="00201BD0"/>
    <w:rsid w:val="00207326"/>
    <w:rsid w:val="00235E6A"/>
    <w:rsid w:val="002520D0"/>
    <w:rsid w:val="00253DF6"/>
    <w:rsid w:val="00255F1E"/>
    <w:rsid w:val="002D278E"/>
    <w:rsid w:val="002F5274"/>
    <w:rsid w:val="00317DA8"/>
    <w:rsid w:val="0036503B"/>
    <w:rsid w:val="00376A4A"/>
    <w:rsid w:val="003925D0"/>
    <w:rsid w:val="003D6D03"/>
    <w:rsid w:val="003E12CA"/>
    <w:rsid w:val="003E65CD"/>
    <w:rsid w:val="004010DC"/>
    <w:rsid w:val="004062BC"/>
    <w:rsid w:val="004341F0"/>
    <w:rsid w:val="00456324"/>
    <w:rsid w:val="00475460"/>
    <w:rsid w:val="00477344"/>
    <w:rsid w:val="00490317"/>
    <w:rsid w:val="00491644"/>
    <w:rsid w:val="00496A08"/>
    <w:rsid w:val="004E1605"/>
    <w:rsid w:val="004F653C"/>
    <w:rsid w:val="005106E7"/>
    <w:rsid w:val="00540A52"/>
    <w:rsid w:val="005506B0"/>
    <w:rsid w:val="00557306"/>
    <w:rsid w:val="005A11F1"/>
    <w:rsid w:val="005C2826"/>
    <w:rsid w:val="00644FB9"/>
    <w:rsid w:val="00645CFA"/>
    <w:rsid w:val="0064647E"/>
    <w:rsid w:val="00685219"/>
    <w:rsid w:val="006D5799"/>
    <w:rsid w:val="006E72FD"/>
    <w:rsid w:val="007016B1"/>
    <w:rsid w:val="00714FF9"/>
    <w:rsid w:val="00722FBC"/>
    <w:rsid w:val="007440EA"/>
    <w:rsid w:val="00750D83"/>
    <w:rsid w:val="00785DBC"/>
    <w:rsid w:val="0079078E"/>
    <w:rsid w:val="00793DD5"/>
    <w:rsid w:val="007D55F6"/>
    <w:rsid w:val="007E3593"/>
    <w:rsid w:val="007F490F"/>
    <w:rsid w:val="00854A15"/>
    <w:rsid w:val="0086779C"/>
    <w:rsid w:val="00874BFD"/>
    <w:rsid w:val="008964EF"/>
    <w:rsid w:val="008B084B"/>
    <w:rsid w:val="008C56BF"/>
    <w:rsid w:val="00915E01"/>
    <w:rsid w:val="009631A4"/>
    <w:rsid w:val="00977296"/>
    <w:rsid w:val="00A04A7E"/>
    <w:rsid w:val="00A25E93"/>
    <w:rsid w:val="00A320FF"/>
    <w:rsid w:val="00A50244"/>
    <w:rsid w:val="00A70AC0"/>
    <w:rsid w:val="00A84EA9"/>
    <w:rsid w:val="00AB621C"/>
    <w:rsid w:val="00AC443C"/>
    <w:rsid w:val="00AC6465"/>
    <w:rsid w:val="00AE0E39"/>
    <w:rsid w:val="00B033D6"/>
    <w:rsid w:val="00B11A55"/>
    <w:rsid w:val="00B12920"/>
    <w:rsid w:val="00B17211"/>
    <w:rsid w:val="00B36587"/>
    <w:rsid w:val="00B37F79"/>
    <w:rsid w:val="00B461B2"/>
    <w:rsid w:val="00B54A8C"/>
    <w:rsid w:val="00B654B6"/>
    <w:rsid w:val="00B66C64"/>
    <w:rsid w:val="00B71B0F"/>
    <w:rsid w:val="00B71B3C"/>
    <w:rsid w:val="00BB13B3"/>
    <w:rsid w:val="00BC389E"/>
    <w:rsid w:val="00BC4A80"/>
    <w:rsid w:val="00BE1888"/>
    <w:rsid w:val="00BE4F44"/>
    <w:rsid w:val="00BF6B81"/>
    <w:rsid w:val="00C077A8"/>
    <w:rsid w:val="00C14FF4"/>
    <w:rsid w:val="00C1679F"/>
    <w:rsid w:val="00C606A2"/>
    <w:rsid w:val="00C63872"/>
    <w:rsid w:val="00C84948"/>
    <w:rsid w:val="00C94ED8"/>
    <w:rsid w:val="00CC4FD2"/>
    <w:rsid w:val="00CF1111"/>
    <w:rsid w:val="00CF67FD"/>
    <w:rsid w:val="00D05706"/>
    <w:rsid w:val="00D27DC5"/>
    <w:rsid w:val="00D47E36"/>
    <w:rsid w:val="00DA1167"/>
    <w:rsid w:val="00DF3689"/>
    <w:rsid w:val="00E25AB4"/>
    <w:rsid w:val="00E2676D"/>
    <w:rsid w:val="00E366D4"/>
    <w:rsid w:val="00E45D6A"/>
    <w:rsid w:val="00E55D79"/>
    <w:rsid w:val="00E95F5C"/>
    <w:rsid w:val="00EC5047"/>
    <w:rsid w:val="00EE2373"/>
    <w:rsid w:val="00EF0FBB"/>
    <w:rsid w:val="00EF4761"/>
    <w:rsid w:val="00EF4CA8"/>
    <w:rsid w:val="00EF5782"/>
    <w:rsid w:val="00F31497"/>
    <w:rsid w:val="00F56896"/>
    <w:rsid w:val="00FC2DA7"/>
    <w:rsid w:val="00FC3266"/>
    <w:rsid w:val="00FE44E2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A11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68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spa-media/ftbagc0p/employment-monitoring-report-19-20_4723_21_ar-v1-final.pdf" TargetMode="External"/><Relationship Id="rId18" Type="http://schemas.openxmlformats.org/officeDocument/2006/relationships/hyperlink" Target="http://www.scotland.police.uk/access-to-information/freedom-of-information/disclosure-lo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spa-media/3jmlr1yq/edi_monitoring_report_21_22_9958_ar.pdf" TargetMode="External"/><Relationship Id="rId17" Type="http://schemas.openxmlformats.org/officeDocument/2006/relationships/hyperlink" Target="mailto:enquiries@foi.sco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i.scot/appe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1c3b4flz/edi-monitor-employ-report-16694-25-ar.pdf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foi@scotland.police.uk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tland.police.uk/about-us/how-we-do-it/strategic-planning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0e32d40b-a8f5-4c24-a46b-b72b5f0b9b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978</Words>
  <Characters>5576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2025-09-11T11:09:00Z</cp:lastPrinted>
  <dcterms:created xsi:type="dcterms:W3CDTF">2025-09-11T11:07:00Z</dcterms:created>
  <dcterms:modified xsi:type="dcterms:W3CDTF">2025-09-11T11:10:00Z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