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FDBAA92" w:rsidR="00B17211" w:rsidRPr="00B17211" w:rsidRDefault="00B17211" w:rsidP="007F490F">
            <w:r w:rsidRPr="007F490F">
              <w:rPr>
                <w:rStyle w:val="Heading2Char"/>
              </w:rPr>
              <w:t>Our reference:</w:t>
            </w:r>
            <w:r>
              <w:t xml:space="preserve">  FOI 2</w:t>
            </w:r>
            <w:r w:rsidR="00B654B6">
              <w:t>4</w:t>
            </w:r>
            <w:r>
              <w:t>-</w:t>
            </w:r>
            <w:r w:rsidR="002272E9">
              <w:t>0777</w:t>
            </w:r>
          </w:p>
          <w:p w14:paraId="34BDABA6" w14:textId="3AA53845"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2272E9">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CBE7BB" w14:textId="77777777" w:rsidR="002272E9" w:rsidRPr="002272E9" w:rsidRDefault="002272E9" w:rsidP="002272E9">
      <w:pPr>
        <w:tabs>
          <w:tab w:val="left" w:pos="5400"/>
        </w:tabs>
        <w:rPr>
          <w:rFonts w:eastAsiaTheme="majorEastAsia" w:cstheme="majorBidi"/>
          <w:b/>
          <w:color w:val="000000" w:themeColor="text1"/>
          <w:szCs w:val="26"/>
        </w:rPr>
      </w:pPr>
      <w:r w:rsidRPr="002272E9">
        <w:rPr>
          <w:rFonts w:eastAsiaTheme="majorEastAsia" w:cstheme="majorBidi"/>
          <w:b/>
          <w:color w:val="000000" w:themeColor="text1"/>
          <w:szCs w:val="26"/>
        </w:rPr>
        <w:t>Please will you confirm:</w:t>
      </w:r>
    </w:p>
    <w:p w14:paraId="7885BE7B" w14:textId="03893FF6" w:rsidR="002272E9" w:rsidRDefault="002272E9" w:rsidP="002272E9">
      <w:pPr>
        <w:tabs>
          <w:tab w:val="left" w:pos="5400"/>
        </w:tabs>
        <w:rPr>
          <w:rFonts w:eastAsiaTheme="majorEastAsia" w:cstheme="majorBidi"/>
          <w:b/>
          <w:color w:val="000000" w:themeColor="text1"/>
          <w:szCs w:val="26"/>
        </w:rPr>
      </w:pPr>
      <w:r w:rsidRPr="002272E9">
        <w:rPr>
          <w:rFonts w:eastAsiaTheme="majorEastAsia" w:cstheme="majorBidi"/>
          <w:b/>
          <w:color w:val="000000" w:themeColor="text1"/>
          <w:szCs w:val="26"/>
        </w:rPr>
        <w:t>what vetting procedures and security checks have been completed for the list of 3rd party reporting centres being enabled to receive hate crime reports.</w:t>
      </w:r>
    </w:p>
    <w:p w14:paraId="43675F9D" w14:textId="4371CF1E" w:rsidR="002272E9" w:rsidRPr="002272E9" w:rsidRDefault="002272E9" w:rsidP="002272E9">
      <w:pPr>
        <w:tabs>
          <w:tab w:val="left" w:pos="5400"/>
        </w:tabs>
        <w:rPr>
          <w:rFonts w:eastAsiaTheme="majorEastAsia" w:cstheme="majorBidi"/>
          <w:b/>
          <w:color w:val="000000" w:themeColor="text1"/>
          <w:szCs w:val="26"/>
        </w:rPr>
      </w:pPr>
      <w:r>
        <w:t>There have been no P</w:t>
      </w:r>
      <w:r w:rsidR="00211DEE">
        <w:t>rotection of Vulnerable Groups (P</w:t>
      </w:r>
      <w:r>
        <w:t>VG</w:t>
      </w:r>
      <w:r w:rsidR="00211DEE">
        <w:t>)</w:t>
      </w:r>
      <w:r>
        <w:t xml:space="preserve"> checks carried out on current </w:t>
      </w:r>
      <w:r w:rsidR="00211DEE">
        <w:t>Third-Party</w:t>
      </w:r>
      <w:r>
        <w:t xml:space="preserve"> Reporting Centres (TPRC's). A Short Life Working Group has been established to review current processes and procedures and as such we are not training any new premises until this review has been completed.</w:t>
      </w:r>
    </w:p>
    <w:p w14:paraId="3DE974D0" w14:textId="5146BCCB" w:rsidR="002272E9" w:rsidRDefault="002272E9" w:rsidP="002272E9">
      <w:pPr>
        <w:tabs>
          <w:tab w:val="left" w:pos="5400"/>
        </w:tabs>
        <w:rPr>
          <w:rFonts w:eastAsiaTheme="majorEastAsia" w:cstheme="majorBidi"/>
          <w:b/>
          <w:color w:val="000000" w:themeColor="text1"/>
          <w:szCs w:val="26"/>
        </w:rPr>
      </w:pPr>
      <w:r w:rsidRPr="002272E9">
        <w:rPr>
          <w:rFonts w:eastAsiaTheme="majorEastAsia" w:cstheme="majorBidi"/>
          <w:b/>
          <w:color w:val="000000" w:themeColor="text1"/>
          <w:szCs w:val="26"/>
        </w:rPr>
        <w:t>How will you ensure that the personnel at these centres are fit to receive this information and handle it appropriately. I am specifically interested in the ones that are NOT other government or local authority organisations (e.g the mushroom farm).</w:t>
      </w:r>
    </w:p>
    <w:p w14:paraId="21C5A97D" w14:textId="202ECF14" w:rsidR="002272E9" w:rsidRPr="002272E9" w:rsidRDefault="002272E9" w:rsidP="002272E9">
      <w:r>
        <w:t>Third Party Reporting Centres are there to facilitate initial contact with Police, they are not involved in the investigation or enquiry. All matters relating to whether a crime has occurred will be dealt with in its entirety by Police</w:t>
      </w:r>
      <w:r w:rsidR="00822DBF">
        <w:t xml:space="preserve"> Scotland</w:t>
      </w:r>
      <w:r>
        <w:t>.</w:t>
      </w:r>
    </w:p>
    <w:p w14:paraId="5C8FDFC0" w14:textId="77777777" w:rsidR="002272E9" w:rsidRDefault="002272E9" w:rsidP="002272E9">
      <w:pPr>
        <w:tabs>
          <w:tab w:val="left" w:pos="5400"/>
        </w:tabs>
        <w:rPr>
          <w:rFonts w:eastAsiaTheme="majorEastAsia" w:cstheme="majorBidi"/>
          <w:b/>
          <w:color w:val="000000" w:themeColor="text1"/>
          <w:szCs w:val="26"/>
        </w:rPr>
      </w:pPr>
      <w:r w:rsidRPr="002272E9">
        <w:rPr>
          <w:rFonts w:eastAsiaTheme="majorEastAsia" w:cstheme="majorBidi"/>
          <w:b/>
          <w:color w:val="000000" w:themeColor="text1"/>
          <w:szCs w:val="26"/>
        </w:rPr>
        <w:t>Please also confirm what protections will be in place regarding GDPR with regard to those organisations</w:t>
      </w:r>
      <w:r>
        <w:rPr>
          <w:rFonts w:eastAsiaTheme="majorEastAsia" w:cstheme="majorBidi"/>
          <w:b/>
          <w:color w:val="000000" w:themeColor="text1"/>
          <w:szCs w:val="26"/>
        </w:rPr>
        <w:t>.</w:t>
      </w:r>
    </w:p>
    <w:p w14:paraId="34BDABBD" w14:textId="2C1958E4" w:rsidR="00BF6B81" w:rsidRPr="002272E9" w:rsidRDefault="002272E9" w:rsidP="00793DD5">
      <w:pPr>
        <w:tabs>
          <w:tab w:val="left" w:pos="5400"/>
        </w:tabs>
        <w:rPr>
          <w:rFonts w:eastAsiaTheme="majorEastAsia" w:cstheme="majorBidi"/>
          <w:b/>
          <w:color w:val="000000" w:themeColor="text1"/>
          <w:szCs w:val="26"/>
        </w:rPr>
      </w:pPr>
      <w:r>
        <w:t>GDPR (General Data Protection Regulation) applies to all businesses and organisations responsible for handling personal data. However, no information is stored at Third Party Reporting Centres in relation to third party reports as all reports to the police are submitted via a secure online form.</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19953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AB1D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69E8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553B7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5A196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F2C77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11DEE"/>
    <w:rsid w:val="002272E9"/>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22DB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9207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2024-05-07T10:20:00Z</dcterms:created>
  <dcterms:modified xsi:type="dcterms:W3CDTF">2024-05-07T10:20:00Z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