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:rsidTr="00540A52">
        <w:trPr>
          <w:trHeight w:val="2552"/>
          <w:tblHeader/>
        </w:trPr>
        <w:tc>
          <w:tcPr>
            <w:tcW w:w="2269" w:type="dxa"/>
          </w:tcPr>
          <w:p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3319AC8" wp14:editId="710BAC24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986AB0">
              <w:t>0221</w:t>
            </w:r>
          </w:p>
          <w:p w:rsidR="00B17211" w:rsidRDefault="00456324" w:rsidP="006D6F2A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D6F2A">
              <w:t>05 April 2023</w:t>
            </w:r>
            <w:bookmarkStart w:id="0" w:name="_GoBack"/>
            <w:bookmarkEnd w:id="0"/>
          </w:p>
        </w:tc>
      </w:tr>
    </w:tbl>
    <w:p w:rsidR="00534054" w:rsidRDefault="00534054" w:rsidP="00534054">
      <w:r>
        <w:t xml:space="preserve">Please accept our apologies for the delay in responding. </w:t>
      </w:r>
    </w:p>
    <w:p w:rsidR="00534054" w:rsidRDefault="00534054" w:rsidP="00534054">
      <w:r>
        <w:t>Firstly, it may be useful to provide information on how our complaints and conduct processes are progressed.</w:t>
      </w:r>
    </w:p>
    <w:p w:rsidR="00986AB0" w:rsidRPr="00986AB0" w:rsidRDefault="00986AB0" w:rsidP="00986AB0">
      <w:r w:rsidRPr="00986AB0">
        <w:t xml:space="preserve">The Police Scotland </w:t>
      </w:r>
      <w:hyperlink r:id="rId8" w:history="1">
        <w:r w:rsidRPr="00986AB0">
          <w:rPr>
            <w:rStyle w:val="Hyperlink"/>
          </w:rPr>
          <w:t>Complaints About the Police Standard Operating Procedure (SOP)</w:t>
        </w:r>
      </w:hyperlink>
      <w:r w:rsidRPr="00986AB0">
        <w:t xml:space="preserve"> outlines how we deal with complaints.  </w:t>
      </w:r>
      <w:r>
        <w:t>The</w:t>
      </w:r>
      <w:r w:rsidRPr="00986AB0">
        <w:t xml:space="preserve"> complaint </w:t>
      </w:r>
      <w:r>
        <w:t xml:space="preserve">recording </w:t>
      </w:r>
      <w:r w:rsidRPr="00986AB0">
        <w:t>categories</w:t>
      </w:r>
      <w:r>
        <w:t xml:space="preserve"> we use are</w:t>
      </w:r>
      <w:r w:rsidRPr="00986AB0">
        <w:t xml:space="preserve"> listed at appendices G and H.</w:t>
      </w:r>
    </w:p>
    <w:p w:rsidR="00986AB0" w:rsidRPr="00986AB0" w:rsidRDefault="00986AB0" w:rsidP="00986AB0">
      <w:r w:rsidRPr="00986AB0">
        <w:t xml:space="preserve">The formal disciplinary process for Police Officers is governed by </w:t>
      </w:r>
      <w:hyperlink r:id="rId9" w:history="1">
        <w:r w:rsidRPr="00986AB0">
          <w:rPr>
            <w:rStyle w:val="Hyperlink"/>
          </w:rPr>
          <w:t>The Police Service of Scotland (Conduct) Regulations 2014</w:t>
        </w:r>
      </w:hyperlink>
      <w:r w:rsidRPr="00986AB0">
        <w:t>.</w:t>
      </w:r>
    </w:p>
    <w:p w:rsidR="00986AB0" w:rsidRDefault="00986AB0" w:rsidP="00986AB0">
      <w:r w:rsidRPr="00986AB0">
        <w:t xml:space="preserve">The Police Service of Scotland (Conduct) Regulations 2014 </w:t>
      </w:r>
      <w:hyperlink r:id="rId10" w:history="1">
        <w:r w:rsidRPr="00986AB0">
          <w:rPr>
            <w:rStyle w:val="Hyperlink"/>
          </w:rPr>
          <w:t>Scottish Government Guidance Document</w:t>
        </w:r>
      </w:hyperlink>
      <w:r w:rsidRPr="00986AB0">
        <w:t xml:space="preserve"> provides further information on the Conduct process and conduct cases are categorised in line with our </w:t>
      </w:r>
      <w:hyperlink r:id="rId11" w:history="1">
        <w:r w:rsidRPr="00986AB0">
          <w:rPr>
            <w:rStyle w:val="Hyperlink"/>
          </w:rPr>
          <w:t>Standards of Professional Behaviour</w:t>
        </w:r>
      </w:hyperlink>
      <w:r w:rsidRPr="00986AB0">
        <w:t>.</w:t>
      </w:r>
    </w:p>
    <w:p w:rsidR="00461AE4" w:rsidRDefault="00461AE4" w:rsidP="00986AB0">
      <w:r>
        <w:t>Further to the rec</w:t>
      </w:r>
      <w:r w:rsidR="00AF6ECB">
        <w:t>ording categories outlined above</w:t>
      </w:r>
      <w:r>
        <w:t>,</w:t>
      </w:r>
      <w:r w:rsidR="00AF6ECB">
        <w:t xml:space="preserve"> a ‘circumstance’ marker </w:t>
      </w:r>
      <w:r w:rsidR="00534054">
        <w:t xml:space="preserve">to indicate a domestic or sexual aspect to an allegation will be added to complaint or conduct files.  </w:t>
      </w:r>
    </w:p>
    <w:p w:rsidR="00F63938" w:rsidRDefault="00F63938" w:rsidP="00986AB0">
      <w:pPr>
        <w:rPr>
          <w:color w:val="FF0000"/>
        </w:rPr>
      </w:pPr>
      <w:r>
        <w:t>A</w:t>
      </w:r>
      <w:r w:rsidRPr="00F63938">
        <w:t xml:space="preserve">llegations involving a sexual </w:t>
      </w:r>
      <w:r>
        <w:t xml:space="preserve">or domestic </w:t>
      </w:r>
      <w:r w:rsidRPr="00F63938">
        <w:t>circumstance may be cri</w:t>
      </w:r>
      <w:r>
        <w:t xml:space="preserve">minal or non-criminal in nature and </w:t>
      </w:r>
      <w:r w:rsidRPr="00F63938">
        <w:t xml:space="preserve">is applied to any allegation relating to the on or off duty conduct of a Police Officer or Police Staff </w:t>
      </w:r>
      <w:r>
        <w:t>member.</w:t>
      </w:r>
    </w:p>
    <w:p w:rsidR="00534054" w:rsidRPr="00461AE4" w:rsidRDefault="00534054" w:rsidP="00986AB0">
      <w:pPr>
        <w:rPr>
          <w:color w:val="FF0000"/>
        </w:rPr>
      </w:pPr>
      <w:r w:rsidRPr="00793DD5">
        <w:t>Your request for infor</w:t>
      </w:r>
      <w:r w:rsidR="00F63938">
        <w:t>m</w:t>
      </w:r>
      <w:r w:rsidRPr="00793DD5">
        <w:t xml:space="preserve">ation is replicated below, together with </w:t>
      </w:r>
      <w:r>
        <w:t>our</w:t>
      </w:r>
      <w:r w:rsidRPr="00793DD5">
        <w:t xml:space="preserve"> response.</w:t>
      </w:r>
      <w:r>
        <w:t xml:space="preserve">  </w:t>
      </w:r>
    </w:p>
    <w:p w:rsidR="00534054" w:rsidRPr="00CA76FD" w:rsidRDefault="00534054" w:rsidP="00CA76FD">
      <w:pPr>
        <w:rPr>
          <w:b/>
        </w:rPr>
      </w:pPr>
      <w:r w:rsidRPr="00CA76FD">
        <w:rPr>
          <w:b/>
        </w:rPr>
        <w:t>I write to request the number of allegations made against serving police officers between January 2017 and January 2023 with a domestic o</w:t>
      </w:r>
      <w:r w:rsidR="00CA76FD">
        <w:rPr>
          <w:b/>
        </w:rPr>
        <w:t>r sexual</w:t>
      </w:r>
      <w:r w:rsidR="00CA76FD">
        <w:rPr>
          <w:b/>
        </w:rPr>
        <w:br/>
        <w:t xml:space="preserve">‘circumstance’ marker.  </w:t>
      </w:r>
      <w:r w:rsidRPr="00CA76FD">
        <w:rPr>
          <w:b/>
        </w:rPr>
        <w:t>As part of this, I would like the information to be</w:t>
      </w:r>
      <w:r w:rsidR="00CA76FD">
        <w:rPr>
          <w:b/>
        </w:rPr>
        <w:t xml:space="preserve"> </w:t>
      </w:r>
      <w:r w:rsidRPr="00CA76FD">
        <w:rPr>
          <w:b/>
        </w:rPr>
        <w:t>broken down into the following:</w:t>
      </w:r>
    </w:p>
    <w:p w:rsidR="00534054" w:rsidRPr="00CA76FD" w:rsidRDefault="00534054" w:rsidP="00CA76FD">
      <w:pPr>
        <w:rPr>
          <w:b/>
        </w:rPr>
      </w:pPr>
      <w:r w:rsidRPr="00CA76FD">
        <w:rPr>
          <w:b/>
        </w:rPr>
        <w:t xml:space="preserve">The number of allegations with a domestic or sexual ‘circumstance’ marker, (including rape) made against serving police officers each year </w:t>
      </w:r>
      <w:r w:rsidR="00CA76FD">
        <w:rPr>
          <w:b/>
        </w:rPr>
        <w:t>-</w:t>
      </w:r>
      <w:r w:rsidRPr="00CA76FD">
        <w:rPr>
          <w:b/>
        </w:rPr>
        <w:t xml:space="preserve"> from January 2017 to January 2023. The sex and gender of each officer against whom an allegation was made.</w:t>
      </w:r>
    </w:p>
    <w:p w:rsidR="00272102" w:rsidRDefault="00534054" w:rsidP="006858B7">
      <w:r>
        <w:lastRenderedPageBreak/>
        <w:t>Please see the information in the table below</w:t>
      </w:r>
      <w:r w:rsidR="00272102">
        <w:t xml:space="preserve"> which breaks down the number of allegations received per calendar year.</w:t>
      </w:r>
      <w:r>
        <w:t xml:space="preserve">  </w:t>
      </w:r>
    </w:p>
    <w:p w:rsidR="006858B7" w:rsidRDefault="00534054" w:rsidP="006858B7">
      <w:r>
        <w:t>It should be noted that t</w:t>
      </w:r>
      <w:r w:rsidR="006858B7">
        <w:t xml:space="preserve">he Police Scotland </w:t>
      </w:r>
      <w:r>
        <w:t>Professional Standards database</w:t>
      </w:r>
      <w:r w:rsidR="006858B7">
        <w:t xml:space="preserve"> </w:t>
      </w:r>
      <w:r w:rsidR="00934989">
        <w:t>does not record the gender of an individual</w:t>
      </w:r>
      <w:r w:rsidR="00CA76FD">
        <w:t xml:space="preserve"> and</w:t>
      </w:r>
      <w:r w:rsidR="006858B7">
        <w:t xml:space="preserve"> section 17 of the Act </w:t>
      </w:r>
      <w:r w:rsidR="00CA76FD">
        <w:t xml:space="preserve">therefore </w:t>
      </w:r>
      <w:r w:rsidR="006858B7">
        <w:t>applies</w:t>
      </w:r>
      <w:r w:rsidR="00BC45CC" w:rsidRPr="00BC45CC">
        <w:t xml:space="preserve"> </w:t>
      </w:r>
      <w:r w:rsidR="00CA76FD">
        <w:t>- the</w:t>
      </w:r>
      <w:r w:rsidR="00BC45CC">
        <w:t xml:space="preserve"> information is not held</w:t>
      </w:r>
      <w:r w:rsidR="006858B7">
        <w:t>.</w:t>
      </w:r>
    </w:p>
    <w:p w:rsidR="00CA76FD" w:rsidRDefault="006858B7" w:rsidP="006858B7">
      <w:r>
        <w:t xml:space="preserve">A breakdown of allegations by the sex of the officer </w:t>
      </w:r>
      <w:r w:rsidR="00934989">
        <w:t xml:space="preserve">against whom an allegation is made </w:t>
      </w:r>
      <w:r>
        <w:t xml:space="preserve">is provided below. </w:t>
      </w:r>
      <w:r w:rsidR="00534054">
        <w:t xml:space="preserve"> </w:t>
      </w:r>
    </w:p>
    <w:p w:rsidR="00934989" w:rsidRDefault="00934989" w:rsidP="006858B7">
      <w:r>
        <w:t xml:space="preserve">It should be noted that this information relates to a total of 642 ‘allegations’ made over a 6 year period </w:t>
      </w:r>
      <w:r w:rsidR="00CA76FD">
        <w:t>-</w:t>
      </w:r>
      <w:r>
        <w:t xml:space="preserve"> this does not equate to 642 officers as there could be more than one allegation made against one officer as part of the s</w:t>
      </w:r>
      <w:r w:rsidR="00272102">
        <w:t>ame complaint or conduct matter as detailed in your last question.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llegations by sex"/>
        <w:tblDescription w:val="Allegations by sex"/>
      </w:tblPr>
      <w:tblGrid>
        <w:gridCol w:w="2263"/>
        <w:gridCol w:w="1587"/>
        <w:gridCol w:w="1926"/>
        <w:gridCol w:w="1926"/>
        <w:gridCol w:w="1926"/>
      </w:tblGrid>
      <w:tr w:rsidR="00D97C1C" w:rsidRPr="00D97C1C" w:rsidTr="00534054">
        <w:trPr>
          <w:tblHeader/>
        </w:trPr>
        <w:tc>
          <w:tcPr>
            <w:tcW w:w="2263" w:type="dxa"/>
            <w:shd w:val="clear" w:color="auto" w:fill="D9D9D9" w:themeFill="background1" w:themeFillShade="D9"/>
          </w:tcPr>
          <w:p w:rsidR="00D97C1C" w:rsidRPr="00D97C1C" w:rsidRDefault="00D97C1C" w:rsidP="006858B7">
            <w:pPr>
              <w:rPr>
                <w:b/>
              </w:rPr>
            </w:pPr>
            <w:r w:rsidRPr="00D97C1C">
              <w:rPr>
                <w:b/>
              </w:rPr>
              <w:t>Year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:rsidR="00D97C1C" w:rsidRPr="00D97C1C" w:rsidRDefault="00D97C1C" w:rsidP="006858B7">
            <w:pPr>
              <w:rPr>
                <w:b/>
              </w:rPr>
            </w:pPr>
            <w:r w:rsidRPr="00D97C1C">
              <w:rPr>
                <w:b/>
              </w:rPr>
              <w:t>Male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D97C1C" w:rsidRPr="00D97C1C" w:rsidRDefault="00D97C1C" w:rsidP="006858B7">
            <w:pPr>
              <w:rPr>
                <w:b/>
              </w:rPr>
            </w:pPr>
            <w:r w:rsidRPr="00D97C1C">
              <w:rPr>
                <w:b/>
              </w:rPr>
              <w:t>Female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D97C1C" w:rsidRPr="00D97C1C" w:rsidRDefault="00D97C1C" w:rsidP="006858B7">
            <w:pPr>
              <w:rPr>
                <w:b/>
              </w:rPr>
            </w:pPr>
            <w:r w:rsidRPr="00D97C1C">
              <w:rPr>
                <w:b/>
              </w:rPr>
              <w:t>Unknown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D97C1C" w:rsidRPr="00D97C1C" w:rsidRDefault="00D97C1C" w:rsidP="006858B7">
            <w:pPr>
              <w:rPr>
                <w:b/>
              </w:rPr>
            </w:pPr>
            <w:r w:rsidRPr="00D97C1C">
              <w:rPr>
                <w:b/>
              </w:rPr>
              <w:t>Total</w:t>
            </w:r>
          </w:p>
        </w:tc>
      </w:tr>
      <w:tr w:rsidR="00D97C1C" w:rsidTr="00534054">
        <w:tc>
          <w:tcPr>
            <w:tcW w:w="2263" w:type="dxa"/>
          </w:tcPr>
          <w:p w:rsidR="00D97C1C" w:rsidRDefault="00D97C1C" w:rsidP="006858B7">
            <w:r>
              <w:t>2017</w:t>
            </w:r>
          </w:p>
        </w:tc>
        <w:tc>
          <w:tcPr>
            <w:tcW w:w="1587" w:type="dxa"/>
          </w:tcPr>
          <w:p w:rsidR="00D97C1C" w:rsidRDefault="00D97C1C" w:rsidP="006858B7">
            <w:r>
              <w:t>95</w:t>
            </w:r>
          </w:p>
        </w:tc>
        <w:tc>
          <w:tcPr>
            <w:tcW w:w="1926" w:type="dxa"/>
          </w:tcPr>
          <w:p w:rsidR="00D97C1C" w:rsidRDefault="00D97C1C" w:rsidP="006858B7">
            <w:r>
              <w:t>11</w:t>
            </w:r>
          </w:p>
        </w:tc>
        <w:tc>
          <w:tcPr>
            <w:tcW w:w="1926" w:type="dxa"/>
          </w:tcPr>
          <w:p w:rsidR="00D97C1C" w:rsidRDefault="00D97C1C" w:rsidP="006858B7">
            <w:r>
              <w:t>1</w:t>
            </w:r>
          </w:p>
        </w:tc>
        <w:tc>
          <w:tcPr>
            <w:tcW w:w="1926" w:type="dxa"/>
          </w:tcPr>
          <w:p w:rsidR="00D97C1C" w:rsidRDefault="00D97C1C" w:rsidP="006858B7">
            <w:r>
              <w:t>107</w:t>
            </w:r>
          </w:p>
        </w:tc>
      </w:tr>
      <w:tr w:rsidR="00D97C1C" w:rsidTr="00534054">
        <w:tc>
          <w:tcPr>
            <w:tcW w:w="2263" w:type="dxa"/>
          </w:tcPr>
          <w:p w:rsidR="00D97C1C" w:rsidRDefault="00D97C1C" w:rsidP="006858B7">
            <w:r>
              <w:t>2018</w:t>
            </w:r>
          </w:p>
        </w:tc>
        <w:tc>
          <w:tcPr>
            <w:tcW w:w="1587" w:type="dxa"/>
          </w:tcPr>
          <w:p w:rsidR="00D97C1C" w:rsidRDefault="00D97C1C" w:rsidP="006858B7">
            <w:r>
              <w:t>56</w:t>
            </w:r>
          </w:p>
        </w:tc>
        <w:tc>
          <w:tcPr>
            <w:tcW w:w="1926" w:type="dxa"/>
          </w:tcPr>
          <w:p w:rsidR="00D97C1C" w:rsidRDefault="00D97C1C" w:rsidP="006858B7">
            <w:r>
              <w:t>7</w:t>
            </w:r>
          </w:p>
        </w:tc>
        <w:tc>
          <w:tcPr>
            <w:tcW w:w="1926" w:type="dxa"/>
          </w:tcPr>
          <w:p w:rsidR="00D97C1C" w:rsidRDefault="00D97C1C" w:rsidP="006858B7">
            <w:r>
              <w:t>0</w:t>
            </w:r>
          </w:p>
        </w:tc>
        <w:tc>
          <w:tcPr>
            <w:tcW w:w="1926" w:type="dxa"/>
          </w:tcPr>
          <w:p w:rsidR="00D97C1C" w:rsidRDefault="00D97C1C" w:rsidP="006858B7">
            <w:r>
              <w:t>63</w:t>
            </w:r>
          </w:p>
        </w:tc>
      </w:tr>
      <w:tr w:rsidR="00D97C1C" w:rsidTr="00534054">
        <w:tc>
          <w:tcPr>
            <w:tcW w:w="2263" w:type="dxa"/>
          </w:tcPr>
          <w:p w:rsidR="00D97C1C" w:rsidRDefault="00D97C1C" w:rsidP="006858B7">
            <w:r>
              <w:t>2019</w:t>
            </w:r>
          </w:p>
        </w:tc>
        <w:tc>
          <w:tcPr>
            <w:tcW w:w="1587" w:type="dxa"/>
          </w:tcPr>
          <w:p w:rsidR="00D97C1C" w:rsidRDefault="00D97C1C" w:rsidP="006858B7">
            <w:r>
              <w:t>109</w:t>
            </w:r>
          </w:p>
        </w:tc>
        <w:tc>
          <w:tcPr>
            <w:tcW w:w="1926" w:type="dxa"/>
          </w:tcPr>
          <w:p w:rsidR="00D97C1C" w:rsidRDefault="00D97C1C" w:rsidP="006858B7">
            <w:r>
              <w:t>16</w:t>
            </w:r>
          </w:p>
        </w:tc>
        <w:tc>
          <w:tcPr>
            <w:tcW w:w="1926" w:type="dxa"/>
          </w:tcPr>
          <w:p w:rsidR="00D97C1C" w:rsidRDefault="00D97C1C" w:rsidP="006858B7">
            <w:r>
              <w:t>0</w:t>
            </w:r>
          </w:p>
        </w:tc>
        <w:tc>
          <w:tcPr>
            <w:tcW w:w="1926" w:type="dxa"/>
          </w:tcPr>
          <w:p w:rsidR="00D97C1C" w:rsidRDefault="00D97C1C" w:rsidP="006858B7">
            <w:r>
              <w:t>125</w:t>
            </w:r>
          </w:p>
        </w:tc>
      </w:tr>
      <w:tr w:rsidR="00D97C1C" w:rsidTr="00534054">
        <w:tc>
          <w:tcPr>
            <w:tcW w:w="2263" w:type="dxa"/>
          </w:tcPr>
          <w:p w:rsidR="00D97C1C" w:rsidRDefault="00D97C1C" w:rsidP="006858B7">
            <w:r>
              <w:t>2020</w:t>
            </w:r>
          </w:p>
        </w:tc>
        <w:tc>
          <w:tcPr>
            <w:tcW w:w="1587" w:type="dxa"/>
          </w:tcPr>
          <w:p w:rsidR="00D97C1C" w:rsidRDefault="00D97C1C" w:rsidP="006858B7">
            <w:r>
              <w:t>117</w:t>
            </w:r>
          </w:p>
        </w:tc>
        <w:tc>
          <w:tcPr>
            <w:tcW w:w="1926" w:type="dxa"/>
          </w:tcPr>
          <w:p w:rsidR="00D97C1C" w:rsidRDefault="00D97C1C" w:rsidP="006858B7">
            <w:r>
              <w:t>7</w:t>
            </w:r>
          </w:p>
        </w:tc>
        <w:tc>
          <w:tcPr>
            <w:tcW w:w="1926" w:type="dxa"/>
          </w:tcPr>
          <w:p w:rsidR="00D97C1C" w:rsidRDefault="00D97C1C" w:rsidP="006858B7">
            <w:r>
              <w:t>0</w:t>
            </w:r>
          </w:p>
        </w:tc>
        <w:tc>
          <w:tcPr>
            <w:tcW w:w="1926" w:type="dxa"/>
          </w:tcPr>
          <w:p w:rsidR="00D97C1C" w:rsidRDefault="00D97C1C" w:rsidP="006858B7">
            <w:r>
              <w:t>124</w:t>
            </w:r>
          </w:p>
        </w:tc>
      </w:tr>
      <w:tr w:rsidR="00D97C1C" w:rsidTr="00534054">
        <w:tc>
          <w:tcPr>
            <w:tcW w:w="2263" w:type="dxa"/>
          </w:tcPr>
          <w:p w:rsidR="00D97C1C" w:rsidRDefault="00D97C1C" w:rsidP="006858B7">
            <w:r>
              <w:t>2021</w:t>
            </w:r>
          </w:p>
        </w:tc>
        <w:tc>
          <w:tcPr>
            <w:tcW w:w="1587" w:type="dxa"/>
          </w:tcPr>
          <w:p w:rsidR="00D97C1C" w:rsidRDefault="00D97C1C" w:rsidP="006858B7">
            <w:r>
              <w:t>90</w:t>
            </w:r>
          </w:p>
        </w:tc>
        <w:tc>
          <w:tcPr>
            <w:tcW w:w="1926" w:type="dxa"/>
          </w:tcPr>
          <w:p w:rsidR="00D97C1C" w:rsidRDefault="00D97C1C" w:rsidP="006858B7">
            <w:r>
              <w:t>24</w:t>
            </w:r>
          </w:p>
        </w:tc>
        <w:tc>
          <w:tcPr>
            <w:tcW w:w="1926" w:type="dxa"/>
          </w:tcPr>
          <w:p w:rsidR="00D97C1C" w:rsidRDefault="00D97C1C" w:rsidP="006858B7">
            <w:r>
              <w:t>0</w:t>
            </w:r>
          </w:p>
        </w:tc>
        <w:tc>
          <w:tcPr>
            <w:tcW w:w="1926" w:type="dxa"/>
          </w:tcPr>
          <w:p w:rsidR="00D97C1C" w:rsidRDefault="00D97C1C" w:rsidP="006858B7">
            <w:r>
              <w:t>114</w:t>
            </w:r>
          </w:p>
        </w:tc>
      </w:tr>
      <w:tr w:rsidR="00D97C1C" w:rsidTr="00534054">
        <w:tc>
          <w:tcPr>
            <w:tcW w:w="2263" w:type="dxa"/>
          </w:tcPr>
          <w:p w:rsidR="00D97C1C" w:rsidRDefault="00D97C1C" w:rsidP="006858B7">
            <w:r>
              <w:t>2022</w:t>
            </w:r>
          </w:p>
        </w:tc>
        <w:tc>
          <w:tcPr>
            <w:tcW w:w="1587" w:type="dxa"/>
          </w:tcPr>
          <w:p w:rsidR="00D97C1C" w:rsidRDefault="00D97C1C" w:rsidP="006858B7">
            <w:r>
              <w:t>89</w:t>
            </w:r>
          </w:p>
        </w:tc>
        <w:tc>
          <w:tcPr>
            <w:tcW w:w="1926" w:type="dxa"/>
          </w:tcPr>
          <w:p w:rsidR="00D97C1C" w:rsidRDefault="00D97C1C" w:rsidP="006858B7">
            <w:r>
              <w:t>15</w:t>
            </w:r>
          </w:p>
        </w:tc>
        <w:tc>
          <w:tcPr>
            <w:tcW w:w="1926" w:type="dxa"/>
          </w:tcPr>
          <w:p w:rsidR="00D97C1C" w:rsidRDefault="00D97C1C" w:rsidP="006858B7">
            <w:r>
              <w:t>0</w:t>
            </w:r>
          </w:p>
        </w:tc>
        <w:tc>
          <w:tcPr>
            <w:tcW w:w="1926" w:type="dxa"/>
          </w:tcPr>
          <w:p w:rsidR="00D97C1C" w:rsidRDefault="00D97C1C" w:rsidP="006858B7">
            <w:r>
              <w:t>104</w:t>
            </w:r>
          </w:p>
        </w:tc>
      </w:tr>
      <w:tr w:rsidR="00D97C1C" w:rsidTr="00534054">
        <w:tc>
          <w:tcPr>
            <w:tcW w:w="2263" w:type="dxa"/>
          </w:tcPr>
          <w:p w:rsidR="00D97C1C" w:rsidRDefault="00534054" w:rsidP="006858B7">
            <w:r>
              <w:t>2023 (to 31/01/23)</w:t>
            </w:r>
          </w:p>
        </w:tc>
        <w:tc>
          <w:tcPr>
            <w:tcW w:w="1587" w:type="dxa"/>
          </w:tcPr>
          <w:p w:rsidR="00D97C1C" w:rsidRDefault="00D97C1C" w:rsidP="006858B7">
            <w:r>
              <w:t>5</w:t>
            </w:r>
          </w:p>
        </w:tc>
        <w:tc>
          <w:tcPr>
            <w:tcW w:w="1926" w:type="dxa"/>
          </w:tcPr>
          <w:p w:rsidR="00D97C1C" w:rsidRDefault="00D97C1C" w:rsidP="006858B7">
            <w:r>
              <w:t>0</w:t>
            </w:r>
          </w:p>
        </w:tc>
        <w:tc>
          <w:tcPr>
            <w:tcW w:w="1926" w:type="dxa"/>
          </w:tcPr>
          <w:p w:rsidR="00D97C1C" w:rsidRDefault="00D97C1C" w:rsidP="006858B7">
            <w:r>
              <w:t>0</w:t>
            </w:r>
          </w:p>
        </w:tc>
        <w:tc>
          <w:tcPr>
            <w:tcW w:w="1926" w:type="dxa"/>
          </w:tcPr>
          <w:p w:rsidR="00D97C1C" w:rsidRDefault="00D97C1C" w:rsidP="006858B7">
            <w:r>
              <w:t>5</w:t>
            </w:r>
          </w:p>
        </w:tc>
      </w:tr>
    </w:tbl>
    <w:p w:rsidR="00272102" w:rsidRDefault="00272102" w:rsidP="00D97C1C">
      <w:pPr>
        <w:pStyle w:val="Heading2"/>
      </w:pPr>
    </w:p>
    <w:p w:rsidR="00D97C1C" w:rsidRDefault="00986AB0" w:rsidP="00D97C1C">
      <w:pPr>
        <w:pStyle w:val="Heading2"/>
      </w:pPr>
      <w:r w:rsidRPr="00986AB0">
        <w:t>The number of allegations that were upheld and resulted in disciplinary action including dismissal, and the number of allegations that were discontinued</w:t>
      </w:r>
      <w:r w:rsidR="00272102">
        <w:t>.</w:t>
      </w:r>
    </w:p>
    <w:p w:rsidR="00D97C1C" w:rsidRDefault="00D97C1C" w:rsidP="00D97C1C">
      <w:r>
        <w:t>Of the 642 allegations, 178 remain ongoing at present.</w:t>
      </w:r>
    </w:p>
    <w:p w:rsidR="00D97C1C" w:rsidRDefault="00B07D20" w:rsidP="00D97C1C">
      <w:r>
        <w:t xml:space="preserve">Of the </w:t>
      </w:r>
      <w:r w:rsidR="00272102">
        <w:t xml:space="preserve">464 remaining, </w:t>
      </w:r>
      <w:r w:rsidR="00D97C1C">
        <w:t>190 were upheld/ resulted in action, 274 were not upheld, abandoned, withdrawn, resulted in no action or the officer retired/ resigned.</w:t>
      </w:r>
    </w:p>
    <w:p w:rsidR="00D97C1C" w:rsidRPr="00D97C1C" w:rsidRDefault="00D97C1C" w:rsidP="00D97C1C"/>
    <w:p w:rsidR="00986AB0" w:rsidRPr="00986AB0" w:rsidRDefault="00986AB0" w:rsidP="00D97C1C">
      <w:pPr>
        <w:pStyle w:val="Heading2"/>
      </w:pPr>
      <w:r w:rsidRPr="00986AB0">
        <w:lastRenderedPageBreak/>
        <w:t>The number of officers against whom allegations were made are still serving</w:t>
      </w:r>
      <w:r w:rsidRPr="00986AB0">
        <w:br/>
        <w:t>police officers.</w:t>
      </w:r>
    </w:p>
    <w:p w:rsidR="00986AB0" w:rsidRPr="00D97C1C" w:rsidRDefault="00D97C1C" w:rsidP="00793DD5">
      <w:pPr>
        <w:tabs>
          <w:tab w:val="left" w:pos="5400"/>
        </w:tabs>
        <w:rPr>
          <w:color w:val="FF0000"/>
        </w:rPr>
      </w:pPr>
      <w:r>
        <w:t>First of all, we would stress that a number of allegations remain under investigation at this time</w:t>
      </w:r>
      <w:r w:rsidR="00272102">
        <w:t xml:space="preserve"> as mentioned in the previous response</w:t>
      </w:r>
      <w:r>
        <w:t>.</w:t>
      </w:r>
      <w:r w:rsidRPr="00D97C1C">
        <w:t xml:space="preserve"> </w:t>
      </w:r>
      <w:r>
        <w:t xml:space="preserve"> A total of 476 police officers are linked to the allegations outlined above</w:t>
      </w:r>
      <w:r w:rsidR="003E21A1">
        <w:t xml:space="preserve">, </w:t>
      </w:r>
      <w:r w:rsidRPr="003E21A1">
        <w:t xml:space="preserve">of whom </w:t>
      </w:r>
      <w:r w:rsidR="003E21A1" w:rsidRPr="003E21A1">
        <w:t xml:space="preserve">312 </w:t>
      </w:r>
      <w:r w:rsidRPr="003E21A1">
        <w:t>remain serving at this time.</w:t>
      </w:r>
    </w:p>
    <w:p w:rsidR="00BC45CC" w:rsidRDefault="00BC45CC" w:rsidP="00793DD5"/>
    <w:p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C4" w:rsidRDefault="00195CC4" w:rsidP="00491644">
      <w:r>
        <w:separator/>
      </w:r>
    </w:p>
  </w:endnote>
  <w:endnote w:type="continuationSeparator" w:id="0">
    <w:p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D6F2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4070C74" wp14:editId="3D757883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E9D002C" wp14:editId="481C75DF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D6F2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D6F2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C4" w:rsidRDefault="00195CC4" w:rsidP="00491644">
      <w:r>
        <w:separator/>
      </w:r>
    </w:p>
  </w:footnote>
  <w:footnote w:type="continuationSeparator" w:id="0">
    <w:p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D6F2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D6F2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D6F2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12"/>
    <w:multiLevelType w:val="hybridMultilevel"/>
    <w:tmpl w:val="8D44D30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0451"/>
    <w:multiLevelType w:val="hybridMultilevel"/>
    <w:tmpl w:val="9962DBF2"/>
    <w:lvl w:ilvl="0" w:tplc="71C05EF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273879"/>
    <w:multiLevelType w:val="hybridMultilevel"/>
    <w:tmpl w:val="82B28C6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C4"/>
    <w:rsid w:val="00090F3B"/>
    <w:rsid w:val="000E6526"/>
    <w:rsid w:val="00141533"/>
    <w:rsid w:val="00167528"/>
    <w:rsid w:val="00195CC4"/>
    <w:rsid w:val="00253DF6"/>
    <w:rsid w:val="00255F1E"/>
    <w:rsid w:val="00272102"/>
    <w:rsid w:val="0036503B"/>
    <w:rsid w:val="003D6D03"/>
    <w:rsid w:val="003E12CA"/>
    <w:rsid w:val="003E21A1"/>
    <w:rsid w:val="004010DC"/>
    <w:rsid w:val="004341F0"/>
    <w:rsid w:val="00456324"/>
    <w:rsid w:val="00461AE4"/>
    <w:rsid w:val="00475460"/>
    <w:rsid w:val="00490317"/>
    <w:rsid w:val="00491644"/>
    <w:rsid w:val="00496A08"/>
    <w:rsid w:val="004E1605"/>
    <w:rsid w:val="004F653C"/>
    <w:rsid w:val="00534054"/>
    <w:rsid w:val="00540A52"/>
    <w:rsid w:val="00557306"/>
    <w:rsid w:val="006858B7"/>
    <w:rsid w:val="006D5799"/>
    <w:rsid w:val="006D6F2A"/>
    <w:rsid w:val="00750D83"/>
    <w:rsid w:val="00793DD5"/>
    <w:rsid w:val="007D55F6"/>
    <w:rsid w:val="007F490F"/>
    <w:rsid w:val="0086779C"/>
    <w:rsid w:val="00874BFD"/>
    <w:rsid w:val="008964EF"/>
    <w:rsid w:val="00934989"/>
    <w:rsid w:val="009631A4"/>
    <w:rsid w:val="00977296"/>
    <w:rsid w:val="00986AB0"/>
    <w:rsid w:val="00A25E93"/>
    <w:rsid w:val="00A320FF"/>
    <w:rsid w:val="00A70AC0"/>
    <w:rsid w:val="00AC443C"/>
    <w:rsid w:val="00AF6ECB"/>
    <w:rsid w:val="00B07D20"/>
    <w:rsid w:val="00B11A55"/>
    <w:rsid w:val="00B17211"/>
    <w:rsid w:val="00B461B2"/>
    <w:rsid w:val="00B71B3C"/>
    <w:rsid w:val="00BC389E"/>
    <w:rsid w:val="00BC45CC"/>
    <w:rsid w:val="00BE1888"/>
    <w:rsid w:val="00BF6B81"/>
    <w:rsid w:val="00C077A8"/>
    <w:rsid w:val="00C606A2"/>
    <w:rsid w:val="00C63872"/>
    <w:rsid w:val="00C84948"/>
    <w:rsid w:val="00CA76FD"/>
    <w:rsid w:val="00CF1111"/>
    <w:rsid w:val="00D05706"/>
    <w:rsid w:val="00D27DC5"/>
    <w:rsid w:val="00D47E36"/>
    <w:rsid w:val="00D97C1C"/>
    <w:rsid w:val="00E55D79"/>
    <w:rsid w:val="00EF4761"/>
    <w:rsid w:val="00F63938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spa-media/fifhh5vo/complaints-about-the-police-sop.pdf" TargetMode="Externa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otland.police.uk/about-us/who-we-are/our-standards-of-professional-behaviou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v.scot/binaries/content/documents/govscot/publications/factsheet/2018/04/conduct-and-performance-procedures-police-guidance/documents/police-guidance-conduct-procedures/police-guidance-conduct-procedures/govscot%3Adocument/Police%2BService%2Bof%2BScotland%2B%2528conduct%2529%2Bregulations%2B2014.pdf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legislation.gov.uk/ssi/2014/68/contents/made" TargetMode="Externa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777</Words>
  <Characters>4431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2023-04-05T14:20:00Z</cp:lastPrinted>
  <dcterms:created xsi:type="dcterms:W3CDTF">2021-10-06T12:31:00Z</dcterms:created>
  <dcterms:modified xsi:type="dcterms:W3CDTF">2023-04-05T14:21:00Z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