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B418E3">
              <w:t>-0517</w:t>
            </w:r>
          </w:p>
          <w:p w:rsidR="00B17211" w:rsidRDefault="00456324" w:rsidP="00903FF8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03FF8">
              <w:t>10</w:t>
            </w:r>
            <w:r w:rsidR="00903FF8" w:rsidRPr="00903FF8">
              <w:rPr>
                <w:vertAlign w:val="superscript"/>
              </w:rPr>
              <w:t>th</w:t>
            </w:r>
            <w:r w:rsidR="00903FF8">
              <w:t xml:space="preserve"> </w:t>
            </w:r>
            <w:bookmarkStart w:id="0" w:name="_GoBack"/>
            <w:bookmarkEnd w:id="0"/>
            <w:r w:rsidR="00F44AC4">
              <w:t>March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B418E3" w:rsidRPr="00B418E3" w:rsidRDefault="00B418E3" w:rsidP="00B418E3">
      <w:pPr>
        <w:pStyle w:val="Heading2"/>
      </w:pPr>
      <w:r w:rsidRPr="00B418E3">
        <w:t>For the period 1st July 2021 to 31st December 2021 can you please tell me how many drone/UAV related calls per month were received and logged by Police Scotland, with a breakdown of th</w:t>
      </w:r>
      <w:r>
        <w:t>e specific nature of each call.</w:t>
      </w:r>
    </w:p>
    <w:p w:rsidR="00B418E3" w:rsidRDefault="00B418E3" w:rsidP="00B418E3">
      <w:pPr>
        <w:pStyle w:val="Heading2"/>
      </w:pPr>
      <w:r w:rsidRPr="00B418E3">
        <w:t>Similarly for the period 1st January 2022 to 31st December 2022 can you please tell me how many drone/UAV related calls per month were received and logged by Police Scotland, with a breakdown of the specific nature of each call.</w:t>
      </w:r>
    </w:p>
    <w:p w:rsidR="00255F1E" w:rsidRDefault="00B418E3" w:rsidP="00B418E3">
      <w:r>
        <w:t>The table below provides the number of Drone/UAS/UAV incidents recorded on Police Scotland’s incident recording system STORM from 1</w:t>
      </w:r>
      <w:r w:rsidRPr="00B418E3">
        <w:rPr>
          <w:vertAlign w:val="superscript"/>
        </w:rPr>
        <w:t>st</w:t>
      </w:r>
      <w:r>
        <w:t xml:space="preserve"> July 2021 to 31</w:t>
      </w:r>
      <w:r w:rsidRPr="00B418E3">
        <w:rPr>
          <w:vertAlign w:val="superscript"/>
        </w:rPr>
        <w:t>st</w:t>
      </w:r>
      <w:r>
        <w:t xml:space="preserve"> December 2022, broken down by month. </w:t>
      </w:r>
    </w:p>
    <w:tbl>
      <w:tblPr>
        <w:tblStyle w:val="TableGrid"/>
        <w:tblW w:w="5695" w:type="dxa"/>
        <w:tblLook w:val="04A0" w:firstRow="1" w:lastRow="0" w:firstColumn="1" w:lastColumn="0" w:noHBand="0" w:noVBand="1"/>
        <w:tblCaption w:val="Number of Recorded Drone/UAS/UAV Incidents"/>
        <w:tblDescription w:val="This table provides a breakdown by month, of the number of Drone/UAS/UAV incidents recorded on STORM from 1st July 2021 to 31st December 2022."/>
      </w:tblPr>
      <w:tblGrid>
        <w:gridCol w:w="1898"/>
        <w:gridCol w:w="1899"/>
        <w:gridCol w:w="1898"/>
      </w:tblGrid>
      <w:tr w:rsidR="00B418E3" w:rsidRPr="00557306" w:rsidTr="00B418E3">
        <w:trPr>
          <w:tblHeader/>
        </w:trPr>
        <w:tc>
          <w:tcPr>
            <w:tcW w:w="1898" w:type="dxa"/>
            <w:shd w:val="clear" w:color="auto" w:fill="D9D9D9" w:themeFill="background1" w:themeFillShade="D9"/>
          </w:tcPr>
          <w:p w:rsidR="00B418E3" w:rsidRPr="00557306" w:rsidRDefault="00B418E3" w:rsidP="00D05706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B418E3" w:rsidRPr="00557306" w:rsidRDefault="00B418E3" w:rsidP="00D05706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:rsidR="00B418E3" w:rsidRPr="00557306" w:rsidRDefault="00B418E3" w:rsidP="00D05706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January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-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142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February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-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128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March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-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251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April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-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199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May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-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204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June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-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219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July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273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197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August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235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258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September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252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218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lastRenderedPageBreak/>
              <w:t>October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309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143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November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340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163</w:t>
            </w:r>
          </w:p>
        </w:tc>
      </w:tr>
      <w:tr w:rsidR="00B418E3" w:rsidTr="00B418E3"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December</w:t>
            </w:r>
          </w:p>
        </w:tc>
        <w:tc>
          <w:tcPr>
            <w:tcW w:w="1899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116</w:t>
            </w:r>
          </w:p>
        </w:tc>
        <w:tc>
          <w:tcPr>
            <w:tcW w:w="1898" w:type="dxa"/>
          </w:tcPr>
          <w:p w:rsidR="00B418E3" w:rsidRDefault="00B418E3" w:rsidP="00255F1E">
            <w:pPr>
              <w:tabs>
                <w:tab w:val="left" w:pos="5400"/>
              </w:tabs>
            </w:pPr>
            <w:r>
              <w:t>90</w:t>
            </w:r>
          </w:p>
        </w:tc>
      </w:tr>
      <w:tr w:rsidR="00B418E3" w:rsidTr="00B418E3">
        <w:tc>
          <w:tcPr>
            <w:tcW w:w="1898" w:type="dxa"/>
            <w:shd w:val="clear" w:color="auto" w:fill="D9D9D9" w:themeFill="background1" w:themeFillShade="D9"/>
          </w:tcPr>
          <w:p w:rsidR="00B418E3" w:rsidRPr="00B418E3" w:rsidRDefault="00B418E3" w:rsidP="00255F1E">
            <w:pPr>
              <w:tabs>
                <w:tab w:val="left" w:pos="5400"/>
              </w:tabs>
              <w:rPr>
                <w:b/>
              </w:rPr>
            </w:pPr>
            <w:r w:rsidRPr="00B418E3">
              <w:rPr>
                <w:b/>
              </w:rPr>
              <w:t>Total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B418E3" w:rsidRPr="00B418E3" w:rsidRDefault="00B418E3" w:rsidP="00255F1E">
            <w:pPr>
              <w:tabs>
                <w:tab w:val="left" w:pos="5400"/>
              </w:tabs>
              <w:rPr>
                <w:b/>
              </w:rPr>
            </w:pPr>
            <w:r w:rsidRPr="00B418E3">
              <w:rPr>
                <w:b/>
              </w:rPr>
              <w:t>1,525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:rsidR="00B418E3" w:rsidRPr="00B418E3" w:rsidRDefault="00B418E3" w:rsidP="00255F1E">
            <w:pPr>
              <w:tabs>
                <w:tab w:val="left" w:pos="5400"/>
              </w:tabs>
              <w:rPr>
                <w:b/>
              </w:rPr>
            </w:pPr>
            <w:r w:rsidRPr="00B418E3">
              <w:rPr>
                <w:b/>
              </w:rPr>
              <w:t>2,212</w:t>
            </w:r>
          </w:p>
        </w:tc>
      </w:tr>
    </w:tbl>
    <w:p w:rsidR="00B418E3" w:rsidRDefault="00B418E3" w:rsidP="00B418E3">
      <w:r w:rsidRPr="00B418E3">
        <w:t>All statistics are provisional and should be treated as management information. All data have been extracted from Police Scotland internal systems and are correct as at 24th February 2023.</w:t>
      </w:r>
    </w:p>
    <w:p w:rsidR="00B418E3" w:rsidRDefault="00B418E3" w:rsidP="00B418E3">
      <w:r>
        <w:t xml:space="preserve">Please note that each incident report would have to be individually examined to establish the specific nature of the call. This is an exercise which I estimate would cost well in excess of the £600 cost limit set out in the Fee Regulations. </w:t>
      </w:r>
    </w:p>
    <w:p w:rsidR="00B418E3" w:rsidRDefault="00B418E3" w:rsidP="00B418E3">
      <w:r w:rsidRPr="00B418E3"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:rsidR="00BF6B81" w:rsidRPr="00B11A55" w:rsidRDefault="00B418E3" w:rsidP="00793DD5">
      <w:pPr>
        <w:tabs>
          <w:tab w:val="left" w:pos="5400"/>
        </w:tabs>
      </w:pPr>
      <w:r w:rsidRPr="00B418E3">
        <w:tab/>
      </w:r>
      <w:r w:rsidRPr="00B418E3">
        <w:tab/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3FF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3FF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3FF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3FF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3FF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3FF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03FF8"/>
    <w:rsid w:val="009631A4"/>
    <w:rsid w:val="00977296"/>
    <w:rsid w:val="00A25E93"/>
    <w:rsid w:val="00A320FF"/>
    <w:rsid w:val="00A70AC0"/>
    <w:rsid w:val="00A721CD"/>
    <w:rsid w:val="00AC443C"/>
    <w:rsid w:val="00B11A55"/>
    <w:rsid w:val="00B17211"/>
    <w:rsid w:val="00B418E3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2023-03-09T10:16:00Z</dcterms:created>
  <dcterms:modified xsi:type="dcterms:W3CDTF">2023-03-10T08:00:00Z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