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436FF0">
              <w:t>0716</w:t>
            </w:r>
          </w:p>
          <w:p w:rsidR="00B17211" w:rsidRDefault="00456324" w:rsidP="00955A39">
            <w:r w:rsidRPr="007F490F">
              <w:rPr>
                <w:rStyle w:val="Heading2Char"/>
              </w:rPr>
              <w:t>Respon</w:t>
            </w:r>
            <w:r w:rsidR="007D55F6">
              <w:rPr>
                <w:rStyle w:val="Heading2Char"/>
              </w:rPr>
              <w:t>ded to:</w:t>
            </w:r>
            <w:r w:rsidR="007F490F">
              <w:t xml:space="preserve"> </w:t>
            </w:r>
            <w:r w:rsidR="00955A39">
              <w:t>29</w:t>
            </w:r>
            <w:bookmarkStart w:id="0" w:name="_GoBack"/>
            <w:bookmarkEnd w:id="0"/>
            <w:r w:rsidR="006D5799">
              <w:t xml:space="preserve"> </w:t>
            </w:r>
            <w:r w:rsidR="00BE1888">
              <w:t>March</w:t>
            </w:r>
            <w:r>
              <w:t xml:space="preserve"> 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712E7C" w:rsidRDefault="00712E7C" w:rsidP="00712E7C">
      <w:r>
        <w:t xml:space="preserve">Tackling domestic abuse is a priority for Police Scotland and we are committed to working with our partners to reduce the harm it causes and ultimately eradicate it. </w:t>
      </w:r>
    </w:p>
    <w:p w:rsidR="00712E7C" w:rsidRDefault="00712E7C" w:rsidP="00712E7C">
      <w:r>
        <w:t xml:space="preserve">Domestic abuse is a despicable and debilitating crime which affects all of our communities and has no respect for ability, age, ethnicity, gender, race, religion or sexual orientation. </w:t>
      </w:r>
    </w:p>
    <w:p w:rsidR="00712E7C" w:rsidRDefault="00712E7C" w:rsidP="00712E7C">
      <w:r>
        <w:t xml:space="preserve">Police Scotland will not tolerate it. </w:t>
      </w:r>
    </w:p>
    <w:p w:rsidR="00712E7C" w:rsidRDefault="00712E7C" w:rsidP="00712E7C">
      <w:r>
        <w:t xml:space="preserve">Police Scotland will proactively target perpetrators and support victims to prevent domestic abuse from damaging the lives of victims and their families. </w:t>
      </w:r>
    </w:p>
    <w:p w:rsidR="00712E7C" w:rsidRDefault="00712E7C" w:rsidP="00712E7C">
      <w:r>
        <w:t>Police Scotland defines domestic abuse as:</w:t>
      </w:r>
    </w:p>
    <w:p w:rsidR="00712E7C" w:rsidRDefault="00712E7C" w:rsidP="00712E7C">
      <w:r>
        <w:t xml:space="preserve">“Any form of physical, verbal, sexual, psychological or financial abuse which might amount to criminal conduct and which takes place within the context of a relationship.  </w:t>
      </w:r>
    </w:p>
    <w:p w:rsidR="00DE2A0C" w:rsidRDefault="00712E7C" w:rsidP="00712E7C">
      <w:r>
        <w:t xml:space="preserve">The relationship will be between partners (married, cohabiting, civil partnership or otherwise) or ex-partners.  </w:t>
      </w:r>
    </w:p>
    <w:p w:rsidR="00712E7C" w:rsidRDefault="00712E7C" w:rsidP="00712E7C">
      <w:r>
        <w:t>The abuse may be committed in the home or elsewhere including online”</w:t>
      </w:r>
    </w:p>
    <w:p w:rsidR="0017365E" w:rsidRDefault="00712E7C" w:rsidP="00712E7C">
      <w:pPr>
        <w:rPr>
          <w:color w:val="222222"/>
        </w:rPr>
      </w:pPr>
      <w:r>
        <w:rPr>
          <w:color w:val="222222"/>
        </w:rPr>
        <w:t>This definition is included in the Joint Protocol between Police Scotland and the Crown Office and Procurator Fiscal Service (COPFS), “</w:t>
      </w:r>
      <w:r>
        <w:rPr>
          <w:i/>
          <w:color w:val="222222"/>
        </w:rPr>
        <w:t>In partnership challenging domestic abuse</w:t>
      </w:r>
      <w:r>
        <w:rPr>
          <w:color w:val="222222"/>
        </w:rPr>
        <w:t xml:space="preserve">” which is a public document that can be found on the </w:t>
      </w:r>
      <w:hyperlink r:id="rId8" w:history="1">
        <w:r w:rsidRPr="00712E7C">
          <w:rPr>
            <w:rStyle w:val="Hyperlink"/>
          </w:rPr>
          <w:t>Police Scotland</w:t>
        </w:r>
      </w:hyperlink>
      <w:r>
        <w:rPr>
          <w:color w:val="222222"/>
        </w:rPr>
        <w:t xml:space="preserve"> website or on the </w:t>
      </w:r>
      <w:hyperlink r:id="rId9" w:history="1">
        <w:r w:rsidRPr="00712E7C">
          <w:rPr>
            <w:rStyle w:val="Hyperlink"/>
          </w:rPr>
          <w:t>COPFS</w:t>
        </w:r>
      </w:hyperlink>
      <w:r>
        <w:rPr>
          <w:color w:val="222222"/>
        </w:rPr>
        <w:t xml:space="preserve"> website.</w:t>
      </w:r>
    </w:p>
    <w:p w:rsidR="00436FF0" w:rsidRPr="00436FF0" w:rsidRDefault="00712E7C" w:rsidP="00436FF0">
      <w:pPr>
        <w:rPr>
          <w:b/>
        </w:rPr>
      </w:pPr>
      <w:r>
        <w:rPr>
          <w:b/>
          <w:bCs/>
        </w:rPr>
        <w:t>How many disclosures were made under Police</w:t>
      </w:r>
      <w:r>
        <w:rPr>
          <w:b/>
        </w:rPr>
        <w:t xml:space="preserve"> </w:t>
      </w:r>
      <w:r w:rsidR="00436FF0" w:rsidRPr="00436FF0">
        <w:rPr>
          <w:b/>
        </w:rPr>
        <w:t>Clare’s Law - the Domestic Violence Disclosure Scheme - using under the Freedom of Information Act.</w:t>
      </w:r>
    </w:p>
    <w:p w:rsidR="00436FF0" w:rsidRDefault="00436FF0" w:rsidP="00436FF0">
      <w:pPr>
        <w:tabs>
          <w:tab w:val="left" w:pos="5400"/>
        </w:tabs>
        <w:rPr>
          <w:rFonts w:eastAsiaTheme="majorEastAsia" w:cstheme="majorBidi"/>
          <w:b/>
          <w:color w:val="000000" w:themeColor="text1"/>
          <w:szCs w:val="26"/>
        </w:rPr>
      </w:pPr>
      <w:r w:rsidRPr="00436FF0">
        <w:rPr>
          <w:rFonts w:eastAsiaTheme="majorEastAsia" w:cstheme="majorBidi"/>
          <w:b/>
          <w:color w:val="000000" w:themeColor="text1"/>
          <w:szCs w:val="26"/>
        </w:rPr>
        <w:t>Would it be possible to disclose the following information - for the calendar years 2014, 2015, 2016, 2017, 2018, 2019, 2020, 2021 and 2022:</w:t>
      </w:r>
    </w:p>
    <w:p w:rsidR="00436FF0" w:rsidRDefault="00436FF0" w:rsidP="00436FF0">
      <w:pPr>
        <w:tabs>
          <w:tab w:val="left" w:pos="5400"/>
        </w:tabs>
        <w:rPr>
          <w:rFonts w:eastAsiaTheme="majorEastAsia" w:cstheme="majorBidi"/>
          <w:b/>
          <w:color w:val="000000" w:themeColor="text1"/>
          <w:szCs w:val="26"/>
        </w:rPr>
      </w:pPr>
    </w:p>
    <w:p w:rsidR="00712E7C" w:rsidRDefault="00436FF0" w:rsidP="00712E7C">
      <w:pPr>
        <w:pStyle w:val="Heading2"/>
      </w:pPr>
      <w:r w:rsidRPr="00436FF0">
        <w:lastRenderedPageBreak/>
        <w:t>How many requests for a disclosure were made to your force under the “Right to Ask” during the years stated above? Can you please include the gender of the person making the request if it was given?</w:t>
      </w:r>
    </w:p>
    <w:tbl>
      <w:tblPr>
        <w:tblStyle w:val="TableGrid"/>
        <w:tblW w:w="9493" w:type="dxa"/>
        <w:tblLook w:val="04A0" w:firstRow="1" w:lastRow="0" w:firstColumn="1" w:lastColumn="0" w:noHBand="0" w:noVBand="1"/>
        <w:tblCaption w:val="Right to ask applications"/>
        <w:tblDescription w:val="Right to ask applications"/>
      </w:tblPr>
      <w:tblGrid>
        <w:gridCol w:w="988"/>
        <w:gridCol w:w="1842"/>
        <w:gridCol w:w="1577"/>
        <w:gridCol w:w="2392"/>
        <w:gridCol w:w="2694"/>
      </w:tblGrid>
      <w:tr w:rsidR="00712E7C" w:rsidRPr="00712E7C" w:rsidTr="00DE2A0C">
        <w:trPr>
          <w:tblHeader/>
        </w:trPr>
        <w:tc>
          <w:tcPr>
            <w:tcW w:w="988" w:type="dxa"/>
            <w:shd w:val="clear" w:color="auto" w:fill="D9D9D9" w:themeFill="background1" w:themeFillShade="D9"/>
          </w:tcPr>
          <w:p w:rsidR="00712E7C" w:rsidRPr="00712E7C" w:rsidRDefault="00712E7C" w:rsidP="00712E7C">
            <w:pPr>
              <w:rPr>
                <w:b/>
              </w:rPr>
            </w:pPr>
            <w:r w:rsidRPr="00712E7C">
              <w:rPr>
                <w:b/>
              </w:rPr>
              <w:t>Year</w:t>
            </w:r>
          </w:p>
        </w:tc>
        <w:tc>
          <w:tcPr>
            <w:tcW w:w="1842" w:type="dxa"/>
            <w:shd w:val="clear" w:color="auto" w:fill="D9D9D9" w:themeFill="background1" w:themeFillShade="D9"/>
          </w:tcPr>
          <w:p w:rsidR="00712E7C" w:rsidRPr="00712E7C" w:rsidRDefault="00712E7C" w:rsidP="00712E7C">
            <w:pPr>
              <w:rPr>
                <w:b/>
              </w:rPr>
            </w:pPr>
            <w:r w:rsidRPr="00712E7C">
              <w:rPr>
                <w:b/>
              </w:rPr>
              <w:t>Right To Ask Applications</w:t>
            </w:r>
          </w:p>
        </w:tc>
        <w:tc>
          <w:tcPr>
            <w:tcW w:w="1577" w:type="dxa"/>
            <w:shd w:val="clear" w:color="auto" w:fill="D9D9D9" w:themeFill="background1" w:themeFillShade="D9"/>
          </w:tcPr>
          <w:p w:rsidR="00712E7C" w:rsidRPr="00712E7C" w:rsidRDefault="00712E7C" w:rsidP="00712E7C">
            <w:pPr>
              <w:rPr>
                <w:b/>
              </w:rPr>
            </w:pPr>
            <w:r w:rsidRPr="00712E7C">
              <w:rPr>
                <w:b/>
              </w:rPr>
              <w:t>Disclosures Made</w:t>
            </w:r>
          </w:p>
        </w:tc>
        <w:tc>
          <w:tcPr>
            <w:tcW w:w="2392" w:type="dxa"/>
            <w:shd w:val="clear" w:color="auto" w:fill="D9D9D9" w:themeFill="background1" w:themeFillShade="D9"/>
          </w:tcPr>
          <w:p w:rsidR="00712E7C" w:rsidRPr="00712E7C" w:rsidRDefault="00712E7C" w:rsidP="00712E7C">
            <w:pPr>
              <w:rPr>
                <w:b/>
              </w:rPr>
            </w:pPr>
            <w:r w:rsidRPr="00712E7C">
              <w:rPr>
                <w:b/>
              </w:rPr>
              <w:t>Person Potentially at Risk  Female</w:t>
            </w:r>
          </w:p>
        </w:tc>
        <w:tc>
          <w:tcPr>
            <w:tcW w:w="2694" w:type="dxa"/>
            <w:shd w:val="clear" w:color="auto" w:fill="D9D9D9" w:themeFill="background1" w:themeFillShade="D9"/>
          </w:tcPr>
          <w:p w:rsidR="00712E7C" w:rsidRPr="00712E7C" w:rsidRDefault="00712E7C" w:rsidP="00712E7C">
            <w:pPr>
              <w:rPr>
                <w:b/>
              </w:rPr>
            </w:pPr>
            <w:r w:rsidRPr="00712E7C">
              <w:rPr>
                <w:b/>
              </w:rPr>
              <w:t>Person Potentially at Risk Male</w:t>
            </w:r>
          </w:p>
        </w:tc>
      </w:tr>
      <w:tr w:rsidR="00712E7C" w:rsidRPr="00712E7C" w:rsidTr="00DE2A0C">
        <w:trPr>
          <w:trHeight w:val="637"/>
        </w:trPr>
        <w:tc>
          <w:tcPr>
            <w:tcW w:w="988" w:type="dxa"/>
            <w:hideMark/>
          </w:tcPr>
          <w:p w:rsidR="00712E7C" w:rsidRPr="00712E7C" w:rsidRDefault="00712E7C" w:rsidP="00712E7C">
            <w:r w:rsidRPr="00712E7C">
              <w:t>2015</w:t>
            </w:r>
          </w:p>
        </w:tc>
        <w:tc>
          <w:tcPr>
            <w:tcW w:w="1842" w:type="dxa"/>
            <w:hideMark/>
          </w:tcPr>
          <w:p w:rsidR="00712E7C" w:rsidRPr="00712E7C" w:rsidRDefault="00712E7C" w:rsidP="00712E7C">
            <w:r w:rsidRPr="00712E7C">
              <w:t>23</w:t>
            </w:r>
          </w:p>
        </w:tc>
        <w:tc>
          <w:tcPr>
            <w:tcW w:w="1577" w:type="dxa"/>
            <w:hideMark/>
          </w:tcPr>
          <w:p w:rsidR="00712E7C" w:rsidRPr="00712E7C" w:rsidRDefault="00712E7C" w:rsidP="00712E7C">
            <w:r w:rsidRPr="00712E7C">
              <w:t>17</w:t>
            </w:r>
          </w:p>
        </w:tc>
        <w:tc>
          <w:tcPr>
            <w:tcW w:w="2392" w:type="dxa"/>
            <w:hideMark/>
          </w:tcPr>
          <w:p w:rsidR="00712E7C" w:rsidRPr="00712E7C" w:rsidRDefault="00712E7C" w:rsidP="00712E7C">
            <w:r w:rsidRPr="00712E7C">
              <w:t>20</w:t>
            </w:r>
          </w:p>
        </w:tc>
        <w:tc>
          <w:tcPr>
            <w:tcW w:w="2694" w:type="dxa"/>
            <w:hideMark/>
          </w:tcPr>
          <w:p w:rsidR="00712E7C" w:rsidRPr="00712E7C" w:rsidRDefault="00712E7C" w:rsidP="00712E7C">
            <w:r w:rsidRPr="00712E7C">
              <w:t>3</w:t>
            </w:r>
          </w:p>
        </w:tc>
      </w:tr>
      <w:tr w:rsidR="00712E7C" w:rsidRPr="00712E7C" w:rsidTr="00DE2A0C">
        <w:trPr>
          <w:trHeight w:val="637"/>
        </w:trPr>
        <w:tc>
          <w:tcPr>
            <w:tcW w:w="988" w:type="dxa"/>
            <w:hideMark/>
          </w:tcPr>
          <w:p w:rsidR="00712E7C" w:rsidRPr="00712E7C" w:rsidRDefault="00712E7C" w:rsidP="00712E7C">
            <w:r w:rsidRPr="00712E7C">
              <w:t>2016</w:t>
            </w:r>
          </w:p>
        </w:tc>
        <w:tc>
          <w:tcPr>
            <w:tcW w:w="1842" w:type="dxa"/>
            <w:hideMark/>
          </w:tcPr>
          <w:p w:rsidR="00712E7C" w:rsidRPr="00712E7C" w:rsidRDefault="00712E7C" w:rsidP="00712E7C">
            <w:r w:rsidRPr="00712E7C">
              <w:t>83</w:t>
            </w:r>
          </w:p>
        </w:tc>
        <w:tc>
          <w:tcPr>
            <w:tcW w:w="1577" w:type="dxa"/>
            <w:hideMark/>
          </w:tcPr>
          <w:p w:rsidR="00712E7C" w:rsidRPr="00712E7C" w:rsidRDefault="00712E7C" w:rsidP="00712E7C">
            <w:r w:rsidRPr="00712E7C">
              <w:t>49</w:t>
            </w:r>
          </w:p>
        </w:tc>
        <w:tc>
          <w:tcPr>
            <w:tcW w:w="2392" w:type="dxa"/>
            <w:hideMark/>
          </w:tcPr>
          <w:p w:rsidR="00712E7C" w:rsidRPr="00712E7C" w:rsidRDefault="00712E7C" w:rsidP="00712E7C">
            <w:r w:rsidRPr="00712E7C">
              <w:t>81</w:t>
            </w:r>
          </w:p>
        </w:tc>
        <w:tc>
          <w:tcPr>
            <w:tcW w:w="2694" w:type="dxa"/>
            <w:hideMark/>
          </w:tcPr>
          <w:p w:rsidR="00712E7C" w:rsidRPr="00712E7C" w:rsidRDefault="00712E7C" w:rsidP="00712E7C">
            <w:r w:rsidRPr="00712E7C">
              <w:t>5</w:t>
            </w:r>
          </w:p>
        </w:tc>
      </w:tr>
      <w:tr w:rsidR="00712E7C" w:rsidRPr="00712E7C" w:rsidTr="00DE2A0C">
        <w:trPr>
          <w:trHeight w:val="637"/>
        </w:trPr>
        <w:tc>
          <w:tcPr>
            <w:tcW w:w="988" w:type="dxa"/>
            <w:hideMark/>
          </w:tcPr>
          <w:p w:rsidR="00712E7C" w:rsidRPr="00712E7C" w:rsidRDefault="00712E7C" w:rsidP="00712E7C">
            <w:r w:rsidRPr="00712E7C">
              <w:t>2017</w:t>
            </w:r>
          </w:p>
        </w:tc>
        <w:tc>
          <w:tcPr>
            <w:tcW w:w="1842" w:type="dxa"/>
            <w:hideMark/>
          </w:tcPr>
          <w:p w:rsidR="00712E7C" w:rsidRPr="00712E7C" w:rsidRDefault="00712E7C" w:rsidP="00712E7C">
            <w:r w:rsidRPr="00712E7C">
              <w:t>417</w:t>
            </w:r>
          </w:p>
        </w:tc>
        <w:tc>
          <w:tcPr>
            <w:tcW w:w="1577" w:type="dxa"/>
            <w:hideMark/>
          </w:tcPr>
          <w:p w:rsidR="00712E7C" w:rsidRPr="00712E7C" w:rsidRDefault="00712E7C" w:rsidP="00712E7C">
            <w:r w:rsidRPr="00712E7C">
              <w:t>144</w:t>
            </w:r>
          </w:p>
        </w:tc>
        <w:tc>
          <w:tcPr>
            <w:tcW w:w="2392" w:type="dxa"/>
            <w:hideMark/>
          </w:tcPr>
          <w:p w:rsidR="00712E7C" w:rsidRPr="00712E7C" w:rsidRDefault="00712E7C" w:rsidP="00712E7C">
            <w:r w:rsidRPr="00712E7C">
              <w:t>400</w:t>
            </w:r>
          </w:p>
        </w:tc>
        <w:tc>
          <w:tcPr>
            <w:tcW w:w="2694" w:type="dxa"/>
            <w:hideMark/>
          </w:tcPr>
          <w:p w:rsidR="00712E7C" w:rsidRPr="00712E7C" w:rsidRDefault="00712E7C" w:rsidP="00712E7C">
            <w:r w:rsidRPr="00712E7C">
              <w:t>17</w:t>
            </w:r>
          </w:p>
        </w:tc>
      </w:tr>
      <w:tr w:rsidR="00712E7C" w:rsidRPr="00712E7C" w:rsidTr="00DE2A0C">
        <w:trPr>
          <w:trHeight w:val="622"/>
        </w:trPr>
        <w:tc>
          <w:tcPr>
            <w:tcW w:w="988" w:type="dxa"/>
            <w:hideMark/>
          </w:tcPr>
          <w:p w:rsidR="00712E7C" w:rsidRPr="00712E7C" w:rsidRDefault="00712E7C" w:rsidP="00712E7C">
            <w:r w:rsidRPr="00712E7C">
              <w:t>2018</w:t>
            </w:r>
          </w:p>
        </w:tc>
        <w:tc>
          <w:tcPr>
            <w:tcW w:w="1842" w:type="dxa"/>
            <w:hideMark/>
          </w:tcPr>
          <w:p w:rsidR="00712E7C" w:rsidRPr="00712E7C" w:rsidRDefault="00712E7C" w:rsidP="00712E7C">
            <w:r w:rsidRPr="00712E7C">
              <w:t>559</w:t>
            </w:r>
          </w:p>
        </w:tc>
        <w:tc>
          <w:tcPr>
            <w:tcW w:w="1577" w:type="dxa"/>
            <w:hideMark/>
          </w:tcPr>
          <w:p w:rsidR="00712E7C" w:rsidRPr="00712E7C" w:rsidRDefault="00712E7C" w:rsidP="00712E7C">
            <w:r w:rsidRPr="00712E7C">
              <w:t>185</w:t>
            </w:r>
          </w:p>
        </w:tc>
        <w:tc>
          <w:tcPr>
            <w:tcW w:w="2392" w:type="dxa"/>
            <w:hideMark/>
          </w:tcPr>
          <w:p w:rsidR="00712E7C" w:rsidRPr="00712E7C" w:rsidRDefault="00712E7C" w:rsidP="00712E7C">
            <w:r w:rsidRPr="00712E7C">
              <w:t>550</w:t>
            </w:r>
          </w:p>
        </w:tc>
        <w:tc>
          <w:tcPr>
            <w:tcW w:w="2694" w:type="dxa"/>
            <w:hideMark/>
          </w:tcPr>
          <w:p w:rsidR="00712E7C" w:rsidRPr="00712E7C" w:rsidRDefault="00712E7C" w:rsidP="00712E7C">
            <w:r w:rsidRPr="00712E7C">
              <w:t>15</w:t>
            </w:r>
          </w:p>
        </w:tc>
      </w:tr>
      <w:tr w:rsidR="00712E7C" w:rsidRPr="00712E7C" w:rsidTr="00DE2A0C">
        <w:trPr>
          <w:trHeight w:val="637"/>
        </w:trPr>
        <w:tc>
          <w:tcPr>
            <w:tcW w:w="988" w:type="dxa"/>
            <w:hideMark/>
          </w:tcPr>
          <w:p w:rsidR="00712E7C" w:rsidRPr="00712E7C" w:rsidRDefault="00712E7C" w:rsidP="00712E7C">
            <w:r w:rsidRPr="00712E7C">
              <w:t>2019</w:t>
            </w:r>
          </w:p>
        </w:tc>
        <w:tc>
          <w:tcPr>
            <w:tcW w:w="1842" w:type="dxa"/>
            <w:hideMark/>
          </w:tcPr>
          <w:p w:rsidR="00712E7C" w:rsidRPr="00712E7C" w:rsidRDefault="00712E7C" w:rsidP="00712E7C">
            <w:r w:rsidRPr="00712E7C">
              <w:t>729</w:t>
            </w:r>
          </w:p>
        </w:tc>
        <w:tc>
          <w:tcPr>
            <w:tcW w:w="1577" w:type="dxa"/>
            <w:hideMark/>
          </w:tcPr>
          <w:p w:rsidR="00712E7C" w:rsidRPr="00712E7C" w:rsidRDefault="00712E7C" w:rsidP="00712E7C">
            <w:r w:rsidRPr="00712E7C">
              <w:t>238</w:t>
            </w:r>
          </w:p>
        </w:tc>
        <w:tc>
          <w:tcPr>
            <w:tcW w:w="2392" w:type="dxa"/>
            <w:hideMark/>
          </w:tcPr>
          <w:p w:rsidR="00712E7C" w:rsidRPr="00712E7C" w:rsidRDefault="00712E7C" w:rsidP="00712E7C">
            <w:r w:rsidRPr="00712E7C">
              <w:t>702</w:t>
            </w:r>
          </w:p>
        </w:tc>
        <w:tc>
          <w:tcPr>
            <w:tcW w:w="2694" w:type="dxa"/>
            <w:hideMark/>
          </w:tcPr>
          <w:p w:rsidR="00712E7C" w:rsidRPr="00712E7C" w:rsidRDefault="00712E7C" w:rsidP="00712E7C">
            <w:r w:rsidRPr="00712E7C">
              <w:t>32</w:t>
            </w:r>
          </w:p>
        </w:tc>
      </w:tr>
      <w:tr w:rsidR="00712E7C" w:rsidRPr="00712E7C" w:rsidTr="00DE2A0C">
        <w:trPr>
          <w:trHeight w:val="637"/>
        </w:trPr>
        <w:tc>
          <w:tcPr>
            <w:tcW w:w="988" w:type="dxa"/>
            <w:hideMark/>
          </w:tcPr>
          <w:p w:rsidR="00712E7C" w:rsidRPr="00712E7C" w:rsidRDefault="00712E7C" w:rsidP="00712E7C">
            <w:r w:rsidRPr="00712E7C">
              <w:t>2020</w:t>
            </w:r>
          </w:p>
        </w:tc>
        <w:tc>
          <w:tcPr>
            <w:tcW w:w="1842" w:type="dxa"/>
            <w:hideMark/>
          </w:tcPr>
          <w:p w:rsidR="00712E7C" w:rsidRPr="00712E7C" w:rsidRDefault="00712E7C" w:rsidP="00712E7C">
            <w:r w:rsidRPr="00712E7C">
              <w:t>892</w:t>
            </w:r>
          </w:p>
        </w:tc>
        <w:tc>
          <w:tcPr>
            <w:tcW w:w="1577" w:type="dxa"/>
            <w:hideMark/>
          </w:tcPr>
          <w:p w:rsidR="00712E7C" w:rsidRPr="00712E7C" w:rsidRDefault="00712E7C" w:rsidP="00712E7C">
            <w:r w:rsidRPr="00712E7C">
              <w:t>307</w:t>
            </w:r>
          </w:p>
        </w:tc>
        <w:tc>
          <w:tcPr>
            <w:tcW w:w="2392" w:type="dxa"/>
            <w:hideMark/>
          </w:tcPr>
          <w:p w:rsidR="00712E7C" w:rsidRPr="00712E7C" w:rsidRDefault="00712E7C" w:rsidP="00712E7C">
            <w:r w:rsidRPr="00712E7C">
              <w:t>860</w:t>
            </w:r>
          </w:p>
        </w:tc>
        <w:tc>
          <w:tcPr>
            <w:tcW w:w="2694" w:type="dxa"/>
            <w:hideMark/>
          </w:tcPr>
          <w:p w:rsidR="00712E7C" w:rsidRPr="00712E7C" w:rsidRDefault="00712E7C" w:rsidP="00712E7C">
            <w:r w:rsidRPr="00712E7C">
              <w:t>31</w:t>
            </w:r>
          </w:p>
        </w:tc>
      </w:tr>
      <w:tr w:rsidR="00712E7C" w:rsidRPr="00712E7C" w:rsidTr="00DE2A0C">
        <w:trPr>
          <w:trHeight w:val="637"/>
        </w:trPr>
        <w:tc>
          <w:tcPr>
            <w:tcW w:w="988" w:type="dxa"/>
            <w:hideMark/>
          </w:tcPr>
          <w:p w:rsidR="00712E7C" w:rsidRPr="00712E7C" w:rsidRDefault="00712E7C" w:rsidP="00712E7C">
            <w:r w:rsidRPr="00712E7C">
              <w:t>2021</w:t>
            </w:r>
          </w:p>
        </w:tc>
        <w:tc>
          <w:tcPr>
            <w:tcW w:w="1842" w:type="dxa"/>
            <w:hideMark/>
          </w:tcPr>
          <w:p w:rsidR="00712E7C" w:rsidRPr="00712E7C" w:rsidRDefault="00712E7C" w:rsidP="00712E7C">
            <w:r w:rsidRPr="00712E7C">
              <w:t>1114</w:t>
            </w:r>
          </w:p>
        </w:tc>
        <w:tc>
          <w:tcPr>
            <w:tcW w:w="1577" w:type="dxa"/>
            <w:hideMark/>
          </w:tcPr>
          <w:p w:rsidR="00712E7C" w:rsidRPr="00712E7C" w:rsidRDefault="00712E7C" w:rsidP="00712E7C">
            <w:r w:rsidRPr="00712E7C">
              <w:t>392</w:t>
            </w:r>
          </w:p>
        </w:tc>
        <w:tc>
          <w:tcPr>
            <w:tcW w:w="2392" w:type="dxa"/>
            <w:hideMark/>
          </w:tcPr>
          <w:p w:rsidR="00712E7C" w:rsidRPr="00712E7C" w:rsidRDefault="00712E7C" w:rsidP="00712E7C">
            <w:r w:rsidRPr="00712E7C">
              <w:t>1079</w:t>
            </w:r>
          </w:p>
        </w:tc>
        <w:tc>
          <w:tcPr>
            <w:tcW w:w="2694" w:type="dxa"/>
            <w:hideMark/>
          </w:tcPr>
          <w:p w:rsidR="00712E7C" w:rsidRPr="00712E7C" w:rsidRDefault="00712E7C" w:rsidP="00712E7C">
            <w:r w:rsidRPr="00712E7C">
              <w:t>36</w:t>
            </w:r>
          </w:p>
        </w:tc>
      </w:tr>
      <w:tr w:rsidR="00712E7C" w:rsidRPr="00712E7C" w:rsidTr="00DE2A0C">
        <w:trPr>
          <w:trHeight w:val="651"/>
        </w:trPr>
        <w:tc>
          <w:tcPr>
            <w:tcW w:w="988" w:type="dxa"/>
            <w:hideMark/>
          </w:tcPr>
          <w:p w:rsidR="00712E7C" w:rsidRPr="00712E7C" w:rsidRDefault="00712E7C" w:rsidP="00712E7C">
            <w:r w:rsidRPr="00712E7C">
              <w:t>2022</w:t>
            </w:r>
          </w:p>
        </w:tc>
        <w:tc>
          <w:tcPr>
            <w:tcW w:w="1842" w:type="dxa"/>
            <w:hideMark/>
          </w:tcPr>
          <w:p w:rsidR="00712E7C" w:rsidRPr="00712E7C" w:rsidRDefault="00712E7C" w:rsidP="00712E7C">
            <w:r w:rsidRPr="00712E7C">
              <w:t>1314</w:t>
            </w:r>
          </w:p>
        </w:tc>
        <w:tc>
          <w:tcPr>
            <w:tcW w:w="1577" w:type="dxa"/>
            <w:hideMark/>
          </w:tcPr>
          <w:p w:rsidR="00712E7C" w:rsidRPr="00712E7C" w:rsidRDefault="00712E7C" w:rsidP="00712E7C">
            <w:r w:rsidRPr="00712E7C">
              <w:t>451</w:t>
            </w:r>
          </w:p>
        </w:tc>
        <w:tc>
          <w:tcPr>
            <w:tcW w:w="2392" w:type="dxa"/>
            <w:hideMark/>
          </w:tcPr>
          <w:p w:rsidR="00712E7C" w:rsidRPr="00712E7C" w:rsidRDefault="00712E7C" w:rsidP="00712E7C">
            <w:r w:rsidRPr="00712E7C">
              <w:t>1260</w:t>
            </w:r>
          </w:p>
        </w:tc>
        <w:tc>
          <w:tcPr>
            <w:tcW w:w="2694" w:type="dxa"/>
            <w:hideMark/>
          </w:tcPr>
          <w:p w:rsidR="00712E7C" w:rsidRPr="00712E7C" w:rsidRDefault="00712E7C" w:rsidP="00712E7C">
            <w:r w:rsidRPr="00712E7C">
              <w:t>54</w:t>
            </w:r>
          </w:p>
        </w:tc>
      </w:tr>
    </w:tbl>
    <w:p w:rsidR="00712E7C" w:rsidRDefault="00712E7C" w:rsidP="00712E7C">
      <w:pPr>
        <w:pStyle w:val="Heading2"/>
        <w:rPr>
          <w:rFonts w:eastAsiaTheme="minorHAnsi" w:cs="Arial"/>
          <w:b w:val="0"/>
          <w:color w:val="auto"/>
          <w:szCs w:val="24"/>
        </w:rPr>
      </w:pPr>
    </w:p>
    <w:p w:rsidR="00712E7C" w:rsidRDefault="00712E7C" w:rsidP="00DE2A0C">
      <w:pPr>
        <w:pStyle w:val="Heading2"/>
      </w:pPr>
      <w:r w:rsidRPr="00436FF0">
        <w:t>How many requests for disclosures were made to your force under the under ‘Right to Know’ during this time period? Can you please reveal which gender the right to know request relates to?</w:t>
      </w:r>
    </w:p>
    <w:tbl>
      <w:tblPr>
        <w:tblStyle w:val="TableGrid"/>
        <w:tblW w:w="9493" w:type="dxa"/>
        <w:tblLook w:val="04A0" w:firstRow="1" w:lastRow="0" w:firstColumn="1" w:lastColumn="0" w:noHBand="0" w:noVBand="1"/>
        <w:tblCaption w:val="Power to tell applications"/>
        <w:tblDescription w:val="Power to tell applications"/>
      </w:tblPr>
      <w:tblGrid>
        <w:gridCol w:w="988"/>
        <w:gridCol w:w="1842"/>
        <w:gridCol w:w="1577"/>
        <w:gridCol w:w="2392"/>
        <w:gridCol w:w="2694"/>
      </w:tblGrid>
      <w:tr w:rsidR="00712E7C" w:rsidRPr="00557306" w:rsidTr="00DE2A0C">
        <w:trPr>
          <w:tblHeader/>
        </w:trPr>
        <w:tc>
          <w:tcPr>
            <w:tcW w:w="988" w:type="dxa"/>
            <w:shd w:val="clear" w:color="auto" w:fill="D9D9D9" w:themeFill="background1" w:themeFillShade="D9"/>
          </w:tcPr>
          <w:p w:rsidR="00712E7C" w:rsidRPr="00712E7C" w:rsidRDefault="00712E7C" w:rsidP="00712E7C">
            <w:pPr>
              <w:rPr>
                <w:b/>
              </w:rPr>
            </w:pPr>
            <w:r w:rsidRPr="00712E7C">
              <w:rPr>
                <w:b/>
              </w:rPr>
              <w:t>Year</w:t>
            </w:r>
          </w:p>
        </w:tc>
        <w:tc>
          <w:tcPr>
            <w:tcW w:w="1842" w:type="dxa"/>
            <w:shd w:val="clear" w:color="auto" w:fill="D9D9D9" w:themeFill="background1" w:themeFillShade="D9"/>
          </w:tcPr>
          <w:p w:rsidR="00712E7C" w:rsidRPr="00712E7C" w:rsidRDefault="00712E7C" w:rsidP="00712E7C">
            <w:pPr>
              <w:rPr>
                <w:b/>
              </w:rPr>
            </w:pPr>
            <w:r w:rsidRPr="00712E7C">
              <w:rPr>
                <w:b/>
              </w:rPr>
              <w:t>Power To Tell Application</w:t>
            </w:r>
          </w:p>
        </w:tc>
        <w:tc>
          <w:tcPr>
            <w:tcW w:w="1577" w:type="dxa"/>
            <w:shd w:val="clear" w:color="auto" w:fill="D9D9D9" w:themeFill="background1" w:themeFillShade="D9"/>
          </w:tcPr>
          <w:p w:rsidR="00712E7C" w:rsidRPr="00712E7C" w:rsidRDefault="00712E7C" w:rsidP="00712E7C">
            <w:pPr>
              <w:rPr>
                <w:b/>
              </w:rPr>
            </w:pPr>
            <w:r w:rsidRPr="00712E7C">
              <w:rPr>
                <w:b/>
              </w:rPr>
              <w:t>Disclosures Made</w:t>
            </w:r>
          </w:p>
        </w:tc>
        <w:tc>
          <w:tcPr>
            <w:tcW w:w="2392" w:type="dxa"/>
            <w:shd w:val="clear" w:color="auto" w:fill="D9D9D9" w:themeFill="background1" w:themeFillShade="D9"/>
          </w:tcPr>
          <w:p w:rsidR="00712E7C" w:rsidRPr="00712E7C" w:rsidRDefault="00712E7C" w:rsidP="00712E7C">
            <w:pPr>
              <w:rPr>
                <w:b/>
              </w:rPr>
            </w:pPr>
            <w:r w:rsidRPr="00712E7C">
              <w:rPr>
                <w:b/>
              </w:rPr>
              <w:t>Person Potentially at Risk  Female</w:t>
            </w:r>
          </w:p>
        </w:tc>
        <w:tc>
          <w:tcPr>
            <w:tcW w:w="2694" w:type="dxa"/>
            <w:shd w:val="clear" w:color="auto" w:fill="D9D9D9" w:themeFill="background1" w:themeFillShade="D9"/>
          </w:tcPr>
          <w:p w:rsidR="00712E7C" w:rsidRPr="00712E7C" w:rsidRDefault="00712E7C" w:rsidP="00712E7C">
            <w:pPr>
              <w:rPr>
                <w:b/>
              </w:rPr>
            </w:pPr>
            <w:r w:rsidRPr="00712E7C">
              <w:rPr>
                <w:b/>
              </w:rPr>
              <w:t>Person Potentially at Risk Male</w:t>
            </w:r>
          </w:p>
        </w:tc>
      </w:tr>
      <w:tr w:rsidR="00712E7C" w:rsidRPr="00712E7C" w:rsidTr="00DE2A0C">
        <w:tc>
          <w:tcPr>
            <w:tcW w:w="988"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2015</w:t>
            </w:r>
          </w:p>
        </w:tc>
        <w:tc>
          <w:tcPr>
            <w:tcW w:w="1842"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4</w:t>
            </w:r>
          </w:p>
        </w:tc>
        <w:tc>
          <w:tcPr>
            <w:tcW w:w="1577"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4</w:t>
            </w:r>
          </w:p>
        </w:tc>
        <w:tc>
          <w:tcPr>
            <w:tcW w:w="2392"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4</w:t>
            </w:r>
          </w:p>
        </w:tc>
        <w:tc>
          <w:tcPr>
            <w:tcW w:w="2694"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0</w:t>
            </w:r>
          </w:p>
        </w:tc>
      </w:tr>
      <w:tr w:rsidR="00712E7C" w:rsidRPr="00712E7C" w:rsidTr="00DE2A0C">
        <w:tc>
          <w:tcPr>
            <w:tcW w:w="988"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2016</w:t>
            </w:r>
          </w:p>
        </w:tc>
        <w:tc>
          <w:tcPr>
            <w:tcW w:w="1842"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58</w:t>
            </w:r>
          </w:p>
        </w:tc>
        <w:tc>
          <w:tcPr>
            <w:tcW w:w="1577"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49</w:t>
            </w:r>
          </w:p>
        </w:tc>
        <w:tc>
          <w:tcPr>
            <w:tcW w:w="2392"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57</w:t>
            </w:r>
          </w:p>
        </w:tc>
        <w:tc>
          <w:tcPr>
            <w:tcW w:w="2694"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1</w:t>
            </w:r>
          </w:p>
        </w:tc>
      </w:tr>
      <w:tr w:rsidR="00712E7C" w:rsidRPr="00712E7C" w:rsidTr="00DE2A0C">
        <w:tc>
          <w:tcPr>
            <w:tcW w:w="988"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2017</w:t>
            </w:r>
          </w:p>
        </w:tc>
        <w:tc>
          <w:tcPr>
            <w:tcW w:w="1842"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662</w:t>
            </w:r>
          </w:p>
        </w:tc>
        <w:tc>
          <w:tcPr>
            <w:tcW w:w="1577"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447</w:t>
            </w:r>
          </w:p>
        </w:tc>
        <w:tc>
          <w:tcPr>
            <w:tcW w:w="2392"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642</w:t>
            </w:r>
          </w:p>
        </w:tc>
        <w:tc>
          <w:tcPr>
            <w:tcW w:w="2694"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29</w:t>
            </w:r>
          </w:p>
        </w:tc>
      </w:tr>
      <w:tr w:rsidR="00712E7C" w:rsidRPr="00712E7C" w:rsidTr="00DE2A0C">
        <w:tc>
          <w:tcPr>
            <w:tcW w:w="988"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2018</w:t>
            </w:r>
          </w:p>
        </w:tc>
        <w:tc>
          <w:tcPr>
            <w:tcW w:w="1842"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935</w:t>
            </w:r>
          </w:p>
        </w:tc>
        <w:tc>
          <w:tcPr>
            <w:tcW w:w="1577"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647</w:t>
            </w:r>
          </w:p>
        </w:tc>
        <w:tc>
          <w:tcPr>
            <w:tcW w:w="2392"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905</w:t>
            </w:r>
          </w:p>
        </w:tc>
        <w:tc>
          <w:tcPr>
            <w:tcW w:w="2694"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37</w:t>
            </w:r>
          </w:p>
        </w:tc>
      </w:tr>
      <w:tr w:rsidR="00712E7C" w:rsidRPr="00712E7C" w:rsidTr="00DE2A0C">
        <w:tc>
          <w:tcPr>
            <w:tcW w:w="988"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2019</w:t>
            </w:r>
          </w:p>
        </w:tc>
        <w:tc>
          <w:tcPr>
            <w:tcW w:w="1842"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1672</w:t>
            </w:r>
          </w:p>
        </w:tc>
        <w:tc>
          <w:tcPr>
            <w:tcW w:w="1577"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1085</w:t>
            </w:r>
          </w:p>
        </w:tc>
        <w:tc>
          <w:tcPr>
            <w:tcW w:w="2392"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1560</w:t>
            </w:r>
          </w:p>
        </w:tc>
        <w:tc>
          <w:tcPr>
            <w:tcW w:w="2694"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122</w:t>
            </w:r>
          </w:p>
        </w:tc>
      </w:tr>
      <w:tr w:rsidR="00712E7C" w:rsidRPr="00712E7C" w:rsidTr="00DE2A0C">
        <w:tc>
          <w:tcPr>
            <w:tcW w:w="988"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lastRenderedPageBreak/>
              <w:t>2020</w:t>
            </w:r>
          </w:p>
        </w:tc>
        <w:tc>
          <w:tcPr>
            <w:tcW w:w="1842"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2395</w:t>
            </w:r>
          </w:p>
        </w:tc>
        <w:tc>
          <w:tcPr>
            <w:tcW w:w="1577"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1725</w:t>
            </w:r>
          </w:p>
        </w:tc>
        <w:tc>
          <w:tcPr>
            <w:tcW w:w="2392"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2196</w:t>
            </w:r>
          </w:p>
        </w:tc>
        <w:tc>
          <w:tcPr>
            <w:tcW w:w="2694"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204</w:t>
            </w:r>
          </w:p>
        </w:tc>
      </w:tr>
      <w:tr w:rsidR="00712E7C" w:rsidRPr="00712E7C" w:rsidTr="00DE2A0C">
        <w:tc>
          <w:tcPr>
            <w:tcW w:w="988"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2021</w:t>
            </w:r>
          </w:p>
        </w:tc>
        <w:tc>
          <w:tcPr>
            <w:tcW w:w="1842"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2748</w:t>
            </w:r>
          </w:p>
        </w:tc>
        <w:tc>
          <w:tcPr>
            <w:tcW w:w="1577"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1944</w:t>
            </w:r>
          </w:p>
        </w:tc>
        <w:tc>
          <w:tcPr>
            <w:tcW w:w="2392"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2501</w:t>
            </w:r>
          </w:p>
        </w:tc>
        <w:tc>
          <w:tcPr>
            <w:tcW w:w="2694"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246</w:t>
            </w:r>
          </w:p>
        </w:tc>
      </w:tr>
      <w:tr w:rsidR="00712E7C" w:rsidRPr="00712E7C" w:rsidTr="00DE2A0C">
        <w:tc>
          <w:tcPr>
            <w:tcW w:w="988"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2022</w:t>
            </w:r>
          </w:p>
        </w:tc>
        <w:tc>
          <w:tcPr>
            <w:tcW w:w="1842"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2979</w:t>
            </w:r>
          </w:p>
        </w:tc>
        <w:tc>
          <w:tcPr>
            <w:tcW w:w="1577"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2120</w:t>
            </w:r>
          </w:p>
        </w:tc>
        <w:tc>
          <w:tcPr>
            <w:tcW w:w="2392"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2694</w:t>
            </w:r>
          </w:p>
        </w:tc>
        <w:tc>
          <w:tcPr>
            <w:tcW w:w="2694" w:type="dxa"/>
            <w:hideMark/>
          </w:tcPr>
          <w:p w:rsidR="00712E7C" w:rsidRPr="00712E7C" w:rsidRDefault="00712E7C" w:rsidP="005270B2">
            <w:pPr>
              <w:tabs>
                <w:tab w:val="left" w:pos="5400"/>
              </w:tabs>
              <w:rPr>
                <w:rFonts w:eastAsiaTheme="majorEastAsia" w:cstheme="majorBidi"/>
                <w:color w:val="000000" w:themeColor="text1"/>
                <w:szCs w:val="26"/>
              </w:rPr>
            </w:pPr>
            <w:r w:rsidRPr="00712E7C">
              <w:rPr>
                <w:rFonts w:eastAsiaTheme="majorEastAsia" w:cstheme="majorBidi"/>
                <w:color w:val="000000" w:themeColor="text1"/>
                <w:szCs w:val="26"/>
              </w:rPr>
              <w:t>285</w:t>
            </w:r>
          </w:p>
        </w:tc>
      </w:tr>
    </w:tbl>
    <w:p w:rsidR="00DE2A0C" w:rsidRDefault="00DE2A0C" w:rsidP="00C32DF5">
      <w:pPr>
        <w:jc w:val="both"/>
      </w:pPr>
    </w:p>
    <w:p w:rsidR="00DE2A0C" w:rsidRDefault="00C32DF5" w:rsidP="00C32DF5">
      <w:pPr>
        <w:jc w:val="both"/>
      </w:pPr>
      <w:r>
        <w:t xml:space="preserve">The Domestic Violence Disclosure Scheme (DVDS), known as ‘Clare’s Law’ was introduced in England and Wales in March 2014.  </w:t>
      </w:r>
    </w:p>
    <w:p w:rsidR="00DE2A0C" w:rsidRDefault="00C32DF5" w:rsidP="00C32DF5">
      <w:pPr>
        <w:jc w:val="both"/>
      </w:pPr>
      <w:r>
        <w:t xml:space="preserve">The DVDS was not introduced in Scotland.  </w:t>
      </w:r>
    </w:p>
    <w:p w:rsidR="00DE2A0C" w:rsidRDefault="006975E9" w:rsidP="00C32DF5">
      <w:pPr>
        <w:jc w:val="both"/>
      </w:pPr>
      <w:r>
        <w:t xml:space="preserve">On 1 October 2015, Police Scotland introduced the Disclosure Scheme for Domestic Abuse Scotland (DSDAS) which operates in a similar way to the DVDS. </w:t>
      </w:r>
    </w:p>
    <w:p w:rsidR="00C32DF5" w:rsidRDefault="00C32DF5" w:rsidP="00C32DF5">
      <w:pPr>
        <w:jc w:val="both"/>
      </w:pPr>
      <w:r>
        <w:t>As such, in terms of Section 17 of the Freedom of Information (Scotland) Act 2002, this represents a notice that the information requested is not held by Police Scotland.</w:t>
      </w:r>
    </w:p>
    <w:p w:rsidR="00DE2A0C" w:rsidRDefault="00C32DF5" w:rsidP="00C32DF5">
      <w:pPr>
        <w:jc w:val="both"/>
        <w:rPr>
          <w:lang w:val="en"/>
        </w:rPr>
      </w:pPr>
      <w:r>
        <w:rPr>
          <w:lang w:val="en"/>
        </w:rPr>
        <w:t xml:space="preserve">DSDAS aims to prevent domestic abuse by empowering people with the </w:t>
      </w:r>
      <w:r>
        <w:rPr>
          <w:b/>
          <w:bCs/>
          <w:lang w:val="en"/>
        </w:rPr>
        <w:t>Right to Ask</w:t>
      </w:r>
      <w:r>
        <w:rPr>
          <w:lang w:val="en"/>
        </w:rPr>
        <w:t xml:space="preserve"> about the background of their partner, potential partner or someone who is in a relationship with someone they know, when there is a concern that the individual may be abusive. </w:t>
      </w:r>
    </w:p>
    <w:p w:rsidR="00C32DF5" w:rsidRDefault="00C32DF5" w:rsidP="00C32DF5">
      <w:pPr>
        <w:jc w:val="both"/>
      </w:pPr>
      <w:r>
        <w:rPr>
          <w:lang w:val="en"/>
        </w:rPr>
        <w:t xml:space="preserve">The scheme enables potential victims to make an informed choice on whether to continue their relationship, and provides further help and support to assist the potential victim when making that choice. </w:t>
      </w:r>
    </w:p>
    <w:p w:rsidR="00AE08F9" w:rsidRPr="008D0532" w:rsidRDefault="00C32DF5" w:rsidP="00313EA8">
      <w:pPr>
        <w:jc w:val="both"/>
        <w:rPr>
          <w:lang w:val="en"/>
        </w:rPr>
      </w:pPr>
      <w:r w:rsidRPr="008D0532">
        <w:rPr>
          <w:lang w:val="en"/>
        </w:rPr>
        <w:t xml:space="preserve">DSDAS also provides the </w:t>
      </w:r>
      <w:r w:rsidRPr="008D0532">
        <w:rPr>
          <w:b/>
          <w:lang w:val="en"/>
        </w:rPr>
        <w:t xml:space="preserve">Power to Tell </w:t>
      </w:r>
      <w:r w:rsidRPr="008D0532">
        <w:rPr>
          <w:lang w:val="en"/>
        </w:rPr>
        <w:t>where Police Scotland receives information or intelligence that domestic abuse may impact upon the safety of a victim or potential victim.</w:t>
      </w:r>
      <w:r w:rsidR="00313EA8" w:rsidRPr="008D0532">
        <w:rPr>
          <w:lang w:val="en"/>
        </w:rPr>
        <w:t xml:space="preserve"> </w:t>
      </w:r>
      <w:r w:rsidR="00992EAC" w:rsidRPr="008D0532">
        <w:rPr>
          <w:lang w:val="en"/>
        </w:rPr>
        <w:t xml:space="preserve"> </w:t>
      </w:r>
    </w:p>
    <w:p w:rsidR="00DE2A0C" w:rsidRDefault="00712E7C" w:rsidP="00436FF0">
      <w:pPr>
        <w:tabs>
          <w:tab w:val="left" w:pos="5400"/>
        </w:tabs>
      </w:pPr>
      <w:r w:rsidRPr="00712E7C">
        <w:rPr>
          <w:rFonts w:eastAsiaTheme="majorEastAsia" w:cstheme="majorBidi"/>
          <w:color w:val="000000" w:themeColor="text1"/>
          <w:szCs w:val="26"/>
        </w:rPr>
        <w:t>Please be advised that the</w:t>
      </w:r>
      <w:r w:rsidRPr="00712E7C">
        <w:t xml:space="preserve"> number of DSDAS </w:t>
      </w:r>
      <w:r w:rsidR="00EE0074">
        <w:t>applications</w:t>
      </w:r>
      <w:r w:rsidRPr="00712E7C">
        <w:t xml:space="preserve"> is less than the number of persons identified as being at risk</w:t>
      </w:r>
      <w:r w:rsidRPr="008D0532">
        <w:t xml:space="preserve">. </w:t>
      </w:r>
    </w:p>
    <w:p w:rsidR="00436FF0" w:rsidRDefault="00712E7C" w:rsidP="00436FF0">
      <w:pPr>
        <w:tabs>
          <w:tab w:val="left" w:pos="5400"/>
        </w:tabs>
      </w:pPr>
      <w:r w:rsidRPr="008D0532">
        <w:t xml:space="preserve">This can occur as a result of </w:t>
      </w:r>
      <w:r w:rsidR="00313EA8" w:rsidRPr="008D0532">
        <w:t xml:space="preserve">more than 1 potential victim being identified and </w:t>
      </w:r>
      <w:r w:rsidRPr="008D0532">
        <w:t>multiple ‘persons at risk’ bein</w:t>
      </w:r>
      <w:r w:rsidR="00313EA8" w:rsidRPr="008D0532">
        <w:t xml:space="preserve">g added to a single application </w:t>
      </w:r>
      <w:r w:rsidRPr="008D0532">
        <w:t>or</w:t>
      </w:r>
      <w:r w:rsidR="00313EA8" w:rsidRPr="008D0532">
        <w:t xml:space="preserve"> due to an</w:t>
      </w:r>
      <w:r w:rsidRPr="008D0532">
        <w:t xml:space="preserve"> input error.</w:t>
      </w:r>
    </w:p>
    <w:p w:rsidR="00712E7C" w:rsidRDefault="00712E7C" w:rsidP="00712E7C">
      <w:pPr>
        <w:jc w:val="both"/>
        <w:rPr>
          <w:bCs/>
          <w:iCs/>
        </w:rPr>
      </w:pPr>
      <w:r>
        <w:rPr>
          <w:bCs/>
          <w:iCs/>
        </w:rPr>
        <w:t xml:space="preserve">The DSDAS database is a dynamic database which is constantly being updated and changed. </w:t>
      </w:r>
    </w:p>
    <w:p w:rsidR="00712E7C" w:rsidRPr="00712E7C" w:rsidRDefault="00712E7C" w:rsidP="00712E7C">
      <w:pPr>
        <w:jc w:val="both"/>
        <w:rPr>
          <w:bCs/>
          <w:iCs/>
        </w:rPr>
      </w:pPr>
      <w:r>
        <w:rPr>
          <w:bCs/>
          <w:iCs/>
        </w:rPr>
        <w:t xml:space="preserve">Duplicate applications are often submitted for persons potentially at risk. </w:t>
      </w:r>
    </w:p>
    <w:p w:rsidR="00712E7C" w:rsidRDefault="00712E7C" w:rsidP="00712E7C">
      <w:pPr>
        <w:jc w:val="both"/>
        <w:rPr>
          <w:bCs/>
        </w:rPr>
      </w:pPr>
      <w:r>
        <w:rPr>
          <w:bCs/>
          <w:iCs/>
        </w:rPr>
        <w:lastRenderedPageBreak/>
        <w:t>Every application received by Police Scotland is assessed to confirm that it meets the criteria for disclosure</w:t>
      </w:r>
      <w:r>
        <w:rPr>
          <w:bCs/>
        </w:rPr>
        <w:t xml:space="preserve">. </w:t>
      </w:r>
    </w:p>
    <w:p w:rsidR="00DE2A0C" w:rsidRDefault="00712E7C" w:rsidP="00712E7C">
      <w:pPr>
        <w:jc w:val="both"/>
        <w:rPr>
          <w:bCs/>
        </w:rPr>
      </w:pPr>
      <w:r>
        <w:rPr>
          <w:bCs/>
        </w:rPr>
        <w:t xml:space="preserve">Once an application has been submitted further information may come to light meaning that the application is no longer appropriate, for example if the applicant is no longer in a relationship with that person. </w:t>
      </w:r>
      <w:r w:rsidR="00C32DF5">
        <w:rPr>
          <w:bCs/>
        </w:rPr>
        <w:t xml:space="preserve"> </w:t>
      </w:r>
    </w:p>
    <w:p w:rsidR="00712E7C" w:rsidRDefault="00712E7C" w:rsidP="00712E7C">
      <w:pPr>
        <w:jc w:val="both"/>
        <w:rPr>
          <w:bCs/>
        </w:rPr>
      </w:pPr>
      <w:r>
        <w:rPr>
          <w:bCs/>
        </w:rPr>
        <w:t xml:space="preserve">In this instance the application will not be progressed further. </w:t>
      </w:r>
    </w:p>
    <w:p w:rsidR="00712E7C" w:rsidRDefault="00712E7C" w:rsidP="00712E7C">
      <w:pPr>
        <w:jc w:val="both"/>
        <w:rPr>
          <w:bCs/>
        </w:rPr>
      </w:pPr>
      <w:r>
        <w:rPr>
          <w:bCs/>
        </w:rPr>
        <w:t xml:space="preserve">Additionally in such circumstances where there is no information to disclose the application will not progress to a disclosure. In this instance the applicant will be informed. </w:t>
      </w:r>
    </w:p>
    <w:p w:rsidR="00DE2A0C" w:rsidRDefault="008D0532" w:rsidP="008F5DDE">
      <w:pPr>
        <w:jc w:val="both"/>
        <w:outlineLvl w:val="0"/>
        <w:rPr>
          <w:lang w:val="en"/>
        </w:rPr>
      </w:pPr>
      <w:r>
        <w:rPr>
          <w:lang w:val="en"/>
        </w:rPr>
        <w:t xml:space="preserve">Each potential </w:t>
      </w:r>
      <w:r w:rsidRPr="008D0532">
        <w:rPr>
          <w:lang w:val="en"/>
        </w:rPr>
        <w:t xml:space="preserve">disclosure is </w:t>
      </w:r>
      <w:r>
        <w:rPr>
          <w:lang w:val="en"/>
        </w:rPr>
        <w:t xml:space="preserve">subject to </w:t>
      </w:r>
      <w:r w:rsidRPr="008D0532">
        <w:rPr>
          <w:lang w:val="en"/>
        </w:rPr>
        <w:t xml:space="preserve">multi-agency </w:t>
      </w:r>
      <w:r>
        <w:rPr>
          <w:lang w:val="en"/>
        </w:rPr>
        <w:t>discussion, with</w:t>
      </w:r>
      <w:r w:rsidRPr="008D0532">
        <w:rPr>
          <w:lang w:val="en"/>
        </w:rPr>
        <w:t xml:space="preserve"> at least 2 partner agencie</w:t>
      </w:r>
      <w:r>
        <w:rPr>
          <w:lang w:val="en"/>
        </w:rPr>
        <w:t xml:space="preserve">s. </w:t>
      </w:r>
    </w:p>
    <w:p w:rsidR="00DE2A0C" w:rsidRDefault="008D0532" w:rsidP="008F5DDE">
      <w:pPr>
        <w:jc w:val="both"/>
        <w:outlineLvl w:val="0"/>
        <w:rPr>
          <w:lang w:val="en"/>
        </w:rPr>
      </w:pPr>
      <w:r>
        <w:rPr>
          <w:lang w:val="en"/>
        </w:rPr>
        <w:t>There, those that are agreed to be Lawful, Necessary and Proportionate proceed to disclosure.</w:t>
      </w:r>
    </w:p>
    <w:p w:rsidR="00712E7C" w:rsidRPr="00712E7C" w:rsidRDefault="008D0532" w:rsidP="008F5DDE">
      <w:pPr>
        <w:jc w:val="both"/>
        <w:outlineLvl w:val="0"/>
        <w:rPr>
          <w:bCs/>
        </w:rPr>
      </w:pPr>
      <w:r w:rsidRPr="008D0532">
        <w:rPr>
          <w:lang w:val="en"/>
        </w:rPr>
        <w:t xml:space="preserve">  </w:t>
      </w:r>
    </w:p>
    <w:p w:rsidR="00436FF0" w:rsidRPr="00436FF0" w:rsidRDefault="00436FF0" w:rsidP="00712E7C">
      <w:pPr>
        <w:pStyle w:val="Heading2"/>
      </w:pPr>
      <w:r w:rsidRPr="00436FF0">
        <w:t>Can you please break down as a percentage – the time it took to process the 'Right to Ask' disclosure requests: : a) 0-20 days, b) 21-35 days and c) 36+ days</w:t>
      </w:r>
    </w:p>
    <w:p w:rsidR="00436FF0" w:rsidRPr="00712E7C" w:rsidRDefault="00436FF0" w:rsidP="00712E7C">
      <w:pPr>
        <w:pStyle w:val="Heading2"/>
      </w:pPr>
      <w:r w:rsidRPr="00436FF0">
        <w:t>Can you please provide me with the longest period of time it took to process a ‘Right to Ask’ application (from request to disclosure / outcome) during the years stated above?</w:t>
      </w:r>
    </w:p>
    <w:p w:rsidR="00436FF0" w:rsidRPr="00712E7C" w:rsidRDefault="00436FF0" w:rsidP="00712E7C">
      <w:pPr>
        <w:pStyle w:val="Heading2"/>
      </w:pPr>
      <w:r w:rsidRPr="00436FF0">
        <w:t>Can you please break down as a percentage – the time it took process these 'Right to Know' disclosure requests: : a) 0-20 days, b) 21-35 days and c) 36+ days</w:t>
      </w:r>
    </w:p>
    <w:p w:rsidR="00712E7C" w:rsidRPr="00712E7C" w:rsidRDefault="00436FF0" w:rsidP="00DE2A0C">
      <w:pPr>
        <w:pStyle w:val="Heading2"/>
      </w:pPr>
      <w:r w:rsidRPr="00436FF0">
        <w:t>Can you please provide me with the longest period of time it took to process a ‘Right to Know’ application (from request to disclosure / outcome) during the years stated above?</w:t>
      </w:r>
    </w:p>
    <w:p w:rsidR="00712E7C" w:rsidRPr="00447A31" w:rsidRDefault="00712E7C" w:rsidP="00712E7C">
      <w:pPr>
        <w:tabs>
          <w:tab w:val="left" w:pos="5400"/>
        </w:tabs>
      </w:pPr>
      <w:r w:rsidRPr="00712E7C">
        <w:rPr>
          <w:rFonts w:eastAsiaTheme="majorEastAsia" w:cstheme="majorBidi"/>
          <w:color w:val="000000" w:themeColor="text1"/>
          <w:szCs w:val="26"/>
        </w:rPr>
        <w:t>In response to these questions</w:t>
      </w:r>
      <w:r>
        <w:rPr>
          <w:rFonts w:eastAsiaTheme="majorEastAsia" w:cstheme="majorBidi"/>
          <w:color w:val="000000" w:themeColor="text1"/>
          <w:szCs w:val="26"/>
        </w:rPr>
        <w:t xml:space="preserve"> </w:t>
      </w:r>
      <w:r w:rsidRPr="00447A31">
        <w:t xml:space="preserve">in terms of the Act, I regret to inform you that I am unable to provide you with the information you have requested, as it would prove too costly to do so within the context of the fee regulations.  </w:t>
      </w:r>
    </w:p>
    <w:p w:rsidR="00712E7C" w:rsidRPr="00447A31" w:rsidRDefault="00712E7C" w:rsidP="00712E7C">
      <w:pPr>
        <w:tabs>
          <w:tab w:val="left" w:pos="5400"/>
        </w:tabs>
      </w:pPr>
      <w:r w:rsidRPr="00447A31">
        <w:t xml:space="preserve">As you may be aware the current cost threshold is £600 and I estimate that it would cost well in excess of this amount to process your request. </w:t>
      </w:r>
    </w:p>
    <w:p w:rsidR="00712E7C" w:rsidRPr="00447A31" w:rsidRDefault="00712E7C" w:rsidP="00712E7C">
      <w:pPr>
        <w:tabs>
          <w:tab w:val="left" w:pos="5400"/>
        </w:tabs>
      </w:pPr>
      <w:r w:rsidRPr="00447A31">
        <w:lastRenderedPageBreak/>
        <w:t>As such, and in terms of Section 16(4) of the Freedom of Information (Scotland) Act 2002 where Section 12(1) of the Act (Excessive Cost of Compliance) has been applied, this represents a refusal notice for the information sought.</w:t>
      </w:r>
    </w:p>
    <w:p w:rsidR="00BF6B81" w:rsidRDefault="00712E7C" w:rsidP="00793DD5">
      <w:pPr>
        <w:tabs>
          <w:tab w:val="left" w:pos="5400"/>
        </w:tabs>
      </w:pPr>
      <w:r w:rsidRPr="00447A31">
        <w:t xml:space="preserve">By way of explanation, the only way to provide an accurate response to your request would be to </w:t>
      </w:r>
      <w:r>
        <w:t xml:space="preserve">manually examine every application to establish timescales taken to process requests/applications. </w:t>
      </w:r>
      <w:r w:rsidRPr="00447A31">
        <w:t xml:space="preserve"> </w:t>
      </w:r>
      <w:r>
        <w:t>Given the numbers involved this</w:t>
      </w:r>
      <w:r w:rsidRPr="00447A31">
        <w:t xml:space="preserve"> an exercise which I estimate would far exceed the cost limit s</w:t>
      </w:r>
      <w:r>
        <w:t>et out in the Fees Regulations.</w:t>
      </w:r>
    </w:p>
    <w:p w:rsidR="00DE2A0C" w:rsidRDefault="00DE2A0C"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5A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5A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5A3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5A3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5A3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55A3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F17"/>
    <w:multiLevelType w:val="multilevel"/>
    <w:tmpl w:val="EAB83B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977F9D"/>
    <w:multiLevelType w:val="multilevel"/>
    <w:tmpl w:val="0670488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1A256C9"/>
    <w:multiLevelType w:val="multilevel"/>
    <w:tmpl w:val="5412AC2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FF02D80"/>
    <w:multiLevelType w:val="multilevel"/>
    <w:tmpl w:val="AB4AD99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5DE51E3"/>
    <w:multiLevelType w:val="multilevel"/>
    <w:tmpl w:val="68D668A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47E5D27"/>
    <w:multiLevelType w:val="multilevel"/>
    <w:tmpl w:val="F10ABFA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273D6"/>
    <w:rsid w:val="00141533"/>
    <w:rsid w:val="00167528"/>
    <w:rsid w:val="0017365E"/>
    <w:rsid w:val="00195CC4"/>
    <w:rsid w:val="00253DF6"/>
    <w:rsid w:val="00255F1E"/>
    <w:rsid w:val="00313EA8"/>
    <w:rsid w:val="0036503B"/>
    <w:rsid w:val="003D6D03"/>
    <w:rsid w:val="003E12CA"/>
    <w:rsid w:val="004010DC"/>
    <w:rsid w:val="004341F0"/>
    <w:rsid w:val="00436FF0"/>
    <w:rsid w:val="00456324"/>
    <w:rsid w:val="00475460"/>
    <w:rsid w:val="00490317"/>
    <w:rsid w:val="00491644"/>
    <w:rsid w:val="00496A08"/>
    <w:rsid w:val="004E1605"/>
    <w:rsid w:val="004F653C"/>
    <w:rsid w:val="00540A52"/>
    <w:rsid w:val="00557306"/>
    <w:rsid w:val="00614007"/>
    <w:rsid w:val="006975E9"/>
    <w:rsid w:val="006D5799"/>
    <w:rsid w:val="00712E7C"/>
    <w:rsid w:val="00750D83"/>
    <w:rsid w:val="00793DD5"/>
    <w:rsid w:val="007D55F6"/>
    <w:rsid w:val="007F490F"/>
    <w:rsid w:val="0086779C"/>
    <w:rsid w:val="00874BFD"/>
    <w:rsid w:val="008964EF"/>
    <w:rsid w:val="008D0532"/>
    <w:rsid w:val="008F5DDE"/>
    <w:rsid w:val="00914572"/>
    <w:rsid w:val="00955A39"/>
    <w:rsid w:val="009631A4"/>
    <w:rsid w:val="00977296"/>
    <w:rsid w:val="00992EAC"/>
    <w:rsid w:val="00A25E93"/>
    <w:rsid w:val="00A320FF"/>
    <w:rsid w:val="00A70AC0"/>
    <w:rsid w:val="00AC443C"/>
    <w:rsid w:val="00AE08F9"/>
    <w:rsid w:val="00B11A55"/>
    <w:rsid w:val="00B17211"/>
    <w:rsid w:val="00B461B2"/>
    <w:rsid w:val="00B71B3C"/>
    <w:rsid w:val="00BC389E"/>
    <w:rsid w:val="00BE1888"/>
    <w:rsid w:val="00BE2B5A"/>
    <w:rsid w:val="00BF6B81"/>
    <w:rsid w:val="00C077A8"/>
    <w:rsid w:val="00C32DF5"/>
    <w:rsid w:val="00C606A2"/>
    <w:rsid w:val="00C63872"/>
    <w:rsid w:val="00C84948"/>
    <w:rsid w:val="00CF1111"/>
    <w:rsid w:val="00D05706"/>
    <w:rsid w:val="00D27DC5"/>
    <w:rsid w:val="00D47E36"/>
    <w:rsid w:val="00DE2A0C"/>
    <w:rsid w:val="00E55D79"/>
    <w:rsid w:val="00EE0074"/>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m6542054907290402481gmail-m4950219418135861412msolistparagraph">
    <w:name w:val="m_6542054907290402481gmail-m_4950219418135861412msolistparagraph"/>
    <w:basedOn w:val="Normal"/>
    <w:uiPriority w:val="99"/>
    <w:rsid w:val="00712E7C"/>
    <w:pPr>
      <w:spacing w:before="100" w:beforeAutospacing="1" w:after="100" w:afterAutospacing="1" w:line="240" w:lineRule="auto"/>
    </w:pPr>
    <w:rPr>
      <w:rFonts w:ascii="Times New Roman" w:hAnsi="Times New Roman" w:cs="Times New Roman"/>
      <w:lang w:eastAsia="en-GB"/>
    </w:rPr>
  </w:style>
  <w:style w:type="paragraph" w:styleId="BalloonText">
    <w:name w:val="Balloon Text"/>
    <w:basedOn w:val="Normal"/>
    <w:link w:val="BalloonTextChar"/>
    <w:uiPriority w:val="99"/>
    <w:semiHidden/>
    <w:unhideWhenUsed/>
    <w:rsid w:val="00712E7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E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900224">
      <w:bodyDiv w:val="1"/>
      <w:marLeft w:val="0"/>
      <w:marRight w:val="0"/>
      <w:marTop w:val="0"/>
      <w:marBottom w:val="0"/>
      <w:divBdr>
        <w:top w:val="none" w:sz="0" w:space="0" w:color="auto"/>
        <w:left w:val="none" w:sz="0" w:space="0" w:color="auto"/>
        <w:bottom w:val="none" w:sz="0" w:space="0" w:color="auto"/>
        <w:right w:val="none" w:sz="0" w:space="0" w:color="auto"/>
      </w:divBdr>
    </w:div>
    <w:div w:id="695082228">
      <w:bodyDiv w:val="1"/>
      <w:marLeft w:val="0"/>
      <w:marRight w:val="0"/>
      <w:marTop w:val="0"/>
      <w:marBottom w:val="0"/>
      <w:divBdr>
        <w:top w:val="none" w:sz="0" w:space="0" w:color="auto"/>
        <w:left w:val="none" w:sz="0" w:space="0" w:color="auto"/>
        <w:bottom w:val="none" w:sz="0" w:space="0" w:color="auto"/>
        <w:right w:val="none" w:sz="0" w:space="0" w:color="auto"/>
      </w:divBdr>
    </w:div>
    <w:div w:id="930165297">
      <w:bodyDiv w:val="1"/>
      <w:marLeft w:val="0"/>
      <w:marRight w:val="0"/>
      <w:marTop w:val="0"/>
      <w:marBottom w:val="0"/>
      <w:divBdr>
        <w:top w:val="none" w:sz="0" w:space="0" w:color="auto"/>
        <w:left w:val="none" w:sz="0" w:space="0" w:color="auto"/>
        <w:bottom w:val="none" w:sz="0" w:space="0" w:color="auto"/>
        <w:right w:val="none" w:sz="0" w:space="0" w:color="auto"/>
      </w:divBdr>
    </w:div>
    <w:div w:id="1365205823">
      <w:bodyDiv w:val="1"/>
      <w:marLeft w:val="0"/>
      <w:marRight w:val="0"/>
      <w:marTop w:val="0"/>
      <w:marBottom w:val="0"/>
      <w:divBdr>
        <w:top w:val="none" w:sz="0" w:space="0" w:color="auto"/>
        <w:left w:val="none" w:sz="0" w:space="0" w:color="auto"/>
        <w:bottom w:val="none" w:sz="0" w:space="0" w:color="auto"/>
        <w:right w:val="none" w:sz="0" w:space="0" w:color="auto"/>
      </w:divBdr>
    </w:div>
    <w:div w:id="1564483587">
      <w:bodyDiv w:val="1"/>
      <w:marLeft w:val="0"/>
      <w:marRight w:val="0"/>
      <w:marTop w:val="0"/>
      <w:marBottom w:val="0"/>
      <w:divBdr>
        <w:top w:val="none" w:sz="0" w:space="0" w:color="auto"/>
        <w:left w:val="none" w:sz="0" w:space="0" w:color="auto"/>
        <w:bottom w:val="none" w:sz="0" w:space="0" w:color="auto"/>
        <w:right w:val="none" w:sz="0" w:space="0" w:color="auto"/>
      </w:divBdr>
    </w:div>
    <w:div w:id="1830242124">
      <w:bodyDiv w:val="1"/>
      <w:marLeft w:val="0"/>
      <w:marRight w:val="0"/>
      <w:marTop w:val="0"/>
      <w:marBottom w:val="0"/>
      <w:divBdr>
        <w:top w:val="none" w:sz="0" w:space="0" w:color="auto"/>
        <w:left w:val="none" w:sz="0" w:space="0" w:color="auto"/>
        <w:bottom w:val="none" w:sz="0" w:space="0" w:color="auto"/>
        <w:right w:val="none" w:sz="0" w:space="0" w:color="auto"/>
      </w:divBdr>
    </w:div>
    <w:div w:id="20059310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ymzlwhwj/joint-protocol-between-police-scotland-and-copfs-in-partnership-challenging-domestic-abuse.pdf?view=Standar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opfs.gov.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1194</Words>
  <Characters>6806</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2023-03-29T10:02:00Z</cp:lastPrinted>
  <dcterms:created xsi:type="dcterms:W3CDTF">2023-03-27T13:04:00Z</dcterms:created>
  <dcterms:modified xsi:type="dcterms:W3CDTF">2023-03-29T10:02:00Z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