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901BAD" w:rsidR="00B17211" w:rsidRPr="00B17211" w:rsidRDefault="00B17211" w:rsidP="007F490F">
            <w:r w:rsidRPr="007F490F">
              <w:rPr>
                <w:rStyle w:val="Heading2Char"/>
              </w:rPr>
              <w:t>Our reference:</w:t>
            </w:r>
            <w:r>
              <w:t xml:space="preserve">  FOI 2</w:t>
            </w:r>
            <w:r w:rsidR="00EF0FBB">
              <w:t>5</w:t>
            </w:r>
            <w:r>
              <w:t>-</w:t>
            </w:r>
            <w:r w:rsidR="006A027D">
              <w:t>3760</w:t>
            </w:r>
          </w:p>
          <w:p w14:paraId="34BDABA6" w14:textId="71CA8558" w:rsidR="00B17211" w:rsidRDefault="00456324" w:rsidP="00EE2373">
            <w:r w:rsidRPr="007F490F">
              <w:rPr>
                <w:rStyle w:val="Heading2Char"/>
              </w:rPr>
              <w:t>Respon</w:t>
            </w:r>
            <w:r w:rsidR="007D55F6">
              <w:rPr>
                <w:rStyle w:val="Heading2Char"/>
              </w:rPr>
              <w:t>ded to:</w:t>
            </w:r>
            <w:r w:rsidR="007F490F">
              <w:t xml:space="preserve">  </w:t>
            </w:r>
            <w:r w:rsidR="007517AF">
              <w:t>02</w:t>
            </w:r>
            <w:r w:rsidR="006D5799">
              <w:t xml:space="preserve"> </w:t>
            </w:r>
            <w:r w:rsidR="006A027D">
              <w:t>December</w:t>
            </w:r>
            <w:r>
              <w:t xml:space="preserve"> 202</w:t>
            </w:r>
            <w:r w:rsidR="00EF0FBB">
              <w:t>5</w:t>
            </w:r>
          </w:p>
        </w:tc>
      </w:tr>
    </w:tbl>
    <w:p w14:paraId="34BDABBD" w14:textId="77997781" w:rsidR="00BF6B81" w:rsidRDefault="00793DD5" w:rsidP="006A027D">
      <w:r w:rsidRPr="00793DD5">
        <w:t xml:space="preserve">Your recent request for information is replicated below, together with </w:t>
      </w:r>
      <w:r w:rsidR="004341F0">
        <w:t>our</w:t>
      </w:r>
      <w:r w:rsidRPr="00793DD5">
        <w:t xml:space="preserve"> response.</w:t>
      </w:r>
    </w:p>
    <w:p w14:paraId="2A483356" w14:textId="45736D48" w:rsidR="006A027D" w:rsidRPr="00F61A91" w:rsidRDefault="006A027D" w:rsidP="00F61A91">
      <w:pPr>
        <w:pStyle w:val="ListParagraph"/>
        <w:numPr>
          <w:ilvl w:val="0"/>
          <w:numId w:val="3"/>
        </w:numPr>
        <w:rPr>
          <w:b/>
        </w:rPr>
      </w:pPr>
      <w:r w:rsidRPr="00F61A91">
        <w:rPr>
          <w:b/>
        </w:rPr>
        <w:t>The current statutory or working definition of “terrorism” that Police Scotland uses for operational, recording, investigative, and statistical purposes.</w:t>
      </w:r>
    </w:p>
    <w:p w14:paraId="2EE63865" w14:textId="75A1F5A6" w:rsidR="006A027D" w:rsidRPr="006A027D" w:rsidRDefault="006A027D" w:rsidP="006A027D">
      <w:pPr>
        <w:rPr>
          <w:bCs/>
        </w:rPr>
      </w:pPr>
      <w:r w:rsidRPr="006A027D">
        <w:rPr>
          <w:bCs/>
        </w:rPr>
        <w:t>Police Scotland, in all circumstances, works under the definition of terrorism as per section 1 of the Terrorism Act 2000 as follows:</w:t>
      </w:r>
    </w:p>
    <w:p w14:paraId="510E3F7A" w14:textId="77777777" w:rsidR="006A027D" w:rsidRPr="006A027D" w:rsidRDefault="006A027D" w:rsidP="006A027D">
      <w:pPr>
        <w:rPr>
          <w:bCs/>
        </w:rPr>
      </w:pPr>
      <w:r w:rsidRPr="006A027D">
        <w:rPr>
          <w:bCs/>
        </w:rPr>
        <w:t>(1) In this Act “terrorism” means the use or threat of action where—</w:t>
      </w:r>
    </w:p>
    <w:p w14:paraId="2AA5FB6C" w14:textId="492EADF1" w:rsidR="006A027D" w:rsidRPr="00F61A91" w:rsidRDefault="006A027D" w:rsidP="00F61A91">
      <w:pPr>
        <w:pStyle w:val="ListParagraph"/>
        <w:numPr>
          <w:ilvl w:val="0"/>
          <w:numId w:val="4"/>
        </w:numPr>
        <w:rPr>
          <w:bCs/>
        </w:rPr>
      </w:pPr>
      <w:r w:rsidRPr="00F61A91">
        <w:rPr>
          <w:bCs/>
        </w:rPr>
        <w:t>the action falls within subsection (2),</w:t>
      </w:r>
    </w:p>
    <w:p w14:paraId="3CAB1861" w14:textId="73B8646B" w:rsidR="006A027D" w:rsidRPr="00F61A91" w:rsidRDefault="006A027D" w:rsidP="00F61A91">
      <w:pPr>
        <w:pStyle w:val="ListParagraph"/>
        <w:numPr>
          <w:ilvl w:val="0"/>
          <w:numId w:val="4"/>
        </w:numPr>
        <w:rPr>
          <w:bCs/>
        </w:rPr>
      </w:pPr>
      <w:r w:rsidRPr="00F61A91">
        <w:rPr>
          <w:bCs/>
        </w:rPr>
        <w:t>the use or threat is designed to influence the government [F1or an international governmental organisation] or to intimidate the public or a section of the public, and</w:t>
      </w:r>
    </w:p>
    <w:p w14:paraId="0AD31948" w14:textId="3F6BEB03" w:rsidR="006A027D" w:rsidRPr="00F61A91" w:rsidRDefault="006A027D" w:rsidP="00F61A91">
      <w:pPr>
        <w:pStyle w:val="ListParagraph"/>
        <w:numPr>
          <w:ilvl w:val="0"/>
          <w:numId w:val="4"/>
        </w:numPr>
        <w:rPr>
          <w:bCs/>
        </w:rPr>
      </w:pPr>
      <w:r w:rsidRPr="00F61A91">
        <w:rPr>
          <w:bCs/>
        </w:rPr>
        <w:t>the use or threat is made for the purpose of advancing a political, religious [F2, racial] or ideological cause.</w:t>
      </w:r>
    </w:p>
    <w:p w14:paraId="5F7DA30A" w14:textId="77777777" w:rsidR="006A027D" w:rsidRPr="006A027D" w:rsidRDefault="006A027D" w:rsidP="006A027D">
      <w:pPr>
        <w:rPr>
          <w:bCs/>
        </w:rPr>
      </w:pPr>
      <w:r w:rsidRPr="006A027D">
        <w:rPr>
          <w:bCs/>
        </w:rPr>
        <w:t>(2) Action falls within this subsection if it—</w:t>
      </w:r>
    </w:p>
    <w:p w14:paraId="71E4A633" w14:textId="31537C31" w:rsidR="006A027D" w:rsidRPr="00F61A91" w:rsidRDefault="006A027D" w:rsidP="00F61A91">
      <w:pPr>
        <w:pStyle w:val="ListParagraph"/>
        <w:numPr>
          <w:ilvl w:val="0"/>
          <w:numId w:val="6"/>
        </w:numPr>
        <w:rPr>
          <w:bCs/>
        </w:rPr>
      </w:pPr>
      <w:r w:rsidRPr="00F61A91">
        <w:rPr>
          <w:bCs/>
        </w:rPr>
        <w:t>involves serious violence against a person,</w:t>
      </w:r>
    </w:p>
    <w:p w14:paraId="6BC8DE1F" w14:textId="126B5178" w:rsidR="006A027D" w:rsidRPr="00F61A91" w:rsidRDefault="006A027D" w:rsidP="00F61A91">
      <w:pPr>
        <w:pStyle w:val="ListParagraph"/>
        <w:numPr>
          <w:ilvl w:val="0"/>
          <w:numId w:val="6"/>
        </w:numPr>
        <w:rPr>
          <w:bCs/>
        </w:rPr>
      </w:pPr>
      <w:r w:rsidRPr="00F61A91">
        <w:rPr>
          <w:bCs/>
        </w:rPr>
        <w:t>involves serious damage to property,</w:t>
      </w:r>
    </w:p>
    <w:p w14:paraId="13FE452C" w14:textId="7253EBBD" w:rsidR="006A027D" w:rsidRPr="00F61A91" w:rsidRDefault="006A027D" w:rsidP="00F61A91">
      <w:pPr>
        <w:pStyle w:val="ListParagraph"/>
        <w:numPr>
          <w:ilvl w:val="0"/>
          <w:numId w:val="6"/>
        </w:numPr>
        <w:rPr>
          <w:bCs/>
        </w:rPr>
      </w:pPr>
      <w:r w:rsidRPr="00F61A91">
        <w:rPr>
          <w:bCs/>
        </w:rPr>
        <w:t>endangers a person’s life, other than that of the person committing the action,</w:t>
      </w:r>
    </w:p>
    <w:p w14:paraId="1CB070D8" w14:textId="59328637" w:rsidR="006A027D" w:rsidRPr="00F61A91" w:rsidRDefault="006A027D" w:rsidP="00F61A91">
      <w:pPr>
        <w:pStyle w:val="ListParagraph"/>
        <w:numPr>
          <w:ilvl w:val="0"/>
          <w:numId w:val="6"/>
        </w:numPr>
        <w:rPr>
          <w:bCs/>
        </w:rPr>
      </w:pPr>
      <w:r w:rsidRPr="00F61A91">
        <w:rPr>
          <w:bCs/>
        </w:rPr>
        <w:t>creates a serious risk to the health or safety of the public or a section of the public, or</w:t>
      </w:r>
    </w:p>
    <w:p w14:paraId="37E5C95D" w14:textId="23194F77" w:rsidR="006A027D" w:rsidRPr="00F61A91" w:rsidRDefault="006A027D" w:rsidP="00F61A91">
      <w:pPr>
        <w:pStyle w:val="ListParagraph"/>
        <w:numPr>
          <w:ilvl w:val="0"/>
          <w:numId w:val="6"/>
        </w:numPr>
        <w:rPr>
          <w:bCs/>
        </w:rPr>
      </w:pPr>
      <w:r w:rsidRPr="00F61A91">
        <w:rPr>
          <w:bCs/>
        </w:rPr>
        <w:t>is designed seriously to interfere with or seriously to disrupt an electronic system.</w:t>
      </w:r>
    </w:p>
    <w:p w14:paraId="056AC5C9" w14:textId="77777777" w:rsidR="006A027D" w:rsidRPr="006A027D" w:rsidRDefault="006A027D" w:rsidP="006A027D">
      <w:pPr>
        <w:rPr>
          <w:bCs/>
        </w:rPr>
      </w:pPr>
      <w:r w:rsidRPr="006A027D">
        <w:rPr>
          <w:bCs/>
        </w:rPr>
        <w:t>(3) The use or threat of action falling within subsection (2) which involves the use of firearms or explosives is terrorism whether or not subsection (1)(b) is satisfied.</w:t>
      </w:r>
    </w:p>
    <w:p w14:paraId="6C32710E" w14:textId="77777777" w:rsidR="006A027D" w:rsidRPr="006A027D" w:rsidRDefault="006A027D" w:rsidP="006A027D">
      <w:pPr>
        <w:rPr>
          <w:bCs/>
        </w:rPr>
      </w:pPr>
      <w:r w:rsidRPr="006A027D">
        <w:rPr>
          <w:bCs/>
        </w:rPr>
        <w:t>(4) In this section—</w:t>
      </w:r>
    </w:p>
    <w:p w14:paraId="66281966" w14:textId="1778B087" w:rsidR="006A027D" w:rsidRPr="00F61A91" w:rsidRDefault="006A027D" w:rsidP="00F61A91">
      <w:pPr>
        <w:pStyle w:val="ListParagraph"/>
        <w:numPr>
          <w:ilvl w:val="0"/>
          <w:numId w:val="8"/>
        </w:numPr>
        <w:rPr>
          <w:bCs/>
        </w:rPr>
      </w:pPr>
      <w:r w:rsidRPr="00F61A91">
        <w:rPr>
          <w:bCs/>
        </w:rPr>
        <w:t>“action” includes action outside the United Kingdom,</w:t>
      </w:r>
    </w:p>
    <w:p w14:paraId="2B634CE0" w14:textId="146BE05C" w:rsidR="006A027D" w:rsidRPr="00F61A91" w:rsidRDefault="006A027D" w:rsidP="00F61A91">
      <w:pPr>
        <w:pStyle w:val="ListParagraph"/>
        <w:numPr>
          <w:ilvl w:val="0"/>
          <w:numId w:val="8"/>
        </w:numPr>
        <w:rPr>
          <w:bCs/>
        </w:rPr>
      </w:pPr>
      <w:r w:rsidRPr="00F61A91">
        <w:rPr>
          <w:bCs/>
        </w:rPr>
        <w:t>a reference to any person or to property is a reference to any person, or to property, wherever situated,</w:t>
      </w:r>
    </w:p>
    <w:p w14:paraId="1B88F9A8" w14:textId="71D97FFB" w:rsidR="006A027D" w:rsidRPr="00F61A91" w:rsidRDefault="006A027D" w:rsidP="00F61A91">
      <w:pPr>
        <w:pStyle w:val="ListParagraph"/>
        <w:numPr>
          <w:ilvl w:val="0"/>
          <w:numId w:val="8"/>
        </w:numPr>
        <w:rPr>
          <w:bCs/>
        </w:rPr>
      </w:pPr>
      <w:r w:rsidRPr="00F61A91">
        <w:rPr>
          <w:bCs/>
        </w:rPr>
        <w:t>a reference to the public includes a reference to the public of a country other than the United Kingdom, and</w:t>
      </w:r>
    </w:p>
    <w:p w14:paraId="70DE520F" w14:textId="7D4243F5" w:rsidR="006A027D" w:rsidRPr="00F61A91" w:rsidRDefault="006A027D" w:rsidP="00F61A91">
      <w:pPr>
        <w:pStyle w:val="ListParagraph"/>
        <w:numPr>
          <w:ilvl w:val="0"/>
          <w:numId w:val="8"/>
        </w:numPr>
        <w:rPr>
          <w:bCs/>
        </w:rPr>
      </w:pPr>
      <w:r w:rsidRPr="00F61A91">
        <w:rPr>
          <w:bCs/>
        </w:rPr>
        <w:lastRenderedPageBreak/>
        <w:t>“the government” means the government of the United Kingdom, of a Part of the United Kingdom or of a country other than the United Kingdom.</w:t>
      </w:r>
    </w:p>
    <w:p w14:paraId="1BFEF3DA" w14:textId="73AED992" w:rsidR="006A027D" w:rsidRPr="006A027D" w:rsidRDefault="006A027D" w:rsidP="006A027D">
      <w:pPr>
        <w:rPr>
          <w:b/>
        </w:rPr>
      </w:pPr>
      <w:r w:rsidRPr="006A027D">
        <w:rPr>
          <w:bCs/>
        </w:rPr>
        <w:t>(5)</w:t>
      </w:r>
      <w:r w:rsidR="00F61A91">
        <w:rPr>
          <w:bCs/>
        </w:rPr>
        <w:t xml:space="preserve"> </w:t>
      </w:r>
      <w:r w:rsidRPr="006A027D">
        <w:rPr>
          <w:bCs/>
        </w:rPr>
        <w:t>In this Act a reference to action taken for the purposes of terrorism includes a reference to action taken for the benefit of a proscribed organisation.</w:t>
      </w:r>
    </w:p>
    <w:p w14:paraId="1EDDA2FA" w14:textId="77777777" w:rsidR="006A027D" w:rsidRPr="006A027D" w:rsidRDefault="006A027D" w:rsidP="006A027D">
      <w:pPr>
        <w:rPr>
          <w:b/>
        </w:rPr>
      </w:pPr>
    </w:p>
    <w:p w14:paraId="37C20DD0" w14:textId="41937B10" w:rsidR="006A027D" w:rsidRPr="00F61A91" w:rsidRDefault="006A027D" w:rsidP="00F61A91">
      <w:pPr>
        <w:pStyle w:val="ListParagraph"/>
        <w:numPr>
          <w:ilvl w:val="0"/>
          <w:numId w:val="3"/>
        </w:numPr>
        <w:rPr>
          <w:b/>
        </w:rPr>
      </w:pPr>
      <w:r w:rsidRPr="00F61A91">
        <w:rPr>
          <w:b/>
        </w:rPr>
        <w:t>Copies of (or links to) any internal policy, guidance document, standard operating procedure, or training material that contains or explains Police Scotland’s definition of terrorism (redacted if necessary to remove personal data or genuinely sensitive operational detail).</w:t>
      </w:r>
    </w:p>
    <w:p w14:paraId="2A98B8DC" w14:textId="77777777" w:rsidR="006A027D" w:rsidRPr="006A027D" w:rsidRDefault="006A027D" w:rsidP="006A027D">
      <w:pPr>
        <w:rPr>
          <w:bCs/>
        </w:rPr>
      </w:pPr>
      <w:r w:rsidRPr="006A027D">
        <w:rPr>
          <w:bCs/>
        </w:rPr>
        <w:t>Unfortunately, I estimate that it would cost well in excess of the current FOI cost threshold of £600 to process your request.  I am therefore refusing to provide the information sought in terms of section 12(1) of the Act - Excessive Cost of Compliance.</w:t>
      </w:r>
    </w:p>
    <w:p w14:paraId="3FF890A9" w14:textId="77777777" w:rsidR="006A027D" w:rsidRPr="006A027D" w:rsidRDefault="006A027D" w:rsidP="006A027D">
      <w:pPr>
        <w:rPr>
          <w:bCs/>
        </w:rPr>
      </w:pPr>
      <w:r w:rsidRPr="006A027D">
        <w:rPr>
          <w:bCs/>
        </w:rPr>
        <w:t>To explain, every type of “document” outlined in your request would need to be manually reviewed for any mention of terrorism (or relevant description).</w:t>
      </w:r>
    </w:p>
    <w:p w14:paraId="3DD27AD6" w14:textId="77777777" w:rsidR="006A027D" w:rsidRPr="006A027D" w:rsidRDefault="006A027D" w:rsidP="006A027D">
      <w:pPr>
        <w:rPr>
          <w:b/>
        </w:rPr>
      </w:pPr>
    </w:p>
    <w:p w14:paraId="22CDCA63" w14:textId="77777777" w:rsidR="00F61A91" w:rsidRDefault="006A027D" w:rsidP="006A027D">
      <w:pPr>
        <w:pStyle w:val="ListParagraph"/>
        <w:numPr>
          <w:ilvl w:val="0"/>
          <w:numId w:val="3"/>
        </w:numPr>
        <w:rPr>
          <w:b/>
        </w:rPr>
      </w:pPr>
      <w:r w:rsidRPr="00F61A91">
        <w:rPr>
          <w:b/>
        </w:rPr>
        <w:t>If Police Scotland uses a definition that differs from, or is in addition to, the statutory definition contained in section 1 of the Terrorism Act 2000 (as amended), please provide:</w:t>
      </w:r>
    </w:p>
    <w:p w14:paraId="62FE57C3" w14:textId="77777777" w:rsidR="00F61A91" w:rsidRDefault="00F61A91" w:rsidP="00F61A91">
      <w:pPr>
        <w:pStyle w:val="ListParagraph"/>
        <w:ind w:left="360"/>
        <w:rPr>
          <w:b/>
        </w:rPr>
      </w:pPr>
      <w:r>
        <w:rPr>
          <w:b/>
        </w:rPr>
        <w:t xml:space="preserve">- </w:t>
      </w:r>
      <w:r w:rsidR="006A027D" w:rsidRPr="00F61A91">
        <w:rPr>
          <w:b/>
        </w:rPr>
        <w:t>the alternative or supplementary definition(s); and</w:t>
      </w:r>
    </w:p>
    <w:p w14:paraId="1C0A8749" w14:textId="23BB9CFA" w:rsidR="006A027D" w:rsidRPr="006A027D" w:rsidRDefault="00F61A91" w:rsidP="00F61A91">
      <w:pPr>
        <w:pStyle w:val="ListParagraph"/>
        <w:ind w:left="360"/>
        <w:rPr>
          <w:b/>
        </w:rPr>
      </w:pPr>
      <w:r>
        <w:rPr>
          <w:b/>
        </w:rPr>
        <w:t xml:space="preserve">- </w:t>
      </w:r>
      <w:r w:rsidR="006A027D" w:rsidRPr="006A027D">
        <w:rPr>
          <w:b/>
        </w:rPr>
        <w:t>the legal or policy basis for using that definition.</w:t>
      </w:r>
    </w:p>
    <w:p w14:paraId="5AF4C4DF" w14:textId="77777777" w:rsidR="006A027D" w:rsidRPr="006A027D" w:rsidRDefault="006A027D" w:rsidP="006A027D">
      <w:pPr>
        <w:rPr>
          <w:bCs/>
        </w:rPr>
      </w:pPr>
      <w:r w:rsidRPr="006A027D">
        <w:rPr>
          <w:bCs/>
        </w:rPr>
        <w:t xml:space="preserve">As per the response to question 1, Police Scotland use the definition as outlined in the Terrorism Act 2000. </w:t>
      </w:r>
    </w:p>
    <w:p w14:paraId="7B31988B" w14:textId="77777777" w:rsidR="006A027D" w:rsidRPr="006A027D" w:rsidRDefault="006A027D" w:rsidP="006A027D">
      <w:pPr>
        <w:rPr>
          <w:b/>
        </w:rPr>
      </w:pPr>
    </w:p>
    <w:p w14:paraId="38B5FE2A" w14:textId="3F686846" w:rsidR="006A027D" w:rsidRPr="00F61A91" w:rsidRDefault="006A027D" w:rsidP="00F61A91">
      <w:pPr>
        <w:pStyle w:val="ListParagraph"/>
        <w:numPr>
          <w:ilvl w:val="0"/>
          <w:numId w:val="3"/>
        </w:numPr>
        <w:rPr>
          <w:b/>
        </w:rPr>
      </w:pPr>
      <w:r w:rsidRPr="00F61A91">
        <w:rPr>
          <w:b/>
        </w:rPr>
        <w:t>Any document or record that shows when Police Scotland last reviewed or updated its working definition of terrorism (including any dates of review or amendment since 1 January 2015).</w:t>
      </w:r>
    </w:p>
    <w:p w14:paraId="01E333B4" w14:textId="38E459DD" w:rsidR="006A027D" w:rsidRDefault="006A027D" w:rsidP="006A027D">
      <w:pPr>
        <w:rPr>
          <w:bCs/>
        </w:rPr>
      </w:pPr>
      <w:r w:rsidRPr="006A027D">
        <w:rPr>
          <w:bCs/>
        </w:rPr>
        <w:t>As Police Scotland use the definition outlined in the Terrorism Act 2000 there is no “working definition” to be reviewed.</w:t>
      </w:r>
    </w:p>
    <w:p w14:paraId="4D054E63" w14:textId="77777777" w:rsidR="006A027D" w:rsidRPr="006A027D" w:rsidRDefault="006A027D" w:rsidP="006A027D">
      <w:pPr>
        <w:rPr>
          <w:bCs/>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7D473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D452F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6764B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630C23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8E15C4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6F4A5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517A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43F"/>
    <w:multiLevelType w:val="hybridMultilevel"/>
    <w:tmpl w:val="A672FC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41BB9"/>
    <w:multiLevelType w:val="hybridMultilevel"/>
    <w:tmpl w:val="772A2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92DA1"/>
    <w:multiLevelType w:val="hybridMultilevel"/>
    <w:tmpl w:val="7A521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0F2F42"/>
    <w:multiLevelType w:val="hybridMultilevel"/>
    <w:tmpl w:val="8F1823E2"/>
    <w:lvl w:ilvl="0" w:tplc="80E699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2374D"/>
    <w:multiLevelType w:val="hybridMultilevel"/>
    <w:tmpl w:val="6652D1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5B4756"/>
    <w:multiLevelType w:val="hybridMultilevel"/>
    <w:tmpl w:val="D45EB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262BE"/>
    <w:multiLevelType w:val="hybridMultilevel"/>
    <w:tmpl w:val="DBEEFB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F40BBE"/>
    <w:multiLevelType w:val="hybridMultilevel"/>
    <w:tmpl w:val="BFDC087A"/>
    <w:lvl w:ilvl="0" w:tplc="E7EE36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C641A4"/>
    <w:multiLevelType w:val="hybridMultilevel"/>
    <w:tmpl w:val="8BDAAAB8"/>
    <w:lvl w:ilvl="0" w:tplc="6256E5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9"/>
  </w:num>
  <w:num w:numId="2" w16cid:durableId="1471169468">
    <w:abstractNumId w:val="5"/>
  </w:num>
  <w:num w:numId="3" w16cid:durableId="665668961">
    <w:abstractNumId w:val="2"/>
  </w:num>
  <w:num w:numId="4" w16cid:durableId="862548981">
    <w:abstractNumId w:val="6"/>
  </w:num>
  <w:num w:numId="5" w16cid:durableId="1378816877">
    <w:abstractNumId w:val="7"/>
  </w:num>
  <w:num w:numId="6" w16cid:durableId="1496603764">
    <w:abstractNumId w:val="0"/>
  </w:num>
  <w:num w:numId="7" w16cid:durableId="1173688652">
    <w:abstractNumId w:val="8"/>
  </w:num>
  <w:num w:numId="8" w16cid:durableId="233586762">
    <w:abstractNumId w:val="4"/>
  </w:num>
  <w:num w:numId="9" w16cid:durableId="646977341">
    <w:abstractNumId w:val="3"/>
  </w:num>
  <w:num w:numId="10" w16cid:durableId="89496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84B25"/>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A027D"/>
    <w:rsid w:val="006D5799"/>
    <w:rsid w:val="007440EA"/>
    <w:rsid w:val="00750D83"/>
    <w:rsid w:val="007517AF"/>
    <w:rsid w:val="00785DBC"/>
    <w:rsid w:val="00793DD5"/>
    <w:rsid w:val="007D55F6"/>
    <w:rsid w:val="007F490F"/>
    <w:rsid w:val="007F7514"/>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26949"/>
    <w:rsid w:val="00F61A9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A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3177">
      <w:bodyDiv w:val="1"/>
      <w:marLeft w:val="0"/>
      <w:marRight w:val="0"/>
      <w:marTop w:val="0"/>
      <w:marBottom w:val="0"/>
      <w:divBdr>
        <w:top w:val="none" w:sz="0" w:space="0" w:color="auto"/>
        <w:left w:val="none" w:sz="0" w:space="0" w:color="auto"/>
        <w:bottom w:val="none" w:sz="0" w:space="0" w:color="auto"/>
        <w:right w:val="none" w:sz="0" w:space="0" w:color="auto"/>
      </w:divBdr>
    </w:div>
    <w:div w:id="1284118523">
      <w:bodyDiv w:val="1"/>
      <w:marLeft w:val="0"/>
      <w:marRight w:val="0"/>
      <w:marTop w:val="0"/>
      <w:marBottom w:val="0"/>
      <w:divBdr>
        <w:top w:val="none" w:sz="0" w:space="0" w:color="auto"/>
        <w:left w:val="none" w:sz="0" w:space="0" w:color="auto"/>
        <w:bottom w:val="none" w:sz="0" w:space="0" w:color="auto"/>
        <w:right w:val="none" w:sz="0" w:space="0" w:color="auto"/>
      </w:divBdr>
    </w:div>
    <w:div w:id="1548448205">
      <w:bodyDiv w:val="1"/>
      <w:marLeft w:val="0"/>
      <w:marRight w:val="0"/>
      <w:marTop w:val="0"/>
      <w:marBottom w:val="0"/>
      <w:divBdr>
        <w:top w:val="none" w:sz="0" w:space="0" w:color="auto"/>
        <w:left w:val="none" w:sz="0" w:space="0" w:color="auto"/>
        <w:bottom w:val="none" w:sz="0" w:space="0" w:color="auto"/>
        <w:right w:val="none" w:sz="0" w:space="0" w:color="auto"/>
      </w:divBdr>
    </w:div>
    <w:div w:id="1782914357">
      <w:bodyDiv w:val="1"/>
      <w:marLeft w:val="0"/>
      <w:marRight w:val="0"/>
      <w:marTop w:val="0"/>
      <w:marBottom w:val="0"/>
      <w:divBdr>
        <w:top w:val="none" w:sz="0" w:space="0" w:color="auto"/>
        <w:left w:val="none" w:sz="0" w:space="0" w:color="auto"/>
        <w:bottom w:val="none" w:sz="0" w:space="0" w:color="auto"/>
        <w:right w:val="none" w:sz="0" w:space="0" w:color="auto"/>
      </w:divBdr>
    </w:div>
    <w:div w:id="2083866512">
      <w:bodyDiv w:val="1"/>
      <w:marLeft w:val="0"/>
      <w:marRight w:val="0"/>
      <w:marTop w:val="0"/>
      <w:marBottom w:val="0"/>
      <w:divBdr>
        <w:top w:val="none" w:sz="0" w:space="0" w:color="auto"/>
        <w:left w:val="none" w:sz="0" w:space="0" w:color="auto"/>
        <w:bottom w:val="none" w:sz="0" w:space="0" w:color="auto"/>
        <w:right w:val="none" w:sz="0" w:space="0" w:color="auto"/>
      </w:divBdr>
    </w:div>
    <w:div w:id="209435516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2025-12-02T10:40:00Z</dcterms:created>
  <dcterms:modified xsi:type="dcterms:W3CDTF">2025-12-02T10:40:00Z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