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BFEA" w14:textId="77777777" w:rsidR="0073294A" w:rsidRPr="00762944" w:rsidRDefault="0073294A" w:rsidP="005B0FFC">
      <w:pPr>
        <w:pStyle w:val="TableTitle"/>
        <w:rPr>
          <w:sz w:val="28"/>
          <w:szCs w:val="28"/>
        </w:rPr>
      </w:pPr>
    </w:p>
    <w:p w14:paraId="50495736" w14:textId="77777777" w:rsidR="00F93072" w:rsidRPr="00762944" w:rsidRDefault="00F93072" w:rsidP="005B0FFC">
      <w:pPr>
        <w:pStyle w:val="TableTitle"/>
        <w:rPr>
          <w:sz w:val="28"/>
          <w:szCs w:val="28"/>
        </w:rPr>
      </w:pPr>
    </w:p>
    <w:p w14:paraId="28A39F57" w14:textId="42587D50" w:rsidR="0073294A" w:rsidRPr="00762944" w:rsidRDefault="00865315" w:rsidP="005B0FFC">
      <w:pPr>
        <w:pStyle w:val="TableTitle"/>
        <w:rPr>
          <w:sz w:val="28"/>
          <w:szCs w:val="28"/>
        </w:rPr>
      </w:pPr>
      <w:r w:rsidRPr="00762944">
        <w:rPr>
          <w:noProof/>
        </w:rPr>
        <w:drawing>
          <wp:inline distT="0" distB="0" distL="0" distR="0" wp14:anchorId="11AF96C4" wp14:editId="4680062B">
            <wp:extent cx="1231900" cy="2260600"/>
            <wp:effectExtent l="0" t="0" r="0" b="0"/>
            <wp:docPr id="1" name="Picture 3" descr="Police scotland ba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Police scotland badg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2260600"/>
                    </a:xfrm>
                    <a:prstGeom prst="rect">
                      <a:avLst/>
                    </a:prstGeom>
                    <a:noFill/>
                    <a:ln>
                      <a:noFill/>
                    </a:ln>
                  </pic:spPr>
                </pic:pic>
              </a:graphicData>
            </a:graphic>
          </wp:inline>
        </w:drawing>
      </w:r>
    </w:p>
    <w:p w14:paraId="28249596" w14:textId="77777777" w:rsidR="0073294A" w:rsidRPr="00762944" w:rsidRDefault="0073294A" w:rsidP="00D4448A">
      <w:pPr>
        <w:pStyle w:val="TableTitle"/>
        <w:spacing w:after="0"/>
        <w:rPr>
          <w:sz w:val="28"/>
          <w:szCs w:val="28"/>
        </w:rPr>
      </w:pPr>
    </w:p>
    <w:tbl>
      <w:tblPr>
        <w:tblW w:w="0" w:type="auto"/>
        <w:tblInd w:w="9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513"/>
      </w:tblGrid>
      <w:tr w:rsidR="0073294A" w:rsidRPr="00762944" w14:paraId="62D10E34" w14:textId="77777777" w:rsidTr="00B76A0C">
        <w:tc>
          <w:tcPr>
            <w:tcW w:w="7513" w:type="dxa"/>
            <w:shd w:val="clear" w:color="auto" w:fill="auto"/>
          </w:tcPr>
          <w:p w14:paraId="1E8B7230" w14:textId="77777777" w:rsidR="0073294A" w:rsidRPr="00762944" w:rsidRDefault="00045447" w:rsidP="00185E15">
            <w:pPr>
              <w:pStyle w:val="TableTitle"/>
              <w:spacing w:before="160" w:after="160"/>
              <w:rPr>
                <w:sz w:val="32"/>
                <w:szCs w:val="32"/>
              </w:rPr>
            </w:pPr>
            <w:r w:rsidRPr="00762944">
              <w:rPr>
                <w:sz w:val="32"/>
                <w:szCs w:val="32"/>
              </w:rPr>
              <w:t>Substance Misuse</w:t>
            </w:r>
          </w:p>
          <w:p w14:paraId="66A854FB" w14:textId="77777777" w:rsidR="0073294A" w:rsidRPr="00762944" w:rsidRDefault="0073294A" w:rsidP="00185E15">
            <w:pPr>
              <w:pStyle w:val="TableTitle"/>
              <w:spacing w:before="160" w:after="160"/>
              <w:rPr>
                <w:sz w:val="28"/>
                <w:szCs w:val="28"/>
              </w:rPr>
            </w:pPr>
            <w:r w:rsidRPr="00762944">
              <w:rPr>
                <w:sz w:val="32"/>
                <w:szCs w:val="32"/>
              </w:rPr>
              <w:t>Standard Operating Procedure</w:t>
            </w:r>
          </w:p>
        </w:tc>
      </w:tr>
    </w:tbl>
    <w:p w14:paraId="091AC5BF" w14:textId="77777777" w:rsidR="0073294A" w:rsidRPr="00762944" w:rsidRDefault="0073294A" w:rsidP="00762944">
      <w:pPr>
        <w:pStyle w:val="TableTitle"/>
        <w:spacing w:after="0"/>
        <w:jc w:val="left"/>
        <w:rPr>
          <w:sz w:val="28"/>
          <w:szCs w:val="28"/>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762944" w:rsidRPr="00762944" w14:paraId="02A106A1" w14:textId="77777777" w:rsidTr="00762944">
        <w:trPr>
          <w:jc w:val="center"/>
        </w:trPr>
        <w:tc>
          <w:tcPr>
            <w:tcW w:w="7371" w:type="dxa"/>
            <w:shd w:val="clear" w:color="auto" w:fill="auto"/>
          </w:tcPr>
          <w:p w14:paraId="6320F698" w14:textId="77777777" w:rsidR="00762944" w:rsidRPr="00762944" w:rsidRDefault="00762944" w:rsidP="00A31518">
            <w:pPr>
              <w:pStyle w:val="TableTitle"/>
              <w:spacing w:before="160" w:after="160"/>
            </w:pPr>
            <w:r w:rsidRPr="00762944">
              <w:t>This SOP provides clear direction and procedural instruction to provide a consistency of response in accordance with force policy, however it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tc>
      </w:tr>
      <w:tr w:rsidR="00762944" w:rsidRPr="00762944" w14:paraId="650EAA73" w14:textId="77777777" w:rsidTr="00762944">
        <w:trPr>
          <w:jc w:val="center"/>
        </w:trPr>
        <w:tc>
          <w:tcPr>
            <w:tcW w:w="7371" w:type="dxa"/>
            <w:tcBorders>
              <w:top w:val="single" w:sz="18" w:space="0" w:color="auto"/>
              <w:left w:val="single" w:sz="18" w:space="0" w:color="auto"/>
              <w:bottom w:val="single" w:sz="18" w:space="0" w:color="auto"/>
              <w:right w:val="single" w:sz="18" w:space="0" w:color="auto"/>
            </w:tcBorders>
            <w:shd w:val="clear" w:color="auto" w:fill="auto"/>
          </w:tcPr>
          <w:p w14:paraId="7688070E" w14:textId="77777777" w:rsidR="00762944" w:rsidRPr="00762944" w:rsidRDefault="00762944" w:rsidP="00A31518">
            <w:pPr>
              <w:pStyle w:val="TableTitle"/>
              <w:spacing w:before="80" w:after="80"/>
            </w:pPr>
            <w:r w:rsidRPr="00762944">
              <w:t>Notice:</w:t>
            </w:r>
          </w:p>
          <w:p w14:paraId="5B83A99C" w14:textId="77777777" w:rsidR="00762944" w:rsidRPr="00762944" w:rsidRDefault="00762944" w:rsidP="00A31518">
            <w:pPr>
              <w:pStyle w:val="TableTitle"/>
              <w:spacing w:before="160" w:after="160"/>
            </w:pPr>
            <w:r w:rsidRPr="00762944">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7EADE360" w14:textId="77777777" w:rsidR="00F93072" w:rsidRPr="00762944" w:rsidRDefault="00F93072" w:rsidP="00762944">
      <w:pPr>
        <w:pStyle w:val="TableTitle"/>
        <w:spacing w:after="0"/>
        <w:rPr>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536"/>
      </w:tblGrid>
      <w:tr w:rsidR="00B76A0C" w:rsidRPr="00762944" w14:paraId="450FF177" w14:textId="77777777" w:rsidTr="002A6E82">
        <w:tc>
          <w:tcPr>
            <w:tcW w:w="2693" w:type="dxa"/>
            <w:shd w:val="clear" w:color="auto" w:fill="auto"/>
          </w:tcPr>
          <w:p w14:paraId="6FF8E5C3" w14:textId="77777777" w:rsidR="00B76A0C" w:rsidRPr="00762944" w:rsidRDefault="00B76A0C" w:rsidP="00B76A0C">
            <w:pPr>
              <w:pStyle w:val="TableTitle"/>
              <w:spacing w:before="120" w:after="120"/>
              <w:jc w:val="left"/>
            </w:pPr>
            <w:r w:rsidRPr="00762944">
              <w:t>Owning Department</w:t>
            </w:r>
            <w:r w:rsidR="00A66059" w:rsidRPr="00762944">
              <w:t>:</w:t>
            </w:r>
          </w:p>
        </w:tc>
        <w:tc>
          <w:tcPr>
            <w:tcW w:w="4536" w:type="dxa"/>
            <w:shd w:val="clear" w:color="auto" w:fill="auto"/>
          </w:tcPr>
          <w:p w14:paraId="3A936ED7" w14:textId="77777777" w:rsidR="00B76A0C" w:rsidRPr="00762944" w:rsidRDefault="00045447" w:rsidP="00B76A0C">
            <w:pPr>
              <w:pStyle w:val="TableTitle"/>
              <w:spacing w:before="120" w:after="120"/>
              <w:jc w:val="left"/>
              <w:rPr>
                <w:b w:val="0"/>
              </w:rPr>
            </w:pPr>
            <w:r w:rsidRPr="00762944">
              <w:rPr>
                <w:b w:val="0"/>
              </w:rPr>
              <w:t>Professional Standards</w:t>
            </w:r>
          </w:p>
        </w:tc>
      </w:tr>
      <w:tr w:rsidR="00B76A0C" w:rsidRPr="00762944" w14:paraId="3CBA767F" w14:textId="77777777" w:rsidTr="002A6E82">
        <w:tc>
          <w:tcPr>
            <w:tcW w:w="2693" w:type="dxa"/>
            <w:shd w:val="clear" w:color="auto" w:fill="auto"/>
          </w:tcPr>
          <w:p w14:paraId="0FAF4763" w14:textId="77777777" w:rsidR="00B76A0C" w:rsidRPr="00762944" w:rsidRDefault="00B76A0C" w:rsidP="00B76A0C">
            <w:pPr>
              <w:pStyle w:val="TableTitle"/>
              <w:spacing w:before="120" w:after="120"/>
              <w:jc w:val="left"/>
            </w:pPr>
            <w:r w:rsidRPr="00762944">
              <w:t>Version Number</w:t>
            </w:r>
            <w:r w:rsidR="00A66059" w:rsidRPr="00762944">
              <w:t>:</w:t>
            </w:r>
          </w:p>
        </w:tc>
        <w:tc>
          <w:tcPr>
            <w:tcW w:w="4536" w:type="dxa"/>
            <w:shd w:val="clear" w:color="auto" w:fill="auto"/>
          </w:tcPr>
          <w:p w14:paraId="52525CAF" w14:textId="77777777" w:rsidR="00BF124D" w:rsidRPr="00762944" w:rsidRDefault="008D5791" w:rsidP="00DD637F">
            <w:pPr>
              <w:pStyle w:val="TableTitle"/>
              <w:spacing w:before="120" w:after="120"/>
              <w:jc w:val="left"/>
              <w:rPr>
                <w:b w:val="0"/>
              </w:rPr>
            </w:pPr>
            <w:r>
              <w:rPr>
                <w:b w:val="0"/>
              </w:rPr>
              <w:t>4</w:t>
            </w:r>
            <w:r w:rsidR="00EB0DAB" w:rsidRPr="00762944">
              <w:rPr>
                <w:b w:val="0"/>
              </w:rPr>
              <w:t>.00</w:t>
            </w:r>
            <w:r w:rsidR="00762944">
              <w:rPr>
                <w:b w:val="0"/>
              </w:rPr>
              <w:t xml:space="preserve"> (Publication Scheme)</w:t>
            </w:r>
          </w:p>
        </w:tc>
      </w:tr>
      <w:tr w:rsidR="00B76A0C" w:rsidRPr="00762944" w14:paraId="2D41408B" w14:textId="77777777" w:rsidTr="002A6E82">
        <w:tc>
          <w:tcPr>
            <w:tcW w:w="2693" w:type="dxa"/>
            <w:shd w:val="clear" w:color="auto" w:fill="auto"/>
          </w:tcPr>
          <w:p w14:paraId="5860C691" w14:textId="77777777" w:rsidR="00B76A0C" w:rsidRPr="00762944" w:rsidRDefault="00B76A0C" w:rsidP="00B76A0C">
            <w:pPr>
              <w:pStyle w:val="TableTitle"/>
              <w:spacing w:before="120" w:after="120"/>
              <w:jc w:val="left"/>
            </w:pPr>
            <w:r w:rsidRPr="00762944">
              <w:t>Date Published</w:t>
            </w:r>
            <w:r w:rsidR="00A66059" w:rsidRPr="00762944">
              <w:t>:</w:t>
            </w:r>
          </w:p>
        </w:tc>
        <w:tc>
          <w:tcPr>
            <w:tcW w:w="4536" w:type="dxa"/>
            <w:shd w:val="clear" w:color="auto" w:fill="auto"/>
          </w:tcPr>
          <w:p w14:paraId="13AEA01D" w14:textId="77777777" w:rsidR="00B76A0C" w:rsidRPr="00762944" w:rsidRDefault="00962FB1" w:rsidP="00B76A0C">
            <w:pPr>
              <w:pStyle w:val="TableTitle"/>
              <w:spacing w:before="120" w:after="120"/>
              <w:jc w:val="left"/>
              <w:rPr>
                <w:b w:val="0"/>
              </w:rPr>
            </w:pPr>
            <w:r>
              <w:rPr>
                <w:b w:val="0"/>
              </w:rPr>
              <w:t>20/05/2025</w:t>
            </w:r>
          </w:p>
        </w:tc>
      </w:tr>
    </w:tbl>
    <w:p w14:paraId="3B55DD54" w14:textId="77777777" w:rsidR="00594061" w:rsidRPr="00762944" w:rsidRDefault="00594061" w:rsidP="00831B4C">
      <w:pPr>
        <w:pStyle w:val="Heading1"/>
      </w:pPr>
      <w:r w:rsidRPr="00762944">
        <w:lastRenderedPageBreak/>
        <w:t>1.</w:t>
      </w:r>
      <w:r w:rsidRPr="00762944">
        <w:tab/>
        <w:t>Purpose</w:t>
      </w:r>
      <w:r w:rsidR="00722F59" w:rsidRPr="00762944">
        <w:t>/Scope</w:t>
      </w:r>
    </w:p>
    <w:p w14:paraId="6818A845" w14:textId="77777777" w:rsidR="00B30946" w:rsidRPr="00762944" w:rsidRDefault="00B30946" w:rsidP="00B30946"/>
    <w:p w14:paraId="14FC4738" w14:textId="77777777" w:rsidR="002B6498" w:rsidRPr="00762944" w:rsidRDefault="00594061" w:rsidP="00F3692C">
      <w:pPr>
        <w:pStyle w:val="SOPPara"/>
        <w:numPr>
          <w:ilvl w:val="0"/>
          <w:numId w:val="0"/>
        </w:numPr>
        <w:spacing w:after="120"/>
      </w:pPr>
      <w:r w:rsidRPr="00762944">
        <w:t>This Standard Operating Procedure (SOP) supports the</w:t>
      </w:r>
      <w:r w:rsidR="00794EC6" w:rsidRPr="00762944">
        <w:t xml:space="preserve"> following</w:t>
      </w:r>
      <w:r w:rsidRPr="00762944">
        <w:t xml:space="preserve"> Police Service of Scotland, hereafter r</w:t>
      </w:r>
      <w:r w:rsidR="00FB13FD" w:rsidRPr="00762944">
        <w:t>eferred to as Police Scotland, p</w:t>
      </w:r>
      <w:r w:rsidR="00794EC6" w:rsidRPr="00762944">
        <w:t>olicies and regulations</w:t>
      </w:r>
      <w:r w:rsidRPr="00762944">
        <w:t xml:space="preserve"> –</w:t>
      </w:r>
    </w:p>
    <w:p w14:paraId="2D44F541" w14:textId="77777777" w:rsidR="00950A36" w:rsidRPr="00762944" w:rsidRDefault="00950A36" w:rsidP="005C3682">
      <w:pPr>
        <w:pStyle w:val="SOPPara"/>
        <w:numPr>
          <w:ilvl w:val="0"/>
          <w:numId w:val="6"/>
        </w:numPr>
        <w:spacing w:after="120"/>
        <w:ind w:left="446" w:hanging="446"/>
      </w:pPr>
      <w:r w:rsidRPr="00762944">
        <w:t>Professional Stan</w:t>
      </w:r>
      <w:r w:rsidRPr="00762944">
        <w:t>dards</w:t>
      </w:r>
    </w:p>
    <w:p w14:paraId="49818425" w14:textId="77777777" w:rsidR="00F3692C" w:rsidRPr="00762944" w:rsidRDefault="00F3692C" w:rsidP="005C3682">
      <w:pPr>
        <w:pStyle w:val="SOPPara"/>
        <w:numPr>
          <w:ilvl w:val="0"/>
          <w:numId w:val="6"/>
        </w:numPr>
        <w:spacing w:after="120"/>
        <w:ind w:left="446" w:hanging="446"/>
      </w:pPr>
      <w:r w:rsidRPr="00762944">
        <w:t>Health, Safety and Wellbeing</w:t>
      </w:r>
    </w:p>
    <w:p w14:paraId="08B76EDD" w14:textId="77777777" w:rsidR="002B6498" w:rsidRPr="00762944" w:rsidRDefault="002B6498" w:rsidP="005C3682">
      <w:pPr>
        <w:pStyle w:val="SOPPara"/>
        <w:numPr>
          <w:ilvl w:val="0"/>
          <w:numId w:val="6"/>
        </w:numPr>
        <w:spacing w:after="120"/>
        <w:ind w:left="446" w:hanging="446"/>
      </w:pPr>
      <w:r w:rsidRPr="00762944">
        <w:t>Police Service of Scotland Conduct Regulations 2014</w:t>
      </w:r>
    </w:p>
    <w:p w14:paraId="0024CB96" w14:textId="77777777" w:rsidR="002B6498" w:rsidRPr="00762944" w:rsidRDefault="002B6498" w:rsidP="005C3682">
      <w:pPr>
        <w:pStyle w:val="SOPPara"/>
        <w:numPr>
          <w:ilvl w:val="0"/>
          <w:numId w:val="6"/>
        </w:numPr>
        <w:spacing w:after="0"/>
        <w:ind w:left="446" w:hanging="446"/>
      </w:pPr>
      <w:r w:rsidRPr="00762944">
        <w:t>The Police Service of Scotland (Special Constables) Regulations 2013</w:t>
      </w:r>
    </w:p>
    <w:p w14:paraId="1EA2EEEB" w14:textId="77777777" w:rsidR="002B6498" w:rsidRPr="00762944" w:rsidRDefault="002B6498" w:rsidP="00950A36">
      <w:pPr>
        <w:pStyle w:val="SOPPara"/>
        <w:numPr>
          <w:ilvl w:val="0"/>
          <w:numId w:val="0"/>
        </w:numPr>
        <w:spacing w:after="0"/>
        <w:ind w:left="1000" w:hanging="432"/>
        <w:jc w:val="both"/>
      </w:pPr>
    </w:p>
    <w:p w14:paraId="6BB47467" w14:textId="77777777" w:rsidR="001D2BAA" w:rsidRPr="00762944" w:rsidRDefault="00F3692C" w:rsidP="00005016">
      <w:pPr>
        <w:jc w:val="both"/>
        <w:rPr>
          <w:rFonts w:cs="Arial"/>
        </w:rPr>
      </w:pPr>
      <w:r w:rsidRPr="00762944">
        <w:rPr>
          <w:rFonts w:cs="Arial"/>
        </w:rPr>
        <w:t>This</w:t>
      </w:r>
      <w:r w:rsidR="00143355" w:rsidRPr="00762944">
        <w:rPr>
          <w:rFonts w:cs="Arial"/>
        </w:rPr>
        <w:t xml:space="preserve"> SOP </w:t>
      </w:r>
      <w:r w:rsidR="002B6498" w:rsidRPr="00762944">
        <w:rPr>
          <w:rFonts w:cs="Arial"/>
        </w:rPr>
        <w:t>provides a framework for the prevention and management of alcoh</w:t>
      </w:r>
      <w:r w:rsidR="00143355" w:rsidRPr="00762944">
        <w:rPr>
          <w:rFonts w:cs="Arial"/>
        </w:rPr>
        <w:t xml:space="preserve">ol and substance misuse </w:t>
      </w:r>
      <w:r w:rsidR="001D2BAA" w:rsidRPr="00762944">
        <w:rPr>
          <w:rFonts w:cs="Arial"/>
        </w:rPr>
        <w:t xml:space="preserve">problems </w:t>
      </w:r>
      <w:r w:rsidR="00005016" w:rsidRPr="00762944">
        <w:rPr>
          <w:rFonts w:cs="Arial"/>
        </w:rPr>
        <w:t>within Police Scotland.</w:t>
      </w:r>
    </w:p>
    <w:p w14:paraId="04E28324" w14:textId="77777777" w:rsidR="00950A36" w:rsidRPr="00762944" w:rsidRDefault="00950A36" w:rsidP="00005016">
      <w:pPr>
        <w:widowControl w:val="0"/>
        <w:overflowPunct w:val="0"/>
        <w:autoSpaceDE w:val="0"/>
        <w:autoSpaceDN w:val="0"/>
        <w:adjustRightInd w:val="0"/>
        <w:ind w:left="1138"/>
        <w:textAlignment w:val="baseline"/>
        <w:rPr>
          <w:rFonts w:cs="Arial"/>
        </w:rPr>
      </w:pPr>
    </w:p>
    <w:p w14:paraId="00CDA8F7" w14:textId="77777777" w:rsidR="00A501DB" w:rsidRPr="00762944" w:rsidRDefault="00A501DB" w:rsidP="00F24FF2">
      <w:pPr>
        <w:widowControl w:val="0"/>
        <w:overflowPunct w:val="0"/>
        <w:autoSpaceDE w:val="0"/>
        <w:autoSpaceDN w:val="0"/>
        <w:adjustRightInd w:val="0"/>
        <w:textAlignment w:val="baseline"/>
        <w:rPr>
          <w:rFonts w:cs="Arial"/>
        </w:rPr>
      </w:pPr>
      <w:r w:rsidRPr="00762944">
        <w:rPr>
          <w:rFonts w:cs="Arial"/>
        </w:rPr>
        <w:t>The Standards of Professional Behaviour and the conduct regulations underpinning the processes described</w:t>
      </w:r>
      <w:r w:rsidR="00E220A0" w:rsidRPr="00762944">
        <w:rPr>
          <w:rFonts w:cs="Arial"/>
        </w:rPr>
        <w:t xml:space="preserve"> herein apply to police officers only.</w:t>
      </w:r>
    </w:p>
    <w:p w14:paraId="6CD7B7A3" w14:textId="77777777" w:rsidR="00B30946" w:rsidRPr="00762944" w:rsidRDefault="00B30946" w:rsidP="00F24FF2">
      <w:pPr>
        <w:widowControl w:val="0"/>
        <w:overflowPunct w:val="0"/>
        <w:autoSpaceDE w:val="0"/>
        <w:autoSpaceDN w:val="0"/>
        <w:adjustRightInd w:val="0"/>
        <w:textAlignment w:val="baseline"/>
        <w:rPr>
          <w:rFonts w:cs="Arial"/>
        </w:rPr>
      </w:pPr>
    </w:p>
    <w:p w14:paraId="2AACD2FE" w14:textId="77777777" w:rsidR="00B30946" w:rsidRPr="00762944" w:rsidRDefault="00B30946" w:rsidP="00F24FF2">
      <w:pPr>
        <w:widowControl w:val="0"/>
        <w:overflowPunct w:val="0"/>
        <w:autoSpaceDE w:val="0"/>
        <w:autoSpaceDN w:val="0"/>
        <w:adjustRightInd w:val="0"/>
        <w:textAlignment w:val="baseline"/>
        <w:rPr>
          <w:rFonts w:cs="Arial"/>
        </w:rPr>
      </w:pPr>
    </w:p>
    <w:p w14:paraId="43271325" w14:textId="77777777" w:rsidR="00337832" w:rsidRPr="00762944" w:rsidRDefault="00337832" w:rsidP="00831B4C">
      <w:pPr>
        <w:pStyle w:val="Heading1"/>
      </w:pPr>
      <w:r w:rsidRPr="00762944">
        <w:t>2.</w:t>
      </w:r>
      <w:r w:rsidRPr="00762944">
        <w:tab/>
        <w:t>Definitions</w:t>
      </w:r>
    </w:p>
    <w:p w14:paraId="4D16471C" w14:textId="77777777" w:rsidR="00B30946" w:rsidRPr="00762944" w:rsidRDefault="00B30946" w:rsidP="00B30946"/>
    <w:p w14:paraId="6AB2E0C0" w14:textId="77777777" w:rsidR="00337832" w:rsidRPr="00762944" w:rsidRDefault="00337832" w:rsidP="00337832">
      <w:r w:rsidRPr="00762944">
        <w:t>For the purpose of this SOP the following definitions apply:</w:t>
      </w:r>
    </w:p>
    <w:p w14:paraId="6B650EF2" w14:textId="77777777" w:rsidR="00337832" w:rsidRPr="00762944" w:rsidRDefault="00337832" w:rsidP="00337832"/>
    <w:p w14:paraId="1EFB5B05" w14:textId="77777777" w:rsidR="00337832" w:rsidRPr="00762944" w:rsidRDefault="00337832" w:rsidP="00005016">
      <w:pPr>
        <w:spacing w:after="240"/>
        <w:rPr>
          <w:rFonts w:cs="Arial"/>
        </w:rPr>
      </w:pPr>
      <w:r w:rsidRPr="00762944">
        <w:rPr>
          <w:rFonts w:cs="Arial"/>
          <w:b/>
        </w:rPr>
        <w:t>S</w:t>
      </w:r>
      <w:r w:rsidRPr="00762944">
        <w:rPr>
          <w:b/>
        </w:rPr>
        <w:t>ubstance</w:t>
      </w:r>
      <w:r w:rsidRPr="00762944">
        <w:t xml:space="preserve"> - Alcohol, drugs or </w:t>
      </w:r>
      <w:r w:rsidRPr="00762944">
        <w:rPr>
          <w:rFonts w:cs="Arial"/>
          <w:szCs w:val="16"/>
          <w:lang w:val="en-US"/>
        </w:rPr>
        <w:t>new psychoactive substances</w:t>
      </w:r>
      <w:r w:rsidRPr="00762944">
        <w:t>.</w:t>
      </w:r>
    </w:p>
    <w:p w14:paraId="2BDF8118" w14:textId="77777777" w:rsidR="00337832" w:rsidRPr="00762944" w:rsidRDefault="00337832" w:rsidP="00005016">
      <w:pPr>
        <w:spacing w:after="240"/>
      </w:pPr>
      <w:r w:rsidRPr="00762944">
        <w:rPr>
          <w:b/>
        </w:rPr>
        <w:t>Drugs</w:t>
      </w:r>
      <w:r w:rsidRPr="00762944">
        <w:t xml:space="preserve"> – controlled</w:t>
      </w:r>
      <w:r w:rsidR="00005016" w:rsidRPr="00762944">
        <w:t xml:space="preserve"> and prescription drugs</w:t>
      </w:r>
      <w:r w:rsidRPr="00762944">
        <w:t xml:space="preserve"> as defined by the Misuse of Drugs Act 1971 together with any legislative amendments or associated regulations.</w:t>
      </w:r>
    </w:p>
    <w:p w14:paraId="38684AFD" w14:textId="77777777" w:rsidR="00337832" w:rsidRPr="00762944" w:rsidRDefault="00337832" w:rsidP="00005016">
      <w:pPr>
        <w:spacing w:after="240"/>
        <w:rPr>
          <w:b/>
          <w:bCs/>
        </w:rPr>
      </w:pPr>
      <w:r w:rsidRPr="00762944">
        <w:rPr>
          <w:rFonts w:cs="Arial"/>
          <w:b/>
          <w:bCs/>
          <w:szCs w:val="16"/>
          <w:lang w:val="en-US"/>
        </w:rPr>
        <w:t xml:space="preserve">New Psychoactive Substances </w:t>
      </w:r>
      <w:r w:rsidRPr="00762944">
        <w:rPr>
          <w:rFonts w:cs="Arial"/>
          <w:bCs/>
          <w:szCs w:val="16"/>
          <w:lang w:val="en-US"/>
        </w:rPr>
        <w:t>-</w:t>
      </w:r>
      <w:r w:rsidRPr="00762944">
        <w:rPr>
          <w:rFonts w:cs="Arial"/>
          <w:b/>
          <w:bCs/>
          <w:szCs w:val="16"/>
          <w:lang w:val="en-US"/>
        </w:rPr>
        <w:t xml:space="preserve"> </w:t>
      </w:r>
      <w:r w:rsidRPr="00762944">
        <w:rPr>
          <w:rStyle w:val="legdslegrhslegp2text"/>
          <w:szCs w:val="30"/>
          <w:lang w:val="en"/>
        </w:rPr>
        <w:t>any substance that</w:t>
      </w:r>
      <w:r w:rsidRPr="00762944">
        <w:rPr>
          <w:lang w:val="en"/>
        </w:rPr>
        <w:t xml:space="preserve"> </w:t>
      </w:r>
      <w:r w:rsidRPr="00762944">
        <w:rPr>
          <w:rStyle w:val="legdslegrhslegp3text"/>
          <w:szCs w:val="30"/>
          <w:lang w:val="en"/>
        </w:rPr>
        <w:t>is capable of producing a psychoactive effect.</w:t>
      </w:r>
    </w:p>
    <w:p w14:paraId="14119A83" w14:textId="77777777" w:rsidR="00337832" w:rsidRPr="00762944" w:rsidRDefault="00337832" w:rsidP="00005016">
      <w:pPr>
        <w:spacing w:after="240"/>
      </w:pPr>
      <w:r w:rsidRPr="00762944">
        <w:rPr>
          <w:b/>
        </w:rPr>
        <w:t>Misuse</w:t>
      </w:r>
      <w:r w:rsidRPr="00762944">
        <w:t xml:space="preserve"> - Use</w:t>
      </w:r>
      <w:r w:rsidR="00A377B0" w:rsidRPr="00762944">
        <w:t>d</w:t>
      </w:r>
      <w:r w:rsidRPr="00762944">
        <w:t xml:space="preserve"> in such a manner that is illegal, harmful or problematic, either for the individual or others and affects a person's health, conduct or work capability.</w:t>
      </w:r>
    </w:p>
    <w:p w14:paraId="02615BD3" w14:textId="77777777" w:rsidR="00337832" w:rsidRPr="00762944" w:rsidRDefault="00337832" w:rsidP="00005016">
      <w:pPr>
        <w:spacing w:after="240"/>
      </w:pPr>
      <w:r w:rsidRPr="00762944">
        <w:rPr>
          <w:b/>
        </w:rPr>
        <w:t>Alcohol Misuse</w:t>
      </w:r>
      <w:r w:rsidRPr="00762944">
        <w:t xml:space="preserve"> - The consumption of alcohol, either intermittent or continual, which affects the person's health, conduct or work capacity.</w:t>
      </w:r>
    </w:p>
    <w:p w14:paraId="6C0C6506" w14:textId="77777777" w:rsidR="00337832" w:rsidRPr="00762944" w:rsidRDefault="00337832" w:rsidP="00005016">
      <w:pPr>
        <w:spacing w:after="240"/>
      </w:pPr>
      <w:r w:rsidRPr="00762944">
        <w:rPr>
          <w:b/>
        </w:rPr>
        <w:t>Drug Misuse</w:t>
      </w:r>
      <w:r w:rsidRPr="00762944">
        <w:t xml:space="preserve"> - The use of illegal drugs and the inappropriate use of prescribed or non-prescribed drugs and other substances including, but not limited to, steroids or pro-hormones.</w:t>
      </w:r>
    </w:p>
    <w:p w14:paraId="328C79F0" w14:textId="77777777" w:rsidR="00337832" w:rsidRPr="00762944" w:rsidRDefault="00337832" w:rsidP="001D1098">
      <w:bookmarkStart w:id="0" w:name="_Toc217274929"/>
      <w:r w:rsidRPr="00762944">
        <w:rPr>
          <w:b/>
        </w:rPr>
        <w:t>Medical Review Officer (MRO)</w:t>
      </w:r>
      <w:r w:rsidRPr="00762944">
        <w:t xml:space="preserve"> - </w:t>
      </w:r>
      <w:r w:rsidR="002A0BA1" w:rsidRPr="00762944">
        <w:t>A</w:t>
      </w:r>
      <w:r w:rsidR="00DA3E32" w:rsidRPr="00762944">
        <w:t xml:space="preserve"> medical practitioner engaged b</w:t>
      </w:r>
      <w:r w:rsidR="00A377B0" w:rsidRPr="00762944">
        <w:t>y the Contracted Testing Agency.</w:t>
      </w:r>
    </w:p>
    <w:p w14:paraId="522EC62D" w14:textId="77777777" w:rsidR="00B30946" w:rsidRPr="00762944" w:rsidRDefault="00B30946" w:rsidP="001D1098"/>
    <w:p w14:paraId="67758BF4" w14:textId="77777777" w:rsidR="00B30946" w:rsidRPr="00762944" w:rsidRDefault="00B30946" w:rsidP="001D1098">
      <w:pPr>
        <w:rPr>
          <w:rFonts w:eastAsia="Arial Unicode MS"/>
        </w:rPr>
      </w:pPr>
    </w:p>
    <w:bookmarkEnd w:id="0"/>
    <w:p w14:paraId="23870727" w14:textId="77777777" w:rsidR="007C0AC1" w:rsidRPr="00762944" w:rsidRDefault="00337832" w:rsidP="00831B4C">
      <w:pPr>
        <w:pStyle w:val="Heading1"/>
      </w:pPr>
      <w:r w:rsidRPr="00762944">
        <w:t>3.</w:t>
      </w:r>
      <w:r w:rsidRPr="00762944">
        <w:tab/>
        <w:t>Health and Wellbeing</w:t>
      </w:r>
    </w:p>
    <w:p w14:paraId="0E2A3225" w14:textId="77777777" w:rsidR="00B30946" w:rsidRPr="00762944" w:rsidRDefault="00B30946" w:rsidP="00B30946"/>
    <w:p w14:paraId="03D27A28" w14:textId="77777777" w:rsidR="0074525B" w:rsidRPr="00762944" w:rsidRDefault="00E220A0" w:rsidP="001D1098">
      <w:pPr>
        <w:rPr>
          <w:rFonts w:cs="Arial"/>
        </w:rPr>
      </w:pPr>
      <w:r w:rsidRPr="00762944">
        <w:rPr>
          <w:rFonts w:cs="Arial"/>
        </w:rPr>
        <w:t>Police officers who present themselves to the Service with an alcohol or drug misuse problem will be supported</w:t>
      </w:r>
      <w:r w:rsidR="0074525B" w:rsidRPr="00762944">
        <w:rPr>
          <w:rFonts w:cs="Arial"/>
        </w:rPr>
        <w:t xml:space="preserve"> however</w:t>
      </w:r>
      <w:r w:rsidRPr="00762944">
        <w:rPr>
          <w:rFonts w:cs="Arial"/>
        </w:rPr>
        <w:t xml:space="preserve">, they must demonstrate an intention to address the problem and take steps to overcome it. </w:t>
      </w:r>
      <w:r w:rsidR="0074525B" w:rsidRPr="00762944">
        <w:rPr>
          <w:rFonts w:cs="Arial"/>
        </w:rPr>
        <w:t xml:space="preserve">The use of illegal drugs will not be </w:t>
      </w:r>
      <w:r w:rsidR="0074525B" w:rsidRPr="00762944">
        <w:rPr>
          <w:rFonts w:cs="Arial"/>
        </w:rPr>
        <w:lastRenderedPageBreak/>
        <w:t>condoned and any associated breaches of the Standards of Professional Behaviour, including criminal law, will be assessed and dealt with appropriately.</w:t>
      </w:r>
    </w:p>
    <w:p w14:paraId="3CA4F34C" w14:textId="77777777" w:rsidR="0074525B" w:rsidRPr="00762944" w:rsidRDefault="0074525B" w:rsidP="001D1098">
      <w:pPr>
        <w:rPr>
          <w:rFonts w:cs="Arial"/>
        </w:rPr>
      </w:pPr>
      <w:r w:rsidRPr="00762944">
        <w:t>In addition to referral to Occupational Health, a key objective from a wellbeing perspective is to signpost officers to agencies or organisations who can support them with substance misuse problems.</w:t>
      </w:r>
    </w:p>
    <w:p w14:paraId="1F168F3E" w14:textId="77777777" w:rsidR="0074525B" w:rsidRPr="00762944" w:rsidRDefault="0074525B" w:rsidP="001D1098"/>
    <w:p w14:paraId="3F81EED4" w14:textId="77777777" w:rsidR="00337832" w:rsidRPr="00762944" w:rsidRDefault="00337832" w:rsidP="001D1098">
      <w:r w:rsidRPr="00762944">
        <w:t xml:space="preserve">Police Scotland have </w:t>
      </w:r>
      <w:r w:rsidR="00ED4C82" w:rsidRPr="00762944">
        <w:t>an Employee Assistant Programme</w:t>
      </w:r>
      <w:r w:rsidR="008F1A4F" w:rsidRPr="00762944">
        <w:t xml:space="preserve"> (EAP)</w:t>
      </w:r>
      <w:r w:rsidR="00ED4C82" w:rsidRPr="00762944">
        <w:t xml:space="preserve"> HELP, </w:t>
      </w:r>
      <w:r w:rsidR="00445E86" w:rsidRPr="00762944">
        <w:t xml:space="preserve">which provides </w:t>
      </w:r>
      <w:r w:rsidRPr="00762944">
        <w:t xml:space="preserve">confidential, independent, unbiased information and guidance from a team of trained wellbeing and counselling practitioners. This can be by telephone, on-line, or face-to-face </w:t>
      </w:r>
      <w:r w:rsidR="00EB096B" w:rsidRPr="00762944">
        <w:t>appointment</w:t>
      </w:r>
      <w:r w:rsidRPr="00762944">
        <w:t>.</w:t>
      </w:r>
      <w:r w:rsidR="00D17AFB" w:rsidRPr="00762944">
        <w:t xml:space="preserve"> </w:t>
      </w:r>
      <w:r w:rsidR="00EB096B" w:rsidRPr="00762944">
        <w:t>These services are available to officers and to their family members aged sixteen or over.</w:t>
      </w:r>
    </w:p>
    <w:p w14:paraId="76B4026B" w14:textId="77777777" w:rsidR="00337832" w:rsidRPr="00762944" w:rsidRDefault="00337832" w:rsidP="001D1098"/>
    <w:p w14:paraId="72CDC70B" w14:textId="77777777" w:rsidR="00337832" w:rsidRPr="00762944" w:rsidRDefault="00337832" w:rsidP="00337832">
      <w:r w:rsidRPr="00762944">
        <w:rPr>
          <w:b/>
        </w:rPr>
        <w:t>EAP</w:t>
      </w:r>
      <w:r w:rsidR="003F618C" w:rsidRPr="00762944">
        <w:t xml:space="preserve"> – 24/7 365 days of the year</w:t>
      </w:r>
    </w:p>
    <w:p w14:paraId="5B59DAB8" w14:textId="77777777" w:rsidR="0074525B" w:rsidRPr="00762944" w:rsidRDefault="0074525B" w:rsidP="00337832">
      <w:r w:rsidRPr="00762944">
        <w:t>www.besupported.helpeap.com</w:t>
      </w:r>
    </w:p>
    <w:p w14:paraId="2128AA13" w14:textId="77777777" w:rsidR="00012463" w:rsidRPr="00762944" w:rsidRDefault="00D17AFB" w:rsidP="00831B4C">
      <w:pPr>
        <w:pStyle w:val="Heading2"/>
      </w:pPr>
      <w:r w:rsidRPr="00762944">
        <w:t>External Support Organisations</w:t>
      </w:r>
    </w:p>
    <w:p w14:paraId="30115D97" w14:textId="77777777" w:rsidR="00B30946" w:rsidRPr="00762944" w:rsidRDefault="00B30946" w:rsidP="00B30946"/>
    <w:p w14:paraId="254036A9" w14:textId="77777777" w:rsidR="00337832" w:rsidRPr="00762944" w:rsidRDefault="00337832" w:rsidP="00337832">
      <w:r w:rsidRPr="00762944">
        <w:rPr>
          <w:b/>
        </w:rPr>
        <w:t>ALCOHOLICS ANONYMOUS</w:t>
      </w:r>
      <w:r w:rsidRPr="00762944">
        <w:t xml:space="preserve"> 24/7</w:t>
      </w:r>
    </w:p>
    <w:p w14:paraId="2B7DABD7" w14:textId="77777777" w:rsidR="00337832" w:rsidRPr="00762944" w:rsidRDefault="00337832" w:rsidP="00337832">
      <w:r w:rsidRPr="00762944">
        <w:t>Tel: 0845 7697</w:t>
      </w:r>
      <w:r w:rsidR="0088508D" w:rsidRPr="00762944">
        <w:t xml:space="preserve"> </w:t>
      </w:r>
      <w:r w:rsidRPr="00762944">
        <w:t>555</w:t>
      </w:r>
    </w:p>
    <w:p w14:paraId="0F3624A9" w14:textId="77777777" w:rsidR="00337832" w:rsidRPr="00762944" w:rsidRDefault="0088508D" w:rsidP="00337832">
      <w:r w:rsidRPr="00762944">
        <w:t>W</w:t>
      </w:r>
      <w:r w:rsidR="00337832" w:rsidRPr="00762944">
        <w:t>:</w:t>
      </w:r>
      <w:r w:rsidRPr="00762944">
        <w:t xml:space="preserve"> </w:t>
      </w:r>
      <w:r w:rsidR="00337832" w:rsidRPr="00762944">
        <w:t>alcoholics-anonymous.org.uk</w:t>
      </w:r>
    </w:p>
    <w:p w14:paraId="2B291ACC" w14:textId="77777777" w:rsidR="00337832" w:rsidRPr="00762944" w:rsidRDefault="00337832" w:rsidP="00337832"/>
    <w:p w14:paraId="62F5CED0" w14:textId="77777777" w:rsidR="00337832" w:rsidRPr="00762944" w:rsidRDefault="00337832" w:rsidP="00337832">
      <w:r w:rsidRPr="00762944">
        <w:rPr>
          <w:b/>
        </w:rPr>
        <w:t>GAMCARE</w:t>
      </w:r>
      <w:r w:rsidRPr="00762944">
        <w:t xml:space="preserve"> 24/7</w:t>
      </w:r>
    </w:p>
    <w:p w14:paraId="0B0BDF14" w14:textId="77777777" w:rsidR="00337832" w:rsidRPr="00762944" w:rsidRDefault="00337832" w:rsidP="00337832">
      <w:r w:rsidRPr="00762944">
        <w:t>Tel</w:t>
      </w:r>
      <w:r w:rsidR="0088508D" w:rsidRPr="00762944">
        <w:t xml:space="preserve"> No</w:t>
      </w:r>
      <w:r w:rsidRPr="00762944">
        <w:t>: 0808 8020</w:t>
      </w:r>
      <w:r w:rsidR="0088508D" w:rsidRPr="00762944">
        <w:t xml:space="preserve"> </w:t>
      </w:r>
      <w:r w:rsidRPr="00762944">
        <w:t>133</w:t>
      </w:r>
    </w:p>
    <w:p w14:paraId="6179A9C0" w14:textId="77777777" w:rsidR="00337832" w:rsidRPr="00762944" w:rsidRDefault="00337832" w:rsidP="00337832">
      <w:r w:rsidRPr="00762944">
        <w:t>W: gamcare.org.uk</w:t>
      </w:r>
    </w:p>
    <w:p w14:paraId="13722064" w14:textId="77777777" w:rsidR="002A0BA1" w:rsidRPr="00762944" w:rsidRDefault="002A0BA1" w:rsidP="00337832"/>
    <w:p w14:paraId="1C51568D" w14:textId="77777777" w:rsidR="00337832" w:rsidRPr="00762944" w:rsidRDefault="00337832" w:rsidP="00337832">
      <w:r w:rsidRPr="00762944">
        <w:rPr>
          <w:b/>
        </w:rPr>
        <w:t>NARCOTICS ANONYMOUS</w:t>
      </w:r>
      <w:r w:rsidRPr="00762944">
        <w:t xml:space="preserve"> Helpline daily 10am to Midnight</w:t>
      </w:r>
    </w:p>
    <w:p w14:paraId="777217DE" w14:textId="77777777" w:rsidR="00337832" w:rsidRPr="00762944" w:rsidRDefault="00337832" w:rsidP="00337832">
      <w:r w:rsidRPr="00762944">
        <w:t>Tel: 0300 9991</w:t>
      </w:r>
      <w:r w:rsidR="0088508D" w:rsidRPr="00762944">
        <w:t xml:space="preserve"> </w:t>
      </w:r>
      <w:r w:rsidRPr="00762944">
        <w:t>212</w:t>
      </w:r>
    </w:p>
    <w:p w14:paraId="6F0A85C6" w14:textId="77777777" w:rsidR="00337832" w:rsidRPr="00762944" w:rsidRDefault="00337832" w:rsidP="00337832">
      <w:r w:rsidRPr="00762944">
        <w:t>W: ukna.org</w:t>
      </w:r>
    </w:p>
    <w:p w14:paraId="01BAECF4" w14:textId="77777777" w:rsidR="00B30946" w:rsidRPr="00762944" w:rsidRDefault="00B30946" w:rsidP="00337832"/>
    <w:p w14:paraId="7B20EF08" w14:textId="77777777" w:rsidR="00B30946" w:rsidRPr="00762944" w:rsidRDefault="00B30946" w:rsidP="00337832"/>
    <w:p w14:paraId="397EEE0F" w14:textId="77777777" w:rsidR="00594061" w:rsidRPr="00762944" w:rsidRDefault="00012463" w:rsidP="00831B4C">
      <w:pPr>
        <w:pStyle w:val="Heading1"/>
        <w:rPr>
          <w:rStyle w:val="Heading1Char"/>
          <w:b/>
        </w:rPr>
      </w:pPr>
      <w:r w:rsidRPr="00762944">
        <w:t>4</w:t>
      </w:r>
      <w:r w:rsidR="00594061" w:rsidRPr="00762944">
        <w:t>.</w:t>
      </w:r>
      <w:r w:rsidR="00594061" w:rsidRPr="00762944">
        <w:tab/>
      </w:r>
      <w:r w:rsidR="00594061" w:rsidRPr="00762944">
        <w:rPr>
          <w:rStyle w:val="Heading1Char"/>
          <w:b/>
        </w:rPr>
        <w:t>Roles and Responsibilities</w:t>
      </w:r>
    </w:p>
    <w:p w14:paraId="557F926F" w14:textId="77777777" w:rsidR="00B30946" w:rsidRPr="00762944" w:rsidRDefault="00B30946" w:rsidP="00B309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0"/>
      </w:tblGrid>
      <w:tr w:rsidR="00594061" w:rsidRPr="00762944" w14:paraId="46200090" w14:textId="77777777" w:rsidTr="00F61589">
        <w:tc>
          <w:tcPr>
            <w:tcW w:w="4643" w:type="dxa"/>
            <w:shd w:val="clear" w:color="auto" w:fill="auto"/>
          </w:tcPr>
          <w:p w14:paraId="1A219620" w14:textId="77777777" w:rsidR="00594061" w:rsidRPr="00762944" w:rsidRDefault="00722F59" w:rsidP="00780297">
            <w:r w:rsidRPr="00762944">
              <w:t>Chief Superintendent, P</w:t>
            </w:r>
            <w:r w:rsidR="00780297" w:rsidRPr="00762944">
              <w:t>rofessional Standards Department (PSD)</w:t>
            </w:r>
          </w:p>
        </w:tc>
        <w:tc>
          <w:tcPr>
            <w:tcW w:w="4643" w:type="dxa"/>
            <w:shd w:val="clear" w:color="auto" w:fill="auto"/>
          </w:tcPr>
          <w:p w14:paraId="15890F63" w14:textId="77777777" w:rsidR="00594061" w:rsidRPr="00762944" w:rsidRDefault="0074525B" w:rsidP="005C3682">
            <w:pPr>
              <w:numPr>
                <w:ilvl w:val="0"/>
                <w:numId w:val="5"/>
              </w:numPr>
            </w:pPr>
            <w:r w:rsidRPr="00762944">
              <w:rPr>
                <w:rFonts w:cs="Arial"/>
              </w:rPr>
              <w:t xml:space="preserve">Will </w:t>
            </w:r>
            <w:r w:rsidR="00B30946" w:rsidRPr="00762944">
              <w:rPr>
                <w:rFonts w:cs="Arial"/>
              </w:rPr>
              <w:t>implement</w:t>
            </w:r>
            <w:r w:rsidRPr="00762944">
              <w:rPr>
                <w:rFonts w:cs="Arial"/>
              </w:rPr>
              <w:t xml:space="preserve">, </w:t>
            </w:r>
            <w:r w:rsidR="00B30946" w:rsidRPr="00762944">
              <w:rPr>
                <w:rFonts w:cs="Arial"/>
              </w:rPr>
              <w:t>monitor</w:t>
            </w:r>
            <w:r w:rsidRPr="00762944">
              <w:rPr>
                <w:rFonts w:cs="Arial"/>
              </w:rPr>
              <w:t xml:space="preserve"> and </w:t>
            </w:r>
            <w:r w:rsidR="00B30946" w:rsidRPr="00762944">
              <w:rPr>
                <w:rFonts w:cs="Arial"/>
              </w:rPr>
              <w:t xml:space="preserve">conduct a cyclical </w:t>
            </w:r>
            <w:r w:rsidRPr="00762944">
              <w:rPr>
                <w:rFonts w:cs="Arial"/>
              </w:rPr>
              <w:t>review of this SOP.</w:t>
            </w:r>
          </w:p>
        </w:tc>
      </w:tr>
      <w:tr w:rsidR="00594061" w:rsidRPr="00762944" w14:paraId="448DACF6" w14:textId="77777777" w:rsidTr="00F61589">
        <w:tc>
          <w:tcPr>
            <w:tcW w:w="4643" w:type="dxa"/>
            <w:shd w:val="clear" w:color="auto" w:fill="auto"/>
          </w:tcPr>
          <w:p w14:paraId="54C2659C" w14:textId="77777777" w:rsidR="00594061" w:rsidRPr="00762944" w:rsidRDefault="00722F59" w:rsidP="00F61589">
            <w:r w:rsidRPr="00762944">
              <w:t>Conduct Unit, PSD</w:t>
            </w:r>
          </w:p>
        </w:tc>
        <w:tc>
          <w:tcPr>
            <w:tcW w:w="4643" w:type="dxa"/>
            <w:shd w:val="clear" w:color="auto" w:fill="auto"/>
          </w:tcPr>
          <w:p w14:paraId="40C0EE95" w14:textId="77777777" w:rsidR="00722F59" w:rsidRPr="00762944" w:rsidRDefault="0074525B" w:rsidP="005C3682">
            <w:pPr>
              <w:numPr>
                <w:ilvl w:val="0"/>
                <w:numId w:val="5"/>
              </w:numPr>
            </w:pPr>
            <w:r w:rsidRPr="00762944">
              <w:rPr>
                <w:rFonts w:cs="Arial"/>
              </w:rPr>
              <w:t>Organise</w:t>
            </w:r>
            <w:r w:rsidR="00722F59" w:rsidRPr="00762944">
              <w:rPr>
                <w:rFonts w:cs="Arial"/>
              </w:rPr>
              <w:t xml:space="preserve"> and </w:t>
            </w:r>
            <w:r w:rsidRPr="00762944">
              <w:rPr>
                <w:rFonts w:cs="Arial"/>
              </w:rPr>
              <w:t>carry</w:t>
            </w:r>
            <w:r w:rsidR="008F1A4F" w:rsidRPr="00762944">
              <w:rPr>
                <w:rFonts w:cs="Arial"/>
              </w:rPr>
              <w:t xml:space="preserve"> out </w:t>
            </w:r>
            <w:r w:rsidRPr="00762944">
              <w:rPr>
                <w:rFonts w:cs="Arial"/>
              </w:rPr>
              <w:t>‘</w:t>
            </w:r>
            <w:r w:rsidR="008F1A4F" w:rsidRPr="00762944">
              <w:rPr>
                <w:rFonts w:cs="Arial"/>
              </w:rPr>
              <w:t>with-cause</w:t>
            </w:r>
            <w:r w:rsidRPr="00762944">
              <w:rPr>
                <w:rFonts w:cs="Arial"/>
              </w:rPr>
              <w:t>’</w:t>
            </w:r>
            <w:r w:rsidR="008F1A4F" w:rsidRPr="00762944">
              <w:rPr>
                <w:rFonts w:cs="Arial"/>
              </w:rPr>
              <w:t xml:space="preserve"> drug testing </w:t>
            </w:r>
            <w:r w:rsidR="00722F59" w:rsidRPr="00762944">
              <w:rPr>
                <w:rFonts w:cs="Arial"/>
              </w:rPr>
              <w:t>of officers</w:t>
            </w:r>
            <w:r w:rsidR="008F1A4F" w:rsidRPr="00762944">
              <w:rPr>
                <w:rFonts w:cs="Arial"/>
              </w:rPr>
              <w:t>,</w:t>
            </w:r>
            <w:r w:rsidRPr="00762944">
              <w:rPr>
                <w:rFonts w:cs="Arial"/>
              </w:rPr>
              <w:t xml:space="preserve"> and maintain</w:t>
            </w:r>
            <w:r w:rsidR="00722F59" w:rsidRPr="00762944">
              <w:rPr>
                <w:rFonts w:cs="Arial"/>
              </w:rPr>
              <w:t xml:space="preserve"> a </w:t>
            </w:r>
            <w:r w:rsidR="0041518B" w:rsidRPr="00762944">
              <w:rPr>
                <w:rFonts w:cs="Arial"/>
              </w:rPr>
              <w:t xml:space="preserve">record of all </w:t>
            </w:r>
            <w:r w:rsidRPr="00762944">
              <w:rPr>
                <w:rFonts w:cs="Arial"/>
              </w:rPr>
              <w:t>tests</w:t>
            </w:r>
            <w:r w:rsidR="00B30946" w:rsidRPr="00762944">
              <w:rPr>
                <w:rFonts w:cs="Arial"/>
              </w:rPr>
              <w:t xml:space="preserve"> and results</w:t>
            </w:r>
            <w:r w:rsidRPr="00762944">
              <w:rPr>
                <w:rFonts w:cs="Arial"/>
              </w:rPr>
              <w:t>.</w:t>
            </w:r>
          </w:p>
        </w:tc>
      </w:tr>
      <w:tr w:rsidR="0041518B" w:rsidRPr="00762944" w14:paraId="33663E5F" w14:textId="77777777" w:rsidTr="00F61589">
        <w:tc>
          <w:tcPr>
            <w:tcW w:w="4643" w:type="dxa"/>
            <w:shd w:val="clear" w:color="auto" w:fill="auto"/>
          </w:tcPr>
          <w:p w14:paraId="0A312340" w14:textId="77777777" w:rsidR="0041518B" w:rsidRPr="00762944" w:rsidRDefault="008F1A4F" w:rsidP="00F61589">
            <w:r w:rsidRPr="00762944">
              <w:t xml:space="preserve">All </w:t>
            </w:r>
            <w:r w:rsidR="0041518B" w:rsidRPr="00762944">
              <w:t>Supervisors</w:t>
            </w:r>
            <w:r w:rsidRPr="00762944">
              <w:t>, Police Scotland</w:t>
            </w:r>
          </w:p>
        </w:tc>
        <w:tc>
          <w:tcPr>
            <w:tcW w:w="4643" w:type="dxa"/>
            <w:shd w:val="clear" w:color="auto" w:fill="auto"/>
          </w:tcPr>
          <w:p w14:paraId="1A22057A" w14:textId="77777777" w:rsidR="00B323CF" w:rsidRPr="00762944" w:rsidRDefault="00B323CF" w:rsidP="005C3682">
            <w:pPr>
              <w:numPr>
                <w:ilvl w:val="0"/>
                <w:numId w:val="8"/>
              </w:numPr>
              <w:rPr>
                <w:rFonts w:cs="Arial"/>
              </w:rPr>
            </w:pPr>
            <w:r w:rsidRPr="00762944">
              <w:rPr>
                <w:rFonts w:cs="Arial"/>
              </w:rPr>
              <w:t>Submit management referrals to the Occupational Health Provider</w:t>
            </w:r>
          </w:p>
          <w:p w14:paraId="2638C7C7" w14:textId="77777777" w:rsidR="00472AF1" w:rsidRPr="00762944" w:rsidRDefault="00472AF1" w:rsidP="005C3682">
            <w:pPr>
              <w:numPr>
                <w:ilvl w:val="0"/>
                <w:numId w:val="8"/>
              </w:numPr>
              <w:rPr>
                <w:rFonts w:cs="Arial"/>
              </w:rPr>
            </w:pPr>
            <w:r w:rsidRPr="00762944">
              <w:rPr>
                <w:rFonts w:cs="Arial"/>
              </w:rPr>
              <w:t>Determine if an officer is fit for duty due to consumption of alcohol</w:t>
            </w:r>
          </w:p>
          <w:p w14:paraId="6B54E872" w14:textId="77777777" w:rsidR="00B30946" w:rsidRPr="00762944" w:rsidRDefault="00B30946" w:rsidP="005C3682">
            <w:pPr>
              <w:numPr>
                <w:ilvl w:val="0"/>
                <w:numId w:val="8"/>
              </w:numPr>
              <w:rPr>
                <w:rFonts w:cs="Arial"/>
              </w:rPr>
            </w:pPr>
            <w:r w:rsidRPr="00762944">
              <w:rPr>
                <w:rFonts w:cs="Arial"/>
              </w:rPr>
              <w:t>Submit referrals to PSD</w:t>
            </w:r>
          </w:p>
        </w:tc>
      </w:tr>
      <w:tr w:rsidR="00722F59" w:rsidRPr="00762944" w14:paraId="45F082C2" w14:textId="77777777" w:rsidTr="00F61589">
        <w:tc>
          <w:tcPr>
            <w:tcW w:w="4643" w:type="dxa"/>
            <w:shd w:val="clear" w:color="auto" w:fill="auto"/>
          </w:tcPr>
          <w:p w14:paraId="74739E25" w14:textId="77777777" w:rsidR="00722F59" w:rsidRPr="00762944" w:rsidRDefault="00722F59" w:rsidP="00F61589">
            <w:r w:rsidRPr="00762944">
              <w:t>All Officers, Police Scotland</w:t>
            </w:r>
          </w:p>
        </w:tc>
        <w:tc>
          <w:tcPr>
            <w:tcW w:w="4643" w:type="dxa"/>
            <w:shd w:val="clear" w:color="auto" w:fill="auto"/>
          </w:tcPr>
          <w:p w14:paraId="1286F744" w14:textId="77777777" w:rsidR="00722F59" w:rsidRPr="00762944" w:rsidRDefault="00AB5685" w:rsidP="005C3682">
            <w:pPr>
              <w:numPr>
                <w:ilvl w:val="0"/>
                <w:numId w:val="8"/>
              </w:numPr>
              <w:rPr>
                <w:rFonts w:cs="Arial"/>
              </w:rPr>
            </w:pPr>
            <w:r w:rsidRPr="00762944">
              <w:rPr>
                <w:rFonts w:cs="Arial"/>
              </w:rPr>
              <w:t>Must ensure t</w:t>
            </w:r>
            <w:r w:rsidR="00722F59" w:rsidRPr="00762944">
              <w:rPr>
                <w:rFonts w:cs="Arial"/>
              </w:rPr>
              <w:t>heir work is not impaired as a consequence of substance misuse;</w:t>
            </w:r>
          </w:p>
          <w:p w14:paraId="5EC8AF10" w14:textId="77777777" w:rsidR="00B323CF" w:rsidRPr="00762944" w:rsidRDefault="00B323CF" w:rsidP="005C3682">
            <w:pPr>
              <w:numPr>
                <w:ilvl w:val="0"/>
                <w:numId w:val="7"/>
              </w:numPr>
              <w:rPr>
                <w:rFonts w:cs="Arial"/>
              </w:rPr>
            </w:pPr>
            <w:r w:rsidRPr="00762944">
              <w:rPr>
                <w:rFonts w:cs="Arial"/>
              </w:rPr>
              <w:lastRenderedPageBreak/>
              <w:t>Be</w:t>
            </w:r>
            <w:r w:rsidR="00722F59" w:rsidRPr="00762944">
              <w:rPr>
                <w:rFonts w:cs="Arial"/>
              </w:rPr>
              <w:t xml:space="preserve"> aware that medicines prescribed to them, purchased over the counter or o</w:t>
            </w:r>
            <w:r w:rsidR="008F1A4F" w:rsidRPr="00762944">
              <w:rPr>
                <w:rFonts w:cs="Arial"/>
              </w:rPr>
              <w:t xml:space="preserve">btained legally elsewhere </w:t>
            </w:r>
            <w:r w:rsidR="00722F59" w:rsidRPr="00762944">
              <w:rPr>
                <w:rFonts w:cs="Arial"/>
              </w:rPr>
              <w:t xml:space="preserve">may have the potential to impair them. </w:t>
            </w:r>
          </w:p>
          <w:p w14:paraId="53F0DDF7" w14:textId="77777777" w:rsidR="00722F59" w:rsidRPr="00762944" w:rsidRDefault="00B323CF" w:rsidP="005C3682">
            <w:pPr>
              <w:numPr>
                <w:ilvl w:val="0"/>
                <w:numId w:val="7"/>
              </w:numPr>
              <w:rPr>
                <w:rFonts w:cs="Arial"/>
              </w:rPr>
            </w:pPr>
            <w:r w:rsidRPr="00762944">
              <w:rPr>
                <w:rFonts w:cs="Arial"/>
              </w:rPr>
              <w:t>Consult a GP or Pharmacist i</w:t>
            </w:r>
            <w:r w:rsidR="00722F59" w:rsidRPr="00762944">
              <w:rPr>
                <w:rFonts w:cs="Arial"/>
              </w:rPr>
              <w:t xml:space="preserve">f they have any concerns about the impact a drug may have on their ability to perform their </w:t>
            </w:r>
            <w:r w:rsidRPr="00762944">
              <w:rPr>
                <w:rFonts w:cs="Arial"/>
              </w:rPr>
              <w:t>role.</w:t>
            </w:r>
          </w:p>
          <w:p w14:paraId="5A802ECF" w14:textId="77777777" w:rsidR="00722F59" w:rsidRPr="00762944" w:rsidRDefault="00B323CF" w:rsidP="005C3682">
            <w:pPr>
              <w:numPr>
                <w:ilvl w:val="0"/>
                <w:numId w:val="7"/>
              </w:numPr>
              <w:rPr>
                <w:rFonts w:cs="Arial"/>
              </w:rPr>
            </w:pPr>
            <w:r w:rsidRPr="00762944">
              <w:rPr>
                <w:rFonts w:cs="Arial"/>
              </w:rPr>
              <w:t>R</w:t>
            </w:r>
            <w:r w:rsidR="00722F59" w:rsidRPr="00762944">
              <w:rPr>
                <w:rFonts w:cs="Arial"/>
              </w:rPr>
              <w:t>eport any personal substance misuse problems to their supervisor immediately;</w:t>
            </w:r>
          </w:p>
          <w:p w14:paraId="0290B27D" w14:textId="77777777" w:rsidR="00722F59" w:rsidRPr="00762944" w:rsidRDefault="00B323CF" w:rsidP="005C3682">
            <w:pPr>
              <w:numPr>
                <w:ilvl w:val="0"/>
                <w:numId w:val="7"/>
              </w:numPr>
              <w:tabs>
                <w:tab w:val="num" w:pos="720"/>
              </w:tabs>
              <w:rPr>
                <w:rFonts w:cs="Arial"/>
              </w:rPr>
            </w:pPr>
            <w:r w:rsidRPr="00762944">
              <w:rPr>
                <w:rFonts w:cs="Arial"/>
              </w:rPr>
              <w:t>If they</w:t>
            </w:r>
            <w:r w:rsidR="00722F59" w:rsidRPr="00762944">
              <w:rPr>
                <w:rFonts w:cs="Arial"/>
              </w:rPr>
              <w:t xml:space="preserve"> believe that a colleague is impaired b</w:t>
            </w:r>
            <w:r w:rsidRPr="00762944">
              <w:rPr>
                <w:rFonts w:cs="Arial"/>
              </w:rPr>
              <w:t xml:space="preserve">y substance misuse, bring it </w:t>
            </w:r>
            <w:r w:rsidR="00445E86" w:rsidRPr="00762944">
              <w:rPr>
                <w:rFonts w:cs="Arial"/>
              </w:rPr>
              <w:t>to the attention of a s</w:t>
            </w:r>
            <w:r w:rsidR="00722F59" w:rsidRPr="00762944">
              <w:rPr>
                <w:rFonts w:cs="Arial"/>
              </w:rPr>
              <w:t>upervisor or re</w:t>
            </w:r>
            <w:r w:rsidRPr="00762944">
              <w:rPr>
                <w:rFonts w:cs="Arial"/>
              </w:rPr>
              <w:t>port it</w:t>
            </w:r>
            <w:r w:rsidR="00884191" w:rsidRPr="00762944">
              <w:rPr>
                <w:rFonts w:cs="Arial"/>
              </w:rPr>
              <w:t xml:space="preserve"> (see below)</w:t>
            </w:r>
            <w:r w:rsidR="00722F59" w:rsidRPr="00762944">
              <w:rPr>
                <w:rFonts w:cs="Arial"/>
              </w:rPr>
              <w:t>;</w:t>
            </w:r>
          </w:p>
          <w:p w14:paraId="041C1F7C" w14:textId="77777777" w:rsidR="00B323CF" w:rsidRPr="00762944" w:rsidRDefault="00B323CF" w:rsidP="00B323CF">
            <w:pPr>
              <w:ind w:left="720"/>
              <w:rPr>
                <w:rFonts w:cs="Arial"/>
              </w:rPr>
            </w:pPr>
          </w:p>
        </w:tc>
      </w:tr>
    </w:tbl>
    <w:p w14:paraId="36D52B7A" w14:textId="77777777" w:rsidR="00B323CF" w:rsidRPr="00762944" w:rsidRDefault="00B323CF" w:rsidP="00B323CF"/>
    <w:p w14:paraId="2AF1BE2A" w14:textId="77777777" w:rsidR="00B323CF" w:rsidRPr="00762944" w:rsidRDefault="00B323CF" w:rsidP="00831B4C">
      <w:pPr>
        <w:pStyle w:val="Heading2"/>
      </w:pPr>
      <w:r w:rsidRPr="00762944">
        <w:t>NB: There is no requirement for officers to disclose any details of illness or medication to a supervisor, merely to highlight their belief they are, or may be, impaired. It will be for Occupational Health to discuss confidential medical information with the officer, with their consent, and take any necessary action.</w:t>
      </w:r>
    </w:p>
    <w:p w14:paraId="171918BE" w14:textId="77777777" w:rsidR="00594061" w:rsidRPr="00762944" w:rsidRDefault="00884191" w:rsidP="00831B4C">
      <w:pPr>
        <w:pStyle w:val="Heading2"/>
      </w:pPr>
      <w:r w:rsidRPr="00762944">
        <w:t>Reporting Substance Misuse</w:t>
      </w:r>
    </w:p>
    <w:p w14:paraId="38D6EF71" w14:textId="77777777" w:rsidR="00B323CF" w:rsidRPr="00762944" w:rsidRDefault="00B323CF" w:rsidP="00B323CF"/>
    <w:p w14:paraId="28AC814B" w14:textId="77777777" w:rsidR="00884191" w:rsidRPr="00762944" w:rsidRDefault="00884191" w:rsidP="00FD342B">
      <w:pPr>
        <w:spacing w:after="120"/>
      </w:pPr>
      <w:r w:rsidRPr="00762944">
        <w:t>The following methods can be used to report, in confidence, suspected substance misuse or illegal activity by colleagues.</w:t>
      </w:r>
    </w:p>
    <w:p w14:paraId="7CE8D968" w14:textId="77777777" w:rsidR="00884191" w:rsidRPr="00762944" w:rsidRDefault="00884191" w:rsidP="005C3682">
      <w:pPr>
        <w:numPr>
          <w:ilvl w:val="0"/>
          <w:numId w:val="9"/>
        </w:numPr>
        <w:spacing w:after="120"/>
      </w:pPr>
      <w:r w:rsidRPr="00762944">
        <w:t xml:space="preserve">By Email: </w:t>
      </w:r>
      <w:r w:rsidR="00762944" w:rsidRPr="00BF34DF">
        <w:rPr>
          <w:rFonts w:cs="Arial"/>
          <w:b/>
          <w:snapToGrid w:val="0"/>
          <w:color w:val="000000"/>
        </w:rPr>
        <w:t>Information has been removed due to its content being exempt in terms of the Freedom of Information (Scotland) Act 2002</w:t>
      </w:r>
      <w:r w:rsidR="00762944">
        <w:rPr>
          <w:rFonts w:cs="Arial"/>
          <w:b/>
          <w:snapToGrid w:val="0"/>
          <w:color w:val="000000"/>
        </w:rPr>
        <w:t xml:space="preserve">, Section 30, </w:t>
      </w:r>
      <w:r w:rsidR="00762944" w:rsidRPr="00762944">
        <w:rPr>
          <w:rFonts w:cs="Arial"/>
          <w:b/>
          <w:snapToGrid w:val="0"/>
          <w:color w:val="000000"/>
          <w:lang w:val="en"/>
        </w:rPr>
        <w:t>Prejudice to effective conduct of public affairs.</w:t>
      </w:r>
    </w:p>
    <w:p w14:paraId="0BE96FB5" w14:textId="77777777" w:rsidR="00884191" w:rsidRPr="00762944" w:rsidRDefault="00884191" w:rsidP="005C3682">
      <w:pPr>
        <w:numPr>
          <w:ilvl w:val="0"/>
          <w:numId w:val="9"/>
        </w:numPr>
        <w:spacing w:after="120"/>
      </w:pPr>
      <w:r w:rsidRPr="00762944">
        <w:t>Integrity Matters</w:t>
      </w:r>
    </w:p>
    <w:p w14:paraId="156F2F39" w14:textId="77777777" w:rsidR="00884191" w:rsidRPr="00762944" w:rsidRDefault="00884191" w:rsidP="005C3682">
      <w:pPr>
        <w:numPr>
          <w:ilvl w:val="0"/>
          <w:numId w:val="9"/>
        </w:numPr>
        <w:spacing w:after="120"/>
      </w:pPr>
      <w:r w:rsidRPr="00762944">
        <w:t>Telephone the P</w:t>
      </w:r>
      <w:r w:rsidR="00FD342B" w:rsidRPr="00762944">
        <w:t xml:space="preserve">rofessional </w:t>
      </w:r>
      <w:r w:rsidR="00F6628A" w:rsidRPr="00762944">
        <w:t>S</w:t>
      </w:r>
      <w:r w:rsidR="00FD342B" w:rsidRPr="00762944">
        <w:t xml:space="preserve">tandards </w:t>
      </w:r>
      <w:r w:rsidR="00F6628A" w:rsidRPr="00762944">
        <w:t>D</w:t>
      </w:r>
      <w:r w:rsidR="00FD342B" w:rsidRPr="00762944">
        <w:t>epartment:</w:t>
      </w:r>
      <w:r w:rsidR="00612515" w:rsidRPr="00762944">
        <w:t xml:space="preserve"> </w:t>
      </w:r>
      <w:r w:rsidR="00762944" w:rsidRPr="00BF34DF">
        <w:rPr>
          <w:rFonts w:cs="Arial"/>
          <w:b/>
          <w:snapToGrid w:val="0"/>
          <w:color w:val="000000"/>
        </w:rPr>
        <w:t>Information has been removed due to its content being exempt in terms of the Freedom of Information (Scotland) Act 2002</w:t>
      </w:r>
      <w:r w:rsidR="00762944">
        <w:rPr>
          <w:rFonts w:cs="Arial"/>
          <w:b/>
          <w:snapToGrid w:val="0"/>
          <w:color w:val="000000"/>
        </w:rPr>
        <w:t xml:space="preserve">, Section 30, </w:t>
      </w:r>
      <w:r w:rsidR="00762944" w:rsidRPr="00762944">
        <w:rPr>
          <w:rFonts w:cs="Arial"/>
          <w:b/>
          <w:snapToGrid w:val="0"/>
          <w:color w:val="000000"/>
          <w:lang w:val="en"/>
        </w:rPr>
        <w:t>Prejudice to effective conduct of public affairs.</w:t>
      </w:r>
    </w:p>
    <w:p w14:paraId="65736796" w14:textId="77777777" w:rsidR="00FD342B" w:rsidRPr="00762944" w:rsidRDefault="00FD342B" w:rsidP="005C3682">
      <w:pPr>
        <w:numPr>
          <w:ilvl w:val="0"/>
          <w:numId w:val="9"/>
        </w:numPr>
      </w:pPr>
      <w:r w:rsidRPr="00762944">
        <w:t>Scottish Intelligence Database (SID)</w:t>
      </w:r>
    </w:p>
    <w:p w14:paraId="1759C315" w14:textId="77777777" w:rsidR="00FD342B" w:rsidRPr="00762944" w:rsidRDefault="00FD342B" w:rsidP="00884191"/>
    <w:p w14:paraId="699DAB15" w14:textId="77777777" w:rsidR="00884191" w:rsidRPr="00762944" w:rsidRDefault="00884191" w:rsidP="00884191">
      <w:r w:rsidRPr="00762944">
        <w:t>Alternatively</w:t>
      </w:r>
      <w:r w:rsidR="00B30946" w:rsidRPr="00762944">
        <w:t>,</w:t>
      </w:r>
      <w:r w:rsidRPr="00762944">
        <w:t xml:space="preserve"> concerns can be raised via a line manager or other supervisor.</w:t>
      </w:r>
    </w:p>
    <w:p w14:paraId="60B93625" w14:textId="77777777" w:rsidR="00005016" w:rsidRPr="00762944" w:rsidRDefault="00005016" w:rsidP="00831B4C">
      <w:pPr>
        <w:pStyle w:val="Heading2"/>
      </w:pPr>
      <w:r w:rsidRPr="00762944">
        <w:t>External Contractors on Police Premises</w:t>
      </w:r>
    </w:p>
    <w:p w14:paraId="3C5F0A66" w14:textId="77777777" w:rsidR="00780297" w:rsidRPr="00762944" w:rsidRDefault="00780297" w:rsidP="00780297"/>
    <w:p w14:paraId="251EC68B" w14:textId="77777777" w:rsidR="00005016" w:rsidRPr="00762944" w:rsidRDefault="00005016" w:rsidP="00005016">
      <w:pPr>
        <w:widowControl w:val="0"/>
        <w:tabs>
          <w:tab w:val="num" w:pos="1620"/>
        </w:tabs>
        <w:overflowPunct w:val="0"/>
        <w:autoSpaceDE w:val="0"/>
        <w:autoSpaceDN w:val="0"/>
        <w:adjustRightInd w:val="0"/>
        <w:textAlignment w:val="baseline"/>
        <w:rPr>
          <w:rFonts w:cs="Arial"/>
        </w:rPr>
      </w:pPr>
      <w:r w:rsidRPr="00762944">
        <w:rPr>
          <w:rFonts w:cs="Arial"/>
        </w:rPr>
        <w:t>Where there is suspicion that an external contractor has been misusing, or is under the influence of alcohol or other substance, whilst on Police premises, their employer must be informed immediately and the required course of action agreed.</w:t>
      </w:r>
    </w:p>
    <w:p w14:paraId="28B39405" w14:textId="77777777" w:rsidR="00005016" w:rsidRPr="00762944" w:rsidRDefault="00005016" w:rsidP="00005016">
      <w:pPr>
        <w:rPr>
          <w:rFonts w:ascii="Calibri" w:hAnsi="Calibri"/>
          <w:sz w:val="22"/>
          <w:szCs w:val="22"/>
        </w:rPr>
      </w:pPr>
    </w:p>
    <w:p w14:paraId="0C424F46" w14:textId="77777777" w:rsidR="00005016" w:rsidRPr="00762944" w:rsidRDefault="00005016" w:rsidP="00005016">
      <w:pPr>
        <w:widowControl w:val="0"/>
        <w:tabs>
          <w:tab w:val="num" w:pos="1620"/>
        </w:tabs>
        <w:overflowPunct w:val="0"/>
        <w:autoSpaceDE w:val="0"/>
        <w:autoSpaceDN w:val="0"/>
        <w:adjustRightInd w:val="0"/>
        <w:textAlignment w:val="baseline"/>
        <w:rPr>
          <w:rFonts w:cs="Arial"/>
        </w:rPr>
      </w:pPr>
      <w:r w:rsidRPr="00762944">
        <w:rPr>
          <w:rFonts w:cs="Arial"/>
          <w:szCs w:val="22"/>
        </w:rPr>
        <w:t xml:space="preserve">If a contractor is found under the influence of alcohol or other substance whilst on </w:t>
      </w:r>
      <w:r w:rsidRPr="00762944">
        <w:rPr>
          <w:rFonts w:cs="Arial"/>
          <w:szCs w:val="22"/>
        </w:rPr>
        <w:lastRenderedPageBreak/>
        <w:t xml:space="preserve">police premises, the Force Vetting Unit should be informed of the circumstances and an email forwarded immediately to: </w:t>
      </w:r>
      <w:r w:rsidRPr="00762944">
        <w:rPr>
          <w:rStyle w:val="Hyperlink"/>
          <w:rFonts w:cs="Arial"/>
          <w:color w:val="auto"/>
          <w:szCs w:val="22"/>
        </w:rPr>
        <w:t>PoliceScotlandVetting@scotland.pnn.police.uk</w:t>
      </w:r>
      <w:r w:rsidRPr="00762944">
        <w:rPr>
          <w:rFonts w:cs="Arial"/>
          <w:szCs w:val="22"/>
        </w:rPr>
        <w:t>.</w:t>
      </w:r>
    </w:p>
    <w:p w14:paraId="66E7E088" w14:textId="77777777" w:rsidR="00005016" w:rsidRPr="00762944" w:rsidRDefault="00005016" w:rsidP="00005016">
      <w:pPr>
        <w:rPr>
          <w:rFonts w:cs="Arial"/>
        </w:rPr>
      </w:pPr>
    </w:p>
    <w:p w14:paraId="689DB2C5" w14:textId="77777777" w:rsidR="00005016" w:rsidRPr="00762944" w:rsidRDefault="00005016" w:rsidP="00005016">
      <w:pPr>
        <w:widowControl w:val="0"/>
        <w:tabs>
          <w:tab w:val="num" w:pos="1620"/>
        </w:tabs>
        <w:overflowPunct w:val="0"/>
        <w:autoSpaceDE w:val="0"/>
        <w:autoSpaceDN w:val="0"/>
        <w:adjustRightInd w:val="0"/>
        <w:textAlignment w:val="baseline"/>
        <w:rPr>
          <w:rFonts w:cs="Arial"/>
        </w:rPr>
      </w:pPr>
      <w:r w:rsidRPr="00762944">
        <w:rPr>
          <w:rFonts w:cs="Arial"/>
        </w:rPr>
        <w:t xml:space="preserve">If there is any evidence that the contractor has driven to their place of work or are driving as part of their duty, police officers should act </w:t>
      </w:r>
      <w:r w:rsidR="00FD342B" w:rsidRPr="00762944">
        <w:rPr>
          <w:rFonts w:cs="Arial"/>
        </w:rPr>
        <w:t xml:space="preserve">in accordance with </w:t>
      </w:r>
      <w:r w:rsidRPr="00762944">
        <w:rPr>
          <w:rFonts w:cs="Arial"/>
        </w:rPr>
        <w:t>the Road Traffic Act 1988.</w:t>
      </w:r>
    </w:p>
    <w:p w14:paraId="04E028F4" w14:textId="77777777" w:rsidR="00005016" w:rsidRPr="00762944" w:rsidRDefault="00005016" w:rsidP="00005016">
      <w:pPr>
        <w:rPr>
          <w:rFonts w:cs="Arial"/>
        </w:rPr>
      </w:pPr>
    </w:p>
    <w:p w14:paraId="268FD602" w14:textId="77777777" w:rsidR="00005016" w:rsidRPr="00762944" w:rsidRDefault="00005016" w:rsidP="00005016">
      <w:r w:rsidRPr="00762944">
        <w:rPr>
          <w:rFonts w:cs="Arial"/>
        </w:rPr>
        <w:t>The responsibility for reporting a contractor to their employer will rest with the individual who has responsibility for overseeing or engaging with the contractors.</w:t>
      </w:r>
    </w:p>
    <w:p w14:paraId="7711DB7F" w14:textId="77777777" w:rsidR="00FD342B" w:rsidRDefault="00FD342B" w:rsidP="00FD342B"/>
    <w:p w14:paraId="031E9000" w14:textId="77777777" w:rsidR="00762944" w:rsidRPr="00762944" w:rsidRDefault="00762944" w:rsidP="00FD342B"/>
    <w:p w14:paraId="46870307" w14:textId="77777777" w:rsidR="006442EE" w:rsidRPr="00762944" w:rsidRDefault="006442EE" w:rsidP="00831B4C">
      <w:pPr>
        <w:pStyle w:val="Heading1"/>
      </w:pPr>
      <w:r w:rsidRPr="00762944">
        <w:t>5.</w:t>
      </w:r>
      <w:r w:rsidR="008F1A4F" w:rsidRPr="00762944">
        <w:tab/>
        <w:t>Fitness for Duty</w:t>
      </w:r>
    </w:p>
    <w:p w14:paraId="448BF1C5" w14:textId="77777777" w:rsidR="00FD342B" w:rsidRPr="00762944" w:rsidRDefault="00FD342B" w:rsidP="00B30946"/>
    <w:p w14:paraId="47C6F552" w14:textId="77777777" w:rsidR="006442EE" w:rsidRPr="00762944" w:rsidRDefault="008F1A4F" w:rsidP="00B30946">
      <w:pPr>
        <w:pStyle w:val="Heading2"/>
        <w:spacing w:before="0"/>
      </w:pPr>
      <w:r w:rsidRPr="00762944">
        <w:t>Impairment Evident or Suspected</w:t>
      </w:r>
    </w:p>
    <w:p w14:paraId="36BE3410" w14:textId="77777777" w:rsidR="00FD342B" w:rsidRPr="00762944" w:rsidRDefault="00FD342B" w:rsidP="00FD342B"/>
    <w:p w14:paraId="39E02B85" w14:textId="77777777" w:rsidR="006442EE" w:rsidRPr="00762944" w:rsidRDefault="00B30946" w:rsidP="00F6628A">
      <w:pPr>
        <w:pStyle w:val="SOPPara"/>
        <w:numPr>
          <w:ilvl w:val="0"/>
          <w:numId w:val="0"/>
        </w:numPr>
      </w:pPr>
      <w:r w:rsidRPr="00762944">
        <w:t>W</w:t>
      </w:r>
      <w:r w:rsidR="006442EE" w:rsidRPr="00762944">
        <w:t xml:space="preserve">hen on duty or presenting themselves for duty, </w:t>
      </w:r>
      <w:r w:rsidRPr="00762944">
        <w:t xml:space="preserve">officers </w:t>
      </w:r>
      <w:r w:rsidR="00780297" w:rsidRPr="00762944">
        <w:t xml:space="preserve">must </w:t>
      </w:r>
      <w:r w:rsidR="006442EE" w:rsidRPr="00762944">
        <w:t xml:space="preserve">ensure they are fit to carry out their duties and responsibilities. </w:t>
      </w:r>
      <w:r w:rsidR="00E225B9" w:rsidRPr="00762944">
        <w:t xml:space="preserve">An officer who is unexpectedly called to attend for duty and considers that </w:t>
      </w:r>
      <w:r w:rsidR="00F6628A" w:rsidRPr="00762944">
        <w:t>they are</w:t>
      </w:r>
      <w:r w:rsidR="00E225B9" w:rsidRPr="00762944">
        <w:t xml:space="preserve"> not fit to perform such duty must bring this to the immediate attention of a supervisor.</w:t>
      </w:r>
    </w:p>
    <w:p w14:paraId="67F261C2" w14:textId="77777777" w:rsidR="006442EE" w:rsidRPr="00762944" w:rsidRDefault="00780297" w:rsidP="00F6628A">
      <w:pPr>
        <w:pStyle w:val="SOPPara"/>
        <w:numPr>
          <w:ilvl w:val="0"/>
          <w:numId w:val="0"/>
        </w:numPr>
      </w:pPr>
      <w:r w:rsidRPr="00762944">
        <w:t>W</w:t>
      </w:r>
      <w:r w:rsidR="008C2289" w:rsidRPr="00762944">
        <w:t>here substance misuse or addiction presents as an issue, the welfare of the officer will be a primary cons</w:t>
      </w:r>
      <w:r w:rsidR="00472AF1" w:rsidRPr="00762944">
        <w:t>ideration in all decisions. M</w:t>
      </w:r>
      <w:r w:rsidR="008C2289" w:rsidRPr="00762944">
        <w:t>atters falling within criminal law or misconduct must not be</w:t>
      </w:r>
      <w:r w:rsidRPr="00762944">
        <w:t xml:space="preserve"> dealt with as poor performance.</w:t>
      </w:r>
    </w:p>
    <w:p w14:paraId="589D4483" w14:textId="77777777" w:rsidR="00780297" w:rsidRPr="00762944" w:rsidRDefault="00E225B9" w:rsidP="00F6628A">
      <w:pPr>
        <w:pStyle w:val="SOPPara"/>
        <w:numPr>
          <w:ilvl w:val="0"/>
          <w:numId w:val="0"/>
        </w:numPr>
      </w:pPr>
      <w:r w:rsidRPr="00762944">
        <w:t xml:space="preserve">If an officer has concerns about their own </w:t>
      </w:r>
      <w:r w:rsidR="004524E8" w:rsidRPr="00762944">
        <w:t xml:space="preserve">drug or </w:t>
      </w:r>
      <w:r w:rsidRPr="00762944">
        <w:t>alcohol consumption or dependence, and the impact this may have on either their health, or ability to perform their role, they should seek suppor</w:t>
      </w:r>
      <w:r w:rsidR="00E83CB7" w:rsidRPr="00762944">
        <w:t>t and assistance from their GP.</w:t>
      </w:r>
      <w:r w:rsidRPr="00762944">
        <w:t xml:space="preserve"> An officer should also bring any concerns regarding their fitness to the immediate attention of a Supervisor. </w:t>
      </w:r>
    </w:p>
    <w:p w14:paraId="245A4B28" w14:textId="77777777" w:rsidR="006442EE" w:rsidRPr="00762944" w:rsidRDefault="00E225B9" w:rsidP="00F6628A">
      <w:pPr>
        <w:pStyle w:val="SOPPara"/>
        <w:numPr>
          <w:ilvl w:val="0"/>
          <w:numId w:val="0"/>
        </w:numPr>
      </w:pPr>
      <w:r w:rsidRPr="00762944">
        <w:t>Supervisors should use this information to form the basis of a confidential Management Referral which should then be submitted, with the officer’s consent, to</w:t>
      </w:r>
      <w:r w:rsidR="00E83CB7" w:rsidRPr="00762944">
        <w:t xml:space="preserve"> the</w:t>
      </w:r>
      <w:r w:rsidRPr="00762944">
        <w:t xml:space="preserve"> Occupa</w:t>
      </w:r>
      <w:r w:rsidR="00E83CB7" w:rsidRPr="00762944">
        <w:t>tional Health provider</w:t>
      </w:r>
      <w:r w:rsidRPr="00762944">
        <w:t>.</w:t>
      </w:r>
    </w:p>
    <w:p w14:paraId="3701F0C8" w14:textId="77777777" w:rsidR="003F618C" w:rsidRPr="00762944" w:rsidRDefault="00780297" w:rsidP="00F6628A">
      <w:pPr>
        <w:pStyle w:val="SOPPara"/>
        <w:numPr>
          <w:ilvl w:val="0"/>
          <w:numId w:val="0"/>
        </w:numPr>
      </w:pPr>
      <w:r w:rsidRPr="00762944">
        <w:t>A supervisory officer must</w:t>
      </w:r>
      <w:r w:rsidR="00EF2576" w:rsidRPr="00762944">
        <w:t xml:space="preserve"> determine whether an individual is unfit for general duties due to the consumption of alcohol. This will be based on their own observations and will not be quantifiable through a breath test.</w:t>
      </w:r>
      <w:r w:rsidR="003F618C" w:rsidRPr="00762944">
        <w:t xml:space="preserve"> </w:t>
      </w:r>
    </w:p>
    <w:p w14:paraId="607F0BC9" w14:textId="77777777" w:rsidR="006442EE" w:rsidRPr="00762944" w:rsidRDefault="00B25CB2" w:rsidP="00F6628A">
      <w:pPr>
        <w:pStyle w:val="SOPPara"/>
        <w:numPr>
          <w:ilvl w:val="0"/>
          <w:numId w:val="0"/>
        </w:numPr>
      </w:pPr>
      <w:r w:rsidRPr="00762944">
        <w:t>If a supervisor suspects an officer</w:t>
      </w:r>
      <w:r w:rsidR="004524E8" w:rsidRPr="00762944">
        <w:t xml:space="preserve"> is not fit for duty due to drugs or alcohol</w:t>
      </w:r>
      <w:r w:rsidRPr="00762944">
        <w:t>, these concerns should be discussed with the officer in the first instance to establish if there are any underlying issues. If impairment is suspected, the supervisor m</w:t>
      </w:r>
      <w:r w:rsidR="0061596C" w:rsidRPr="00762944">
        <w:t>ust document their observations</w:t>
      </w:r>
      <w:r w:rsidRPr="00762944">
        <w:t xml:space="preserve"> and any supporting informatio</w:t>
      </w:r>
      <w:r w:rsidR="002C6DDE" w:rsidRPr="00762944">
        <w:t>n, and submit a</w:t>
      </w:r>
      <w:r w:rsidR="0061596C" w:rsidRPr="00762944">
        <w:t>n immediate</w:t>
      </w:r>
      <w:r w:rsidR="002C6DDE" w:rsidRPr="00762944">
        <w:t xml:space="preserve"> referral to </w:t>
      </w:r>
      <w:r w:rsidR="00780297" w:rsidRPr="00762944">
        <w:t>the PSD</w:t>
      </w:r>
      <w:r w:rsidRPr="00762944">
        <w:t xml:space="preserve"> for consideration.</w:t>
      </w:r>
      <w:r w:rsidR="00F6628A" w:rsidRPr="00762944">
        <w:t xml:space="preserve"> </w:t>
      </w:r>
      <w:r w:rsidR="002C6DDE" w:rsidRPr="00762944">
        <w:t>PSD will thereafter carry out a Preliminary Assessment under Regulation 10 of The Police Service of Scotland (Conduct) Regulations 2014 or, in the case of a Special Constable, Preliminary Procedures under Regulation 12 of The Police Service of Scotland (Special Constables) Regulations 2013.</w:t>
      </w:r>
    </w:p>
    <w:p w14:paraId="04F403C7" w14:textId="77777777" w:rsidR="006442EE" w:rsidRPr="00762944" w:rsidRDefault="003E3C43" w:rsidP="00F6628A">
      <w:pPr>
        <w:pStyle w:val="SOPPara"/>
        <w:numPr>
          <w:ilvl w:val="0"/>
          <w:numId w:val="0"/>
        </w:numPr>
      </w:pPr>
      <w:r w:rsidRPr="00762944">
        <w:t>Supervisors have a duty of care to the individual officer, their colleagues</w:t>
      </w:r>
      <w:r w:rsidR="0061596C" w:rsidRPr="00762944">
        <w:t xml:space="preserve"> and the public. Where </w:t>
      </w:r>
      <w:r w:rsidRPr="00762944">
        <w:t xml:space="preserve">impairment on duty is suspected, under no circumstances should the officer be allowed to continue operational duties or drive a motor vehicle. </w:t>
      </w:r>
      <w:r w:rsidRPr="00762944">
        <w:lastRenderedPageBreak/>
        <w:t>Consideration should be given to conveying the officer to their home address and into the care of a friend or family member.</w:t>
      </w:r>
    </w:p>
    <w:p w14:paraId="20419008" w14:textId="77777777" w:rsidR="003F618C" w:rsidRPr="00762944" w:rsidRDefault="003F618C" w:rsidP="00F6628A">
      <w:pPr>
        <w:pStyle w:val="SOPPara"/>
        <w:numPr>
          <w:ilvl w:val="0"/>
          <w:numId w:val="0"/>
        </w:numPr>
      </w:pPr>
      <w:r w:rsidRPr="00762944">
        <w:t xml:space="preserve">It has been known for symptoms of diabetes to be mistaken for alcohol intoxication in the past. This possibility should be considered in such circumstances. </w:t>
      </w:r>
    </w:p>
    <w:p w14:paraId="0E3F593A" w14:textId="77777777" w:rsidR="00DC529A" w:rsidRPr="00762944" w:rsidRDefault="003E3C43" w:rsidP="00780297">
      <w:pPr>
        <w:pStyle w:val="SOPPara"/>
        <w:numPr>
          <w:ilvl w:val="0"/>
          <w:numId w:val="0"/>
        </w:numPr>
        <w:spacing w:after="0"/>
      </w:pPr>
      <w:r w:rsidRPr="00762944">
        <w:t>In the event an officer discloses they hav</w:t>
      </w:r>
      <w:r w:rsidR="0061596C" w:rsidRPr="00762944">
        <w:t>e issues with drugs or alcohol</w:t>
      </w:r>
      <w:r w:rsidRPr="00762944">
        <w:t xml:space="preserve"> after they have been challenged, a Management Referral should also be submitted, with the officer’s consent, to the Occupa</w:t>
      </w:r>
      <w:r w:rsidR="000D13F6" w:rsidRPr="00762944">
        <w:t>tional Health provider</w:t>
      </w:r>
      <w:r w:rsidRPr="00762944">
        <w:t>. This will not, however, negate any of the aforementioned processes.</w:t>
      </w:r>
    </w:p>
    <w:p w14:paraId="2F4EC323" w14:textId="77777777" w:rsidR="00780297" w:rsidRPr="00762944" w:rsidRDefault="00780297" w:rsidP="00780297">
      <w:pPr>
        <w:pStyle w:val="SOPPara"/>
        <w:numPr>
          <w:ilvl w:val="0"/>
          <w:numId w:val="0"/>
        </w:numPr>
        <w:spacing w:after="0"/>
      </w:pPr>
    </w:p>
    <w:p w14:paraId="7BA0F0F9" w14:textId="77777777" w:rsidR="0061596C" w:rsidRPr="00762944" w:rsidRDefault="0061596C" w:rsidP="00831B4C">
      <w:pPr>
        <w:pStyle w:val="Heading2"/>
      </w:pPr>
      <w:r w:rsidRPr="00762944">
        <w:t>Driving or Cycling and Substance Misuse</w:t>
      </w:r>
    </w:p>
    <w:p w14:paraId="684989CC" w14:textId="77777777" w:rsidR="00780297" w:rsidRPr="00762944" w:rsidRDefault="00780297" w:rsidP="00780297"/>
    <w:p w14:paraId="6838555D" w14:textId="77777777" w:rsidR="00DC529A" w:rsidRPr="00762944" w:rsidRDefault="0061596C" w:rsidP="00831B4C">
      <w:pPr>
        <w:pStyle w:val="SOPPara"/>
        <w:numPr>
          <w:ilvl w:val="0"/>
          <w:numId w:val="0"/>
        </w:numPr>
        <w:spacing w:after="0"/>
      </w:pPr>
      <w:r w:rsidRPr="00762944">
        <w:t>If there is evidence that an officer has driven or cycled to work, or has driven or cycled in the course of their duties, while under the influence of alcohol, or while impaired through drugs, they must be dealt with under the terms of the Road Traffic Act 1988.</w:t>
      </w:r>
    </w:p>
    <w:p w14:paraId="542FAD19" w14:textId="77777777" w:rsidR="00831B4C" w:rsidRPr="00762944" w:rsidRDefault="00831B4C" w:rsidP="00831B4C">
      <w:pPr>
        <w:pStyle w:val="SOPPara"/>
        <w:numPr>
          <w:ilvl w:val="0"/>
          <w:numId w:val="0"/>
        </w:numPr>
        <w:spacing w:after="0"/>
      </w:pPr>
    </w:p>
    <w:p w14:paraId="44106987" w14:textId="77777777" w:rsidR="00831B4C" w:rsidRPr="00762944" w:rsidRDefault="00831B4C" w:rsidP="00831B4C">
      <w:pPr>
        <w:pStyle w:val="SOPPara"/>
        <w:numPr>
          <w:ilvl w:val="0"/>
          <w:numId w:val="0"/>
        </w:numPr>
        <w:spacing w:after="0"/>
      </w:pPr>
    </w:p>
    <w:p w14:paraId="44AD4AE4" w14:textId="77777777" w:rsidR="00EB096B" w:rsidRPr="00762944" w:rsidRDefault="00DC529A" w:rsidP="00831B4C">
      <w:pPr>
        <w:pStyle w:val="Heading1"/>
      </w:pPr>
      <w:r w:rsidRPr="00762944">
        <w:t xml:space="preserve">6. </w:t>
      </w:r>
      <w:r w:rsidRPr="00762944">
        <w:tab/>
        <w:t>Substance Misuse Testing</w:t>
      </w:r>
    </w:p>
    <w:p w14:paraId="471EE76B" w14:textId="77777777" w:rsidR="00831B4C" w:rsidRPr="00762944" w:rsidRDefault="00831B4C" w:rsidP="00831B4C">
      <w:pPr>
        <w:pStyle w:val="SOPPara"/>
        <w:numPr>
          <w:ilvl w:val="0"/>
          <w:numId w:val="0"/>
        </w:numPr>
        <w:spacing w:after="0"/>
      </w:pPr>
    </w:p>
    <w:p w14:paraId="07A0BE81" w14:textId="77777777" w:rsidR="000D13F6" w:rsidRPr="00762944" w:rsidRDefault="000D13F6" w:rsidP="00566928">
      <w:pPr>
        <w:pStyle w:val="SOPPara"/>
        <w:numPr>
          <w:ilvl w:val="0"/>
          <w:numId w:val="0"/>
        </w:numPr>
        <w:spacing w:after="120"/>
      </w:pPr>
      <w:r w:rsidRPr="00762944">
        <w:t>Substance misuse testing may be carried out in the following circumstances:</w:t>
      </w:r>
    </w:p>
    <w:p w14:paraId="3CB90B0B" w14:textId="77777777" w:rsidR="000D13F6" w:rsidRPr="00762944" w:rsidRDefault="00472AF1" w:rsidP="005C3682">
      <w:pPr>
        <w:pStyle w:val="SOPPara"/>
        <w:numPr>
          <w:ilvl w:val="0"/>
          <w:numId w:val="10"/>
        </w:numPr>
        <w:spacing w:after="120"/>
      </w:pPr>
      <w:r w:rsidRPr="00762944">
        <w:t>‘</w:t>
      </w:r>
      <w:r w:rsidR="00566928" w:rsidRPr="00762944">
        <w:t>With Cause</w:t>
      </w:r>
      <w:r w:rsidRPr="00762944">
        <w:t>’</w:t>
      </w:r>
      <w:r w:rsidR="00566928" w:rsidRPr="00762944">
        <w:t xml:space="preserve"> T</w:t>
      </w:r>
      <w:r w:rsidR="000D13F6" w:rsidRPr="00762944">
        <w:t>esting (where information/intelligence is received regarding potential substance misuse);</w:t>
      </w:r>
    </w:p>
    <w:p w14:paraId="21E976F8" w14:textId="77777777" w:rsidR="000D13F6" w:rsidRPr="00762944" w:rsidRDefault="000D13F6" w:rsidP="005C3682">
      <w:pPr>
        <w:pStyle w:val="SOPPara"/>
        <w:numPr>
          <w:ilvl w:val="0"/>
          <w:numId w:val="10"/>
        </w:numPr>
        <w:spacing w:after="120"/>
      </w:pPr>
      <w:r w:rsidRPr="00762944">
        <w:t>As part of th</w:t>
      </w:r>
      <w:r w:rsidR="00566928" w:rsidRPr="00762944">
        <w:t>e recruitment process - A</w:t>
      </w:r>
      <w:r w:rsidRPr="00762944">
        <w:t>ll candidates will be tested as a condition of potential appointment. Officers from recruitment teams will carry out the testing in these circumstances.</w:t>
      </w:r>
    </w:p>
    <w:p w14:paraId="1485D6FF" w14:textId="77777777" w:rsidR="00566928" w:rsidRPr="00762944" w:rsidRDefault="00472AF1" w:rsidP="00566928">
      <w:pPr>
        <w:pStyle w:val="SOPPara"/>
        <w:numPr>
          <w:ilvl w:val="0"/>
          <w:numId w:val="0"/>
        </w:numPr>
        <w:spacing w:after="0"/>
      </w:pPr>
      <w:r w:rsidRPr="00762944">
        <w:t xml:space="preserve">‘With </w:t>
      </w:r>
      <w:r w:rsidR="00E220A0" w:rsidRPr="00762944">
        <w:t>Cause</w:t>
      </w:r>
      <w:r w:rsidRPr="00762944">
        <w:t>’</w:t>
      </w:r>
      <w:r w:rsidR="00E220A0" w:rsidRPr="00762944">
        <w:t xml:space="preserve"> </w:t>
      </w:r>
      <w:r w:rsidRPr="00762944">
        <w:t>t</w:t>
      </w:r>
      <w:r w:rsidR="00E220A0" w:rsidRPr="00762944">
        <w:t xml:space="preserve">esting procedures apply to all police officers (including probationary officers) and Special Constables up to and including the rank of Chief Superintendent. </w:t>
      </w:r>
    </w:p>
    <w:p w14:paraId="6D95B260" w14:textId="77777777" w:rsidR="00566928" w:rsidRPr="00762944" w:rsidRDefault="00566928" w:rsidP="00566928">
      <w:pPr>
        <w:pStyle w:val="SOPPara"/>
        <w:numPr>
          <w:ilvl w:val="0"/>
          <w:numId w:val="0"/>
        </w:numPr>
        <w:spacing w:after="0"/>
      </w:pPr>
    </w:p>
    <w:p w14:paraId="22E9007E" w14:textId="77777777" w:rsidR="00472AF1" w:rsidRPr="00762944" w:rsidRDefault="00E220A0" w:rsidP="00566928">
      <w:pPr>
        <w:pStyle w:val="SOPPara"/>
        <w:numPr>
          <w:ilvl w:val="0"/>
          <w:numId w:val="0"/>
        </w:numPr>
        <w:spacing w:after="0"/>
      </w:pPr>
      <w:r w:rsidRPr="00762944">
        <w:t>If the officer of concern is above the rank of Chief Superintendent</w:t>
      </w:r>
      <w:r w:rsidR="00566928" w:rsidRPr="00762944">
        <w:t>,</w:t>
      </w:r>
      <w:r w:rsidRPr="00762944">
        <w:t xml:space="preserve"> the matter will be referred by the </w:t>
      </w:r>
      <w:r w:rsidR="00566928" w:rsidRPr="00762944">
        <w:t>PSD</w:t>
      </w:r>
      <w:r w:rsidRPr="00762944">
        <w:t xml:space="preserve"> to the Scottish Police Authority (SPA). </w:t>
      </w:r>
    </w:p>
    <w:p w14:paraId="5FC49FBD" w14:textId="77777777" w:rsidR="00472AF1" w:rsidRPr="00762944" w:rsidRDefault="00472AF1" w:rsidP="00566928">
      <w:pPr>
        <w:pStyle w:val="SOPPara"/>
        <w:numPr>
          <w:ilvl w:val="0"/>
          <w:numId w:val="0"/>
        </w:numPr>
        <w:spacing w:after="0"/>
      </w:pPr>
    </w:p>
    <w:p w14:paraId="1530F7D2" w14:textId="77777777" w:rsidR="00566928" w:rsidRPr="00762944" w:rsidRDefault="00566928" w:rsidP="00566928">
      <w:pPr>
        <w:pStyle w:val="SOPPara"/>
        <w:numPr>
          <w:ilvl w:val="0"/>
          <w:numId w:val="0"/>
        </w:numPr>
        <w:spacing w:after="0"/>
      </w:pPr>
    </w:p>
    <w:p w14:paraId="129FE4D2" w14:textId="77777777" w:rsidR="0016617B" w:rsidRPr="00762944" w:rsidRDefault="0016617B" w:rsidP="00566928">
      <w:pPr>
        <w:pStyle w:val="Heading2"/>
        <w:spacing w:before="0"/>
      </w:pPr>
      <w:r w:rsidRPr="00762944">
        <w:t>Drugs Tested</w:t>
      </w:r>
    </w:p>
    <w:p w14:paraId="1B1A023D" w14:textId="77777777" w:rsidR="00566928" w:rsidRPr="00762944" w:rsidRDefault="00566928" w:rsidP="00566928"/>
    <w:p w14:paraId="4FD4AF9B" w14:textId="77777777" w:rsidR="0016617B" w:rsidRPr="00762944" w:rsidRDefault="00766440" w:rsidP="00566928">
      <w:pPr>
        <w:pStyle w:val="SOPPara"/>
        <w:numPr>
          <w:ilvl w:val="0"/>
          <w:numId w:val="0"/>
        </w:numPr>
        <w:spacing w:after="120"/>
      </w:pPr>
      <w:r w:rsidRPr="00762944">
        <w:t xml:space="preserve">The </w:t>
      </w:r>
      <w:r w:rsidR="0016617B" w:rsidRPr="00762944">
        <w:t>test will assess for the presence of the following drug classifications</w:t>
      </w:r>
      <w:r w:rsidRPr="00762944">
        <w:t xml:space="preserve"> in every case, irrespective of the substance suspected of having been misused</w:t>
      </w:r>
      <w:r w:rsidR="0016617B" w:rsidRPr="00762944">
        <w:t>:</w:t>
      </w:r>
    </w:p>
    <w:p w14:paraId="2D61B828" w14:textId="77777777" w:rsidR="0016617B" w:rsidRPr="00762944" w:rsidRDefault="0016617B" w:rsidP="005C3682">
      <w:pPr>
        <w:pStyle w:val="SOPPara"/>
        <w:numPr>
          <w:ilvl w:val="0"/>
          <w:numId w:val="11"/>
        </w:numPr>
        <w:spacing w:after="120"/>
      </w:pPr>
      <w:r w:rsidRPr="00762944">
        <w:t>Cannabis;</w:t>
      </w:r>
    </w:p>
    <w:p w14:paraId="18E2B11F" w14:textId="77777777" w:rsidR="0016617B" w:rsidRPr="00762944" w:rsidRDefault="00766440" w:rsidP="005C3682">
      <w:pPr>
        <w:pStyle w:val="SOPPara"/>
        <w:numPr>
          <w:ilvl w:val="0"/>
          <w:numId w:val="11"/>
        </w:numPr>
        <w:spacing w:after="120"/>
      </w:pPr>
      <w:r w:rsidRPr="00762944">
        <w:t xml:space="preserve">Opiates </w:t>
      </w:r>
    </w:p>
    <w:p w14:paraId="4BB1BCE4" w14:textId="77777777" w:rsidR="0016617B" w:rsidRPr="00762944" w:rsidRDefault="0016617B" w:rsidP="005C3682">
      <w:pPr>
        <w:pStyle w:val="SOPPara"/>
        <w:numPr>
          <w:ilvl w:val="0"/>
          <w:numId w:val="11"/>
        </w:numPr>
        <w:spacing w:after="120"/>
      </w:pPr>
      <w:r w:rsidRPr="00762944">
        <w:t>Cocaine;</w:t>
      </w:r>
    </w:p>
    <w:p w14:paraId="7CA84D5E" w14:textId="77777777" w:rsidR="0016617B" w:rsidRPr="00762944" w:rsidRDefault="0016617B" w:rsidP="005C3682">
      <w:pPr>
        <w:pStyle w:val="SOPPara"/>
        <w:numPr>
          <w:ilvl w:val="0"/>
          <w:numId w:val="11"/>
        </w:numPr>
        <w:spacing w:after="120"/>
      </w:pPr>
      <w:r w:rsidRPr="00762944">
        <w:t>Amphetamines;</w:t>
      </w:r>
    </w:p>
    <w:p w14:paraId="5FAD077B" w14:textId="77777777" w:rsidR="0016617B" w:rsidRPr="00762944" w:rsidRDefault="0016617B" w:rsidP="005C3682">
      <w:pPr>
        <w:pStyle w:val="SOPPara"/>
        <w:numPr>
          <w:ilvl w:val="0"/>
          <w:numId w:val="11"/>
        </w:numPr>
        <w:spacing w:after="120"/>
      </w:pPr>
      <w:r w:rsidRPr="00762944">
        <w:t>Benzodiazepines;</w:t>
      </w:r>
    </w:p>
    <w:p w14:paraId="0C04EF1A" w14:textId="77777777" w:rsidR="0016617B" w:rsidRPr="00762944" w:rsidRDefault="0016617B" w:rsidP="005C3682">
      <w:pPr>
        <w:pStyle w:val="SOPPara"/>
        <w:numPr>
          <w:ilvl w:val="0"/>
          <w:numId w:val="11"/>
        </w:numPr>
        <w:spacing w:after="120"/>
      </w:pPr>
      <w:r w:rsidRPr="00762944">
        <w:t>Anabolic Steroids</w:t>
      </w:r>
    </w:p>
    <w:p w14:paraId="34555DC3" w14:textId="77777777" w:rsidR="0016617B" w:rsidRPr="00762944" w:rsidRDefault="0016617B" w:rsidP="005C3682">
      <w:pPr>
        <w:pStyle w:val="SOPPara"/>
        <w:numPr>
          <w:ilvl w:val="0"/>
          <w:numId w:val="11"/>
        </w:numPr>
        <w:spacing w:after="120"/>
      </w:pPr>
      <w:r w:rsidRPr="00762944">
        <w:lastRenderedPageBreak/>
        <w:t>Hallucinogens</w:t>
      </w:r>
    </w:p>
    <w:p w14:paraId="49FAC6D9" w14:textId="77777777" w:rsidR="0016617B" w:rsidRPr="00762944" w:rsidRDefault="0016617B" w:rsidP="005C3682">
      <w:pPr>
        <w:pStyle w:val="SOPPara"/>
        <w:numPr>
          <w:ilvl w:val="0"/>
          <w:numId w:val="11"/>
        </w:numPr>
        <w:spacing w:after="120"/>
      </w:pPr>
      <w:r w:rsidRPr="00762944">
        <w:t>Psychoactive substances</w:t>
      </w:r>
    </w:p>
    <w:p w14:paraId="34AB57D6" w14:textId="77777777" w:rsidR="0016617B" w:rsidRPr="00762944" w:rsidRDefault="0016617B" w:rsidP="005C3682">
      <w:pPr>
        <w:pStyle w:val="SOPPara"/>
        <w:numPr>
          <w:ilvl w:val="0"/>
          <w:numId w:val="11"/>
        </w:numPr>
        <w:spacing w:after="0"/>
      </w:pPr>
      <w:r w:rsidRPr="00762944">
        <w:t>Any other relevant substance.</w:t>
      </w:r>
    </w:p>
    <w:p w14:paraId="2C5580E3" w14:textId="77777777" w:rsidR="002A0BA1" w:rsidRPr="00762944" w:rsidRDefault="002A0BA1" w:rsidP="00566928">
      <w:pPr>
        <w:pStyle w:val="SOPPara"/>
        <w:numPr>
          <w:ilvl w:val="0"/>
          <w:numId w:val="0"/>
        </w:numPr>
        <w:spacing w:after="0"/>
        <w:ind w:left="1418" w:hanging="567"/>
      </w:pPr>
    </w:p>
    <w:p w14:paraId="673E5DA1" w14:textId="77777777" w:rsidR="00766440" w:rsidRPr="00762944" w:rsidRDefault="0016617B" w:rsidP="00566928">
      <w:pPr>
        <w:pStyle w:val="SOPPara"/>
        <w:numPr>
          <w:ilvl w:val="0"/>
          <w:numId w:val="0"/>
        </w:numPr>
        <w:spacing w:after="0"/>
      </w:pPr>
      <w:r w:rsidRPr="00762944">
        <w:t>The types of substances to be tested will be subject to review and may change.</w:t>
      </w:r>
      <w:r w:rsidR="00766440" w:rsidRPr="00762944">
        <w:t xml:space="preserve"> An investigating officer can request a test for a specific substance if it does not form part of the existing panel of tests.</w:t>
      </w:r>
    </w:p>
    <w:p w14:paraId="5E9AC92C" w14:textId="77777777" w:rsidR="00566928" w:rsidRPr="00762944" w:rsidRDefault="00566928" w:rsidP="00566928">
      <w:pPr>
        <w:pStyle w:val="SOPPara"/>
        <w:numPr>
          <w:ilvl w:val="0"/>
          <w:numId w:val="0"/>
        </w:numPr>
        <w:spacing w:after="0"/>
      </w:pPr>
    </w:p>
    <w:p w14:paraId="73247519" w14:textId="77777777" w:rsidR="0016617B" w:rsidRPr="00762944" w:rsidRDefault="00472AF1" w:rsidP="00566928">
      <w:pPr>
        <w:pStyle w:val="Heading2"/>
        <w:spacing w:before="0"/>
      </w:pPr>
      <w:r w:rsidRPr="00762944">
        <w:t>‘</w:t>
      </w:r>
      <w:r w:rsidR="00272871" w:rsidRPr="00762944">
        <w:t xml:space="preserve">With </w:t>
      </w:r>
      <w:r w:rsidR="0016617B" w:rsidRPr="00762944">
        <w:t>Cause</w:t>
      </w:r>
      <w:r w:rsidRPr="00762944">
        <w:t>’</w:t>
      </w:r>
      <w:r w:rsidR="0016617B" w:rsidRPr="00762944">
        <w:t xml:space="preserve"> Drug Testing</w:t>
      </w:r>
    </w:p>
    <w:p w14:paraId="58AD314C" w14:textId="77777777" w:rsidR="00566928" w:rsidRPr="00762944" w:rsidRDefault="00566928" w:rsidP="00566928"/>
    <w:p w14:paraId="07491C23" w14:textId="77777777" w:rsidR="00566928" w:rsidRPr="00762944" w:rsidRDefault="00766440" w:rsidP="00566928">
      <w:pPr>
        <w:pStyle w:val="SOPPara"/>
        <w:numPr>
          <w:ilvl w:val="0"/>
          <w:numId w:val="0"/>
        </w:numPr>
        <w:spacing w:after="0"/>
      </w:pPr>
      <w:r w:rsidRPr="00762944">
        <w:t>Where there is reason to suppose that an offi</w:t>
      </w:r>
      <w:r w:rsidR="00472AF1" w:rsidRPr="00762944">
        <w:t>cer is misusing, or has misused</w:t>
      </w:r>
      <w:r w:rsidRPr="00762944">
        <w:t xml:space="preserve"> a substance(s)</w:t>
      </w:r>
      <w:r w:rsidR="00566928" w:rsidRPr="00762944">
        <w:t>,</w:t>
      </w:r>
      <w:r w:rsidRPr="00762944">
        <w:t xml:space="preserve"> then consideration will be given by </w:t>
      </w:r>
      <w:r w:rsidR="00566928" w:rsidRPr="00762944">
        <w:t xml:space="preserve">the </w:t>
      </w:r>
      <w:r w:rsidRPr="00762944">
        <w:t xml:space="preserve">PSD as to whether it is necessary to require that individual to provide a </w:t>
      </w:r>
      <w:r w:rsidR="00566928" w:rsidRPr="00762944">
        <w:t>‘With C</w:t>
      </w:r>
      <w:r w:rsidRPr="00762944">
        <w:t>ause</w:t>
      </w:r>
      <w:r w:rsidR="00566928" w:rsidRPr="00762944">
        <w:t>’</w:t>
      </w:r>
      <w:r w:rsidRPr="00762944">
        <w:t xml:space="preserve"> sample(s). Reason to suppose may arise from observation</w:t>
      </w:r>
      <w:r w:rsidR="00566928" w:rsidRPr="00762944">
        <w:t>s</w:t>
      </w:r>
      <w:r w:rsidRPr="00762944">
        <w:t xml:space="preserve"> or re</w:t>
      </w:r>
      <w:r w:rsidR="00861C79" w:rsidRPr="00762944">
        <w:t>liable information and</w:t>
      </w:r>
      <w:r w:rsidRPr="00762944">
        <w:t xml:space="preserve"> must be assessed on a case by case basis. </w:t>
      </w:r>
    </w:p>
    <w:p w14:paraId="1AC910EE" w14:textId="77777777" w:rsidR="00566928" w:rsidRPr="00762944" w:rsidRDefault="00566928" w:rsidP="00566928">
      <w:pPr>
        <w:pStyle w:val="SOPPara"/>
        <w:numPr>
          <w:ilvl w:val="0"/>
          <w:numId w:val="0"/>
        </w:numPr>
        <w:spacing w:after="0"/>
      </w:pPr>
    </w:p>
    <w:p w14:paraId="2E9B465D" w14:textId="77777777" w:rsidR="0016617B" w:rsidRPr="00762944" w:rsidRDefault="00766440" w:rsidP="00566928">
      <w:pPr>
        <w:pStyle w:val="SOPPara"/>
        <w:numPr>
          <w:ilvl w:val="0"/>
          <w:numId w:val="0"/>
        </w:numPr>
        <w:spacing w:after="0"/>
      </w:pPr>
      <w:r w:rsidRPr="00762944">
        <w:t>A serious accident or incident in the workplace, where it is suspected there may have been impairment through substance misuse, may provide reason to suppose. If information comes to light out with normal office hours</w:t>
      </w:r>
      <w:r w:rsidR="00566928" w:rsidRPr="00762944">
        <w:t>,</w:t>
      </w:r>
      <w:r w:rsidRPr="00762944">
        <w:t xml:space="preserve"> the on-call PSD officer must be notified.</w:t>
      </w:r>
    </w:p>
    <w:p w14:paraId="15E737B4" w14:textId="77777777" w:rsidR="00566928" w:rsidRPr="00762944" w:rsidRDefault="00566928" w:rsidP="00566928">
      <w:pPr>
        <w:pStyle w:val="SOPPara"/>
        <w:numPr>
          <w:ilvl w:val="0"/>
          <w:numId w:val="0"/>
        </w:numPr>
        <w:spacing w:after="0"/>
      </w:pPr>
    </w:p>
    <w:p w14:paraId="6250A6AA" w14:textId="77777777" w:rsidR="0016617B" w:rsidRPr="00762944" w:rsidRDefault="00766440" w:rsidP="00B92B52">
      <w:pPr>
        <w:pStyle w:val="SOPPara"/>
        <w:numPr>
          <w:ilvl w:val="0"/>
          <w:numId w:val="0"/>
        </w:numPr>
        <w:spacing w:after="0"/>
      </w:pPr>
      <w:r w:rsidRPr="00762944">
        <w:t>Where reason to suppose has been established</w:t>
      </w:r>
      <w:r w:rsidR="00666413" w:rsidRPr="00762944">
        <w:t>,</w:t>
      </w:r>
      <w:r w:rsidRPr="00762944">
        <w:t xml:space="preserve"> a Preliminary Assessment will be carried out under the terms of Regulation 10 of The Police Service of Scotland (Conduct) Regulations 2014 by PSD. This will be followed by the appointment of an Investigating Officer (IO) under the terms of Regulation 10(4). Similarly, in the case of a Special Constable, the Preliminary Procedures outlined in Regulation 12 of The Police Service of Scotland (Special Constables) Regulations 2013 will be followed.</w:t>
      </w:r>
    </w:p>
    <w:p w14:paraId="4B16C364" w14:textId="77777777" w:rsidR="00B92B52" w:rsidRPr="00762944" w:rsidRDefault="00B92B52" w:rsidP="00B92B52">
      <w:pPr>
        <w:pStyle w:val="SOPPara"/>
        <w:numPr>
          <w:ilvl w:val="0"/>
          <w:numId w:val="0"/>
        </w:numPr>
        <w:spacing w:after="0"/>
      </w:pPr>
    </w:p>
    <w:p w14:paraId="4352A1EE" w14:textId="77777777" w:rsidR="0016617B" w:rsidRPr="00762944" w:rsidRDefault="00766440" w:rsidP="00B92B52">
      <w:pPr>
        <w:pStyle w:val="SOPPara"/>
        <w:numPr>
          <w:ilvl w:val="0"/>
          <w:numId w:val="0"/>
        </w:numPr>
        <w:spacing w:after="0"/>
      </w:pPr>
      <w:r w:rsidRPr="00762944">
        <w:t>The decision to require an individual to provide a sample or samples will form part of the rationale contained within the Preliminary Assessment or Preliminary Procedures.</w:t>
      </w:r>
    </w:p>
    <w:p w14:paraId="541AEFB1" w14:textId="77777777" w:rsidR="00B92B52" w:rsidRPr="00762944" w:rsidRDefault="00B92B52" w:rsidP="00B92B52">
      <w:pPr>
        <w:pStyle w:val="SOPPara"/>
        <w:numPr>
          <w:ilvl w:val="0"/>
          <w:numId w:val="0"/>
        </w:numPr>
        <w:spacing w:after="0"/>
      </w:pPr>
    </w:p>
    <w:p w14:paraId="286A370A" w14:textId="77777777" w:rsidR="0016617B" w:rsidRPr="00762944" w:rsidRDefault="00766440" w:rsidP="00B92B52">
      <w:pPr>
        <w:pStyle w:val="SOPPara"/>
        <w:numPr>
          <w:ilvl w:val="0"/>
          <w:numId w:val="0"/>
        </w:numPr>
        <w:spacing w:after="0"/>
      </w:pPr>
      <w:r w:rsidRPr="00762944">
        <w:t xml:space="preserve">At the time of a </w:t>
      </w:r>
      <w:r w:rsidR="00272871" w:rsidRPr="00762944">
        <w:t>requirement to provid</w:t>
      </w:r>
      <w:r w:rsidR="00472AF1" w:rsidRPr="00762944">
        <w:t>e a</w:t>
      </w:r>
      <w:r w:rsidR="00B92B52" w:rsidRPr="00762944">
        <w:t xml:space="preserve"> ‘W</w:t>
      </w:r>
      <w:r w:rsidR="00272871" w:rsidRPr="00762944">
        <w:t xml:space="preserve">ith </w:t>
      </w:r>
      <w:r w:rsidR="00B92B52" w:rsidRPr="00762944">
        <w:t>C</w:t>
      </w:r>
      <w:r w:rsidRPr="00762944">
        <w:t>ause</w:t>
      </w:r>
      <w:r w:rsidR="00B92B52" w:rsidRPr="00762944">
        <w:t>’</w:t>
      </w:r>
      <w:r w:rsidRPr="00762944">
        <w:t xml:space="preserve"> sample(s), the officer will be provided with a Notice of Misconduct Investigation</w:t>
      </w:r>
      <w:r w:rsidR="00B92B52" w:rsidRPr="00762944">
        <w:t xml:space="preserve"> (</w:t>
      </w:r>
      <w:r w:rsidRPr="00762944">
        <w:t>Form</w:t>
      </w:r>
      <w:r w:rsidR="00B92B52" w:rsidRPr="00762944">
        <w:t xml:space="preserve"> 039-007)</w:t>
      </w:r>
      <w:r w:rsidRPr="00762944">
        <w:t xml:space="preserve"> in accordance with Regulation 11 of The Police Service of Scotland (Conduct) Regulations 2014 or </w:t>
      </w:r>
      <w:r w:rsidR="00B92B52" w:rsidRPr="00762944">
        <w:t xml:space="preserve">a Notice of Misconduct Investigation (Form (039-028) in accordance with </w:t>
      </w:r>
      <w:r w:rsidRPr="00762944">
        <w:t>Regulation 15 of The Police Service of Scotland (Special Constables) Regulations 2013.</w:t>
      </w:r>
    </w:p>
    <w:p w14:paraId="0DCE3707" w14:textId="77777777" w:rsidR="00B92B52" w:rsidRPr="00762944" w:rsidRDefault="00B92B52" w:rsidP="00B92B52">
      <w:pPr>
        <w:pStyle w:val="SOPPara"/>
        <w:numPr>
          <w:ilvl w:val="0"/>
          <w:numId w:val="0"/>
        </w:numPr>
        <w:spacing w:after="0"/>
      </w:pPr>
    </w:p>
    <w:p w14:paraId="3B21CA74" w14:textId="77777777" w:rsidR="0016617B" w:rsidRPr="00762944" w:rsidRDefault="00766440" w:rsidP="00B92B52">
      <w:pPr>
        <w:pStyle w:val="SOPPara"/>
        <w:numPr>
          <w:ilvl w:val="0"/>
          <w:numId w:val="0"/>
        </w:numPr>
        <w:spacing w:after="0"/>
      </w:pPr>
      <w:r w:rsidRPr="00762944">
        <w:t>Depending on the circumstances, there may be occasion to require an o</w:t>
      </w:r>
      <w:r w:rsidR="00B92B52" w:rsidRPr="00762944">
        <w:t>fficer to provide a second ‘W</w:t>
      </w:r>
      <w:r w:rsidR="00272871" w:rsidRPr="00762944">
        <w:t xml:space="preserve">ith </w:t>
      </w:r>
      <w:r w:rsidR="00B92B52" w:rsidRPr="00762944">
        <w:t>C</w:t>
      </w:r>
      <w:r w:rsidRPr="00762944">
        <w:t>ause</w:t>
      </w:r>
      <w:r w:rsidR="00B92B52" w:rsidRPr="00762944">
        <w:t>’</w:t>
      </w:r>
      <w:r w:rsidRPr="00762944">
        <w:t xml:space="preserve"> sample or samples for testing at a later date however this will be explained to the officer at the point of requiring the initial sample(s). The officer will not be given any advance notice of the timing of the requirement to provide the additional sample(s).</w:t>
      </w:r>
    </w:p>
    <w:p w14:paraId="1A60A5DA" w14:textId="77777777" w:rsidR="00B92B52" w:rsidRPr="00762944" w:rsidRDefault="00B92B52" w:rsidP="00B92B52">
      <w:pPr>
        <w:pStyle w:val="SOPPara"/>
        <w:numPr>
          <w:ilvl w:val="0"/>
          <w:numId w:val="0"/>
        </w:numPr>
        <w:spacing w:after="0"/>
      </w:pPr>
    </w:p>
    <w:p w14:paraId="08C74A48" w14:textId="77777777" w:rsidR="0016617B" w:rsidRPr="00762944" w:rsidRDefault="0016617B" w:rsidP="00B92B52">
      <w:pPr>
        <w:pStyle w:val="Heading2"/>
        <w:spacing w:before="0"/>
      </w:pPr>
      <w:r w:rsidRPr="00762944">
        <w:t>Sample Collection Process</w:t>
      </w:r>
    </w:p>
    <w:p w14:paraId="60795477" w14:textId="77777777" w:rsidR="00B92B52" w:rsidRPr="00762944" w:rsidRDefault="00B92B52" w:rsidP="00B92B52"/>
    <w:p w14:paraId="29AA4ECB" w14:textId="77777777" w:rsidR="0016617B" w:rsidRPr="00762944" w:rsidRDefault="00766440" w:rsidP="00B92B52">
      <w:pPr>
        <w:pStyle w:val="SOPPara"/>
        <w:numPr>
          <w:ilvl w:val="0"/>
          <w:numId w:val="0"/>
        </w:numPr>
        <w:spacing w:after="120"/>
      </w:pPr>
      <w:r w:rsidRPr="00762944">
        <w:t xml:space="preserve">The decision on what sample(s) will be required rests with the Chief Inspector conducting the Preliminary Assessment or Preliminary Procedure, and will be dependent on the information received. </w:t>
      </w:r>
      <w:r w:rsidR="0016617B" w:rsidRPr="00762944">
        <w:t>One or a combination of all of the following samples will be obtained:</w:t>
      </w:r>
    </w:p>
    <w:p w14:paraId="059D9B5D" w14:textId="77777777" w:rsidR="0016617B" w:rsidRPr="00762944" w:rsidRDefault="00762944" w:rsidP="005C3682">
      <w:pPr>
        <w:pStyle w:val="SOPPara"/>
        <w:numPr>
          <w:ilvl w:val="0"/>
          <w:numId w:val="12"/>
        </w:numPr>
        <w:spacing w:after="120"/>
      </w:pPr>
      <w:r>
        <w:br w:type="page"/>
      </w:r>
      <w:r w:rsidR="0016617B" w:rsidRPr="00762944">
        <w:lastRenderedPageBreak/>
        <w:t>Hair;</w:t>
      </w:r>
    </w:p>
    <w:p w14:paraId="0A5DFB8E" w14:textId="77777777" w:rsidR="0016617B" w:rsidRPr="00762944" w:rsidRDefault="0016617B" w:rsidP="005C3682">
      <w:pPr>
        <w:pStyle w:val="SOPPara"/>
        <w:numPr>
          <w:ilvl w:val="0"/>
          <w:numId w:val="12"/>
        </w:numPr>
        <w:spacing w:after="120"/>
      </w:pPr>
      <w:r w:rsidRPr="00762944">
        <w:t>Urine;</w:t>
      </w:r>
    </w:p>
    <w:p w14:paraId="528835F9" w14:textId="77777777" w:rsidR="0016617B" w:rsidRPr="00762944" w:rsidRDefault="0016617B" w:rsidP="005C3682">
      <w:pPr>
        <w:pStyle w:val="SOPPara"/>
        <w:numPr>
          <w:ilvl w:val="0"/>
          <w:numId w:val="12"/>
        </w:numPr>
        <w:spacing w:after="0"/>
      </w:pPr>
      <w:r w:rsidRPr="00762944">
        <w:t>Oral fluid.</w:t>
      </w:r>
    </w:p>
    <w:p w14:paraId="4E8B84EC" w14:textId="77777777" w:rsidR="00B92B52" w:rsidRPr="00762944" w:rsidRDefault="00B92B52" w:rsidP="00B92B52">
      <w:pPr>
        <w:pStyle w:val="SOPPara"/>
        <w:numPr>
          <w:ilvl w:val="0"/>
          <w:numId w:val="0"/>
        </w:numPr>
        <w:spacing w:after="0"/>
      </w:pPr>
    </w:p>
    <w:p w14:paraId="5977280D" w14:textId="77777777" w:rsidR="0016617B" w:rsidRPr="00762944" w:rsidRDefault="007205C8" w:rsidP="00B92B52">
      <w:pPr>
        <w:pStyle w:val="SOPPara"/>
        <w:numPr>
          <w:ilvl w:val="0"/>
          <w:numId w:val="0"/>
        </w:numPr>
        <w:spacing w:after="120"/>
      </w:pPr>
      <w:r w:rsidRPr="00762944">
        <w:t>The process is thereafter subject to a chain of custody, ensuring samples cannot be tampered with and the integrity of the laboratory analysis and interpretation of the results is secure.</w:t>
      </w:r>
    </w:p>
    <w:p w14:paraId="4B485E27" w14:textId="77777777" w:rsidR="007205C8" w:rsidRPr="00762944" w:rsidRDefault="007205C8" w:rsidP="00B61398">
      <w:pPr>
        <w:pStyle w:val="SOPPara"/>
        <w:numPr>
          <w:ilvl w:val="0"/>
          <w:numId w:val="0"/>
        </w:numPr>
      </w:pPr>
      <w:r w:rsidRPr="00762944">
        <w:t xml:space="preserve">Trained </w:t>
      </w:r>
      <w:r w:rsidR="00B61398" w:rsidRPr="00762944">
        <w:t>p</w:t>
      </w:r>
      <w:r w:rsidRPr="00762944">
        <w:t xml:space="preserve">olice </w:t>
      </w:r>
      <w:r w:rsidR="00B61398" w:rsidRPr="00762944">
        <w:t>o</w:t>
      </w:r>
      <w:r w:rsidRPr="00762944">
        <w:t>fficers or Collecting Officers from the Testing Agency will carry out the collection of all samples. Training for this purpose is provided and certified by the Testing Agency, and the SCOPE record of such trained officers will contain their qualification and expiry date.</w:t>
      </w:r>
    </w:p>
    <w:p w14:paraId="3250D96F" w14:textId="77777777" w:rsidR="0016617B" w:rsidRPr="00762944" w:rsidRDefault="007205C8" w:rsidP="0051018A">
      <w:pPr>
        <w:pStyle w:val="SOPPara"/>
        <w:numPr>
          <w:ilvl w:val="0"/>
          <w:numId w:val="0"/>
        </w:numPr>
        <w:spacing w:after="0"/>
      </w:pPr>
      <w:r w:rsidRPr="00762944">
        <w:t>The process will be audio recorded and the officer</w:t>
      </w:r>
      <w:r w:rsidR="000D13F6" w:rsidRPr="00762944">
        <w:t xml:space="preserve"> has the opportunity to have a colleague, supervisor or s</w:t>
      </w:r>
      <w:r w:rsidRPr="00762944">
        <w:t xml:space="preserve">taff </w:t>
      </w:r>
      <w:r w:rsidR="000D13F6" w:rsidRPr="00762944">
        <w:t>association r</w:t>
      </w:r>
      <w:r w:rsidRPr="00762944">
        <w:t>epresentative present. If the nominated person is deemed unsuitable or is unavailable, the officer will be informed and an opportunity will be given to nominate an alternative suitable substitute. The process will not be unduly delayed to await the attendance of a nominated person.</w:t>
      </w:r>
    </w:p>
    <w:p w14:paraId="62B233F0" w14:textId="77777777" w:rsidR="0051018A" w:rsidRPr="00762944" w:rsidRDefault="0051018A" w:rsidP="0051018A">
      <w:pPr>
        <w:pStyle w:val="SOPPara"/>
        <w:numPr>
          <w:ilvl w:val="0"/>
          <w:numId w:val="0"/>
        </w:numPr>
        <w:spacing w:after="0"/>
      </w:pPr>
    </w:p>
    <w:p w14:paraId="697F7C5D" w14:textId="77777777" w:rsidR="0051018A" w:rsidRPr="00762944" w:rsidRDefault="000D13F6" w:rsidP="0051018A">
      <w:pPr>
        <w:pStyle w:val="SOPPara"/>
        <w:numPr>
          <w:ilvl w:val="0"/>
          <w:numId w:val="0"/>
        </w:numPr>
        <w:spacing w:after="0"/>
      </w:pPr>
      <w:r w:rsidRPr="00762944">
        <w:t>The officer will be given the opportunity</w:t>
      </w:r>
      <w:r w:rsidR="007205C8" w:rsidRPr="00762944">
        <w:t xml:space="preserve"> to complete a Medical Declaration Form, highlighting any medication, treatment or other substance used within certain date parameters. </w:t>
      </w:r>
    </w:p>
    <w:p w14:paraId="5AD2F77E" w14:textId="77777777" w:rsidR="0051018A" w:rsidRPr="00762944" w:rsidRDefault="0051018A" w:rsidP="0051018A">
      <w:pPr>
        <w:pStyle w:val="SOPPara"/>
        <w:numPr>
          <w:ilvl w:val="0"/>
          <w:numId w:val="0"/>
        </w:numPr>
        <w:spacing w:after="0"/>
      </w:pPr>
    </w:p>
    <w:p w14:paraId="6A6D7257" w14:textId="77777777" w:rsidR="0016617B" w:rsidRPr="00762944" w:rsidRDefault="007205C8" w:rsidP="0051018A">
      <w:pPr>
        <w:pStyle w:val="SOPPara"/>
        <w:numPr>
          <w:ilvl w:val="0"/>
          <w:numId w:val="0"/>
        </w:numPr>
        <w:spacing w:after="0"/>
      </w:pPr>
      <w:r w:rsidRPr="00762944">
        <w:t xml:space="preserve">This document will be provided to the </w:t>
      </w:r>
      <w:r w:rsidR="0051018A" w:rsidRPr="00762944">
        <w:t>MRO</w:t>
      </w:r>
      <w:r w:rsidRPr="00762944">
        <w:t xml:space="preserve"> to assist with the interpretation of sample results. The officer can provide this information under audio conditions or elect to complete the medical declaration form independently and provide it in a sealed envelope to the </w:t>
      </w:r>
      <w:r w:rsidR="00472AF1" w:rsidRPr="00762944">
        <w:t xml:space="preserve">trained police officer or </w:t>
      </w:r>
      <w:r w:rsidRPr="00762944">
        <w:t xml:space="preserve">Collecting Officer </w:t>
      </w:r>
      <w:r w:rsidR="00472AF1" w:rsidRPr="00762944">
        <w:t xml:space="preserve">from the testing Agency </w:t>
      </w:r>
      <w:r w:rsidRPr="00762944">
        <w:t>conducting the process. The Medical Declaration Form will be treated in the strictest confidence and will be submitted with the sample to the Testing Agency.</w:t>
      </w:r>
    </w:p>
    <w:p w14:paraId="03C85E15" w14:textId="77777777" w:rsidR="0051018A" w:rsidRPr="00762944" w:rsidRDefault="0051018A" w:rsidP="0051018A">
      <w:pPr>
        <w:pStyle w:val="SOPPara"/>
        <w:numPr>
          <w:ilvl w:val="0"/>
          <w:numId w:val="0"/>
        </w:numPr>
        <w:spacing w:after="0"/>
      </w:pPr>
    </w:p>
    <w:p w14:paraId="38CE0360" w14:textId="77777777" w:rsidR="0016617B" w:rsidRPr="00762944" w:rsidRDefault="007205C8" w:rsidP="0051018A">
      <w:pPr>
        <w:pStyle w:val="SOPPara"/>
        <w:numPr>
          <w:ilvl w:val="0"/>
          <w:numId w:val="0"/>
        </w:numPr>
        <w:spacing w:after="0"/>
      </w:pPr>
      <w:r w:rsidRPr="00762944">
        <w:t>On completion of the sample(s) collection process, the officer will be provided with a copy of the relevant</w:t>
      </w:r>
      <w:r w:rsidR="00197BCE" w:rsidRPr="00762944">
        <w:t xml:space="preserve"> Chain of Custody form and</w:t>
      </w:r>
      <w:r w:rsidRPr="00762944">
        <w:t xml:space="preserve"> Information for Donors leaflet(s)</w:t>
      </w:r>
      <w:r w:rsidR="00197BCE" w:rsidRPr="00762944">
        <w:t>,</w:t>
      </w:r>
      <w:r w:rsidRPr="00762944">
        <w:t xml:space="preserve"> and their Divisional Commander</w:t>
      </w:r>
      <w:r w:rsidR="00B61398" w:rsidRPr="00762944">
        <w:t>/</w:t>
      </w:r>
      <w:r w:rsidRPr="00762944">
        <w:t>Head of Department will be updated to ensure welfare support is put in place.</w:t>
      </w:r>
    </w:p>
    <w:p w14:paraId="5264591C" w14:textId="77777777" w:rsidR="0051018A" w:rsidRPr="00762944" w:rsidRDefault="0051018A" w:rsidP="0051018A">
      <w:pPr>
        <w:pStyle w:val="SOPPara"/>
        <w:numPr>
          <w:ilvl w:val="0"/>
          <w:numId w:val="0"/>
        </w:numPr>
        <w:spacing w:after="0"/>
      </w:pPr>
    </w:p>
    <w:p w14:paraId="6EBB5BD7" w14:textId="77777777" w:rsidR="0016617B" w:rsidRPr="00762944" w:rsidRDefault="007205C8" w:rsidP="0051018A">
      <w:pPr>
        <w:pStyle w:val="SOPPara"/>
        <w:numPr>
          <w:ilvl w:val="0"/>
          <w:numId w:val="0"/>
        </w:numPr>
        <w:spacing w:after="0"/>
      </w:pPr>
      <w:r w:rsidRPr="00762944">
        <w:t>A Briefing Paper outlining the circumstances will be presented by, or on behalf of, the IO to the Assistant Chief Constable (ACC) Professionalism and Assurance, who will consider whether the officer should be subject to workplace restrictions pending receipt of the drugs analysis.</w:t>
      </w:r>
    </w:p>
    <w:p w14:paraId="24BF2AB0" w14:textId="77777777" w:rsidR="0051018A" w:rsidRPr="00762944" w:rsidRDefault="0051018A" w:rsidP="0051018A">
      <w:pPr>
        <w:pStyle w:val="SOPPara"/>
        <w:numPr>
          <w:ilvl w:val="0"/>
          <w:numId w:val="0"/>
        </w:numPr>
        <w:spacing w:after="0"/>
      </w:pPr>
    </w:p>
    <w:p w14:paraId="54D564D9" w14:textId="77777777" w:rsidR="0016617B" w:rsidRPr="00762944" w:rsidRDefault="007205C8" w:rsidP="0051018A">
      <w:pPr>
        <w:pStyle w:val="SOPPara"/>
        <w:numPr>
          <w:ilvl w:val="0"/>
          <w:numId w:val="0"/>
        </w:numPr>
        <w:spacing w:after="0"/>
      </w:pPr>
      <w:r w:rsidRPr="00762944">
        <w:t xml:space="preserve">The </w:t>
      </w:r>
      <w:r w:rsidR="00B61398" w:rsidRPr="00762944">
        <w:t>t</w:t>
      </w:r>
      <w:r w:rsidRPr="00762944">
        <w:t xml:space="preserve">rained </w:t>
      </w:r>
      <w:r w:rsidR="00B61398" w:rsidRPr="00762944">
        <w:t>p</w:t>
      </w:r>
      <w:r w:rsidRPr="00762944">
        <w:t xml:space="preserve">olice </w:t>
      </w:r>
      <w:r w:rsidR="00B61398" w:rsidRPr="00762944">
        <w:t>o</w:t>
      </w:r>
      <w:r w:rsidR="00472AF1" w:rsidRPr="00762944">
        <w:t xml:space="preserve">fficer </w:t>
      </w:r>
      <w:r w:rsidRPr="00762944">
        <w:t>or the Collecting</w:t>
      </w:r>
      <w:r w:rsidR="00472AF1" w:rsidRPr="00762944">
        <w:t xml:space="preserve"> Officer</w:t>
      </w:r>
      <w:r w:rsidRPr="00762944">
        <w:t>, will submit the sample(s) securely</w:t>
      </w:r>
      <w:r w:rsidR="001B5635" w:rsidRPr="00762944">
        <w:t>, by registered post,</w:t>
      </w:r>
      <w:r w:rsidRPr="00762944">
        <w:t xml:space="preserve"> to the Testing Agency for analysis.</w:t>
      </w:r>
    </w:p>
    <w:p w14:paraId="198ABA8B" w14:textId="77777777" w:rsidR="00472AF1" w:rsidRPr="00762944" w:rsidRDefault="00472AF1" w:rsidP="0051018A">
      <w:pPr>
        <w:pStyle w:val="SOPPara"/>
        <w:numPr>
          <w:ilvl w:val="0"/>
          <w:numId w:val="0"/>
        </w:numPr>
        <w:spacing w:after="0"/>
      </w:pPr>
    </w:p>
    <w:p w14:paraId="7A231493" w14:textId="77777777" w:rsidR="0051018A" w:rsidRPr="00762944" w:rsidRDefault="001B5635" w:rsidP="0051018A">
      <w:pPr>
        <w:pStyle w:val="SOPPara"/>
        <w:numPr>
          <w:ilvl w:val="0"/>
          <w:numId w:val="0"/>
        </w:numPr>
        <w:spacing w:after="0"/>
      </w:pPr>
      <w:r w:rsidRPr="00762944">
        <w:t xml:space="preserve">The sample(s) taken will be split. The A sample is used at the laboratory for drugs analysis, whilst the B sample is stored at the laboratory under secure conditions, pending any challenge of a positive result. </w:t>
      </w:r>
    </w:p>
    <w:p w14:paraId="2ED94071" w14:textId="77777777" w:rsidR="0051018A" w:rsidRPr="00762944" w:rsidRDefault="0051018A" w:rsidP="0051018A">
      <w:pPr>
        <w:pStyle w:val="SOPPara"/>
        <w:numPr>
          <w:ilvl w:val="0"/>
          <w:numId w:val="0"/>
        </w:numPr>
        <w:spacing w:after="0"/>
      </w:pPr>
    </w:p>
    <w:p w14:paraId="5F89FE66" w14:textId="77777777" w:rsidR="0016617B" w:rsidRPr="00762944" w:rsidRDefault="001B5635" w:rsidP="0051018A">
      <w:pPr>
        <w:pStyle w:val="SOPPara"/>
        <w:numPr>
          <w:ilvl w:val="0"/>
          <w:numId w:val="0"/>
        </w:numPr>
        <w:spacing w:after="0"/>
      </w:pPr>
      <w:r w:rsidRPr="00762944">
        <w:t>In the case of a challenge, the officer has the option to send the</w:t>
      </w:r>
      <w:r w:rsidR="00B61398" w:rsidRPr="00762944">
        <w:t xml:space="preserve"> </w:t>
      </w:r>
      <w:r w:rsidRPr="00762944">
        <w:t xml:space="preserve">B sample to an independent accredited laboratory of their choice. The officer is required to meet the </w:t>
      </w:r>
      <w:r w:rsidRPr="00762944">
        <w:lastRenderedPageBreak/>
        <w:t>cost of the transfer and subsequent analysis.</w:t>
      </w:r>
    </w:p>
    <w:p w14:paraId="4BF1769B" w14:textId="77777777" w:rsidR="0016617B" w:rsidRPr="00762944" w:rsidRDefault="0016617B" w:rsidP="0051018A">
      <w:pPr>
        <w:pStyle w:val="Heading2"/>
        <w:spacing w:before="0"/>
      </w:pPr>
      <w:r w:rsidRPr="00762944">
        <w:t>Sample Analysis</w:t>
      </w:r>
      <w:r w:rsidR="001B5635" w:rsidRPr="00762944">
        <w:t xml:space="preserve"> </w:t>
      </w:r>
      <w:r w:rsidR="0051018A" w:rsidRPr="00762944">
        <w:t>–</w:t>
      </w:r>
      <w:r w:rsidR="001B5635" w:rsidRPr="00762944">
        <w:t xml:space="preserve"> </w:t>
      </w:r>
      <w:r w:rsidRPr="00762944">
        <w:t>Laboratory</w:t>
      </w:r>
    </w:p>
    <w:p w14:paraId="095FF333" w14:textId="77777777" w:rsidR="0051018A" w:rsidRPr="00762944" w:rsidRDefault="0051018A" w:rsidP="0051018A"/>
    <w:p w14:paraId="4101ABAB" w14:textId="77777777" w:rsidR="0016617B" w:rsidRPr="00762944" w:rsidRDefault="001B5635" w:rsidP="00B61398">
      <w:pPr>
        <w:pStyle w:val="SOPPara"/>
        <w:numPr>
          <w:ilvl w:val="0"/>
          <w:numId w:val="0"/>
        </w:numPr>
      </w:pPr>
      <w:r w:rsidRPr="00762944">
        <w:t>Analysis of all samples will be carried out, or facil</w:t>
      </w:r>
      <w:r w:rsidR="0051018A" w:rsidRPr="00762944">
        <w:t>itated by, the Police Scotland c</w:t>
      </w:r>
      <w:r w:rsidRPr="00762944">
        <w:t>ontracted Testing Agency.</w:t>
      </w:r>
    </w:p>
    <w:p w14:paraId="7823852D" w14:textId="77777777" w:rsidR="001B5635" w:rsidRPr="00762944" w:rsidRDefault="001B5635" w:rsidP="00B61398">
      <w:pPr>
        <w:pStyle w:val="SOPPara"/>
        <w:numPr>
          <w:ilvl w:val="0"/>
          <w:numId w:val="0"/>
        </w:numPr>
      </w:pPr>
      <w:r w:rsidRPr="00762944">
        <w:t>All positive samples will be retained by the Testing Agency for 12 months or until the matter and any appeal are completed. It is the responsibility of the PSD IO to ensure the laboratory are notified of the requirement to retain the positive sample, if this is beyond the 12 month period.</w:t>
      </w:r>
      <w:r w:rsidR="00E52D61" w:rsidRPr="00762944">
        <w:t xml:space="preserve"> All negative samples will be destroyed within 2 weeks of the result being received by the PSD.</w:t>
      </w:r>
    </w:p>
    <w:p w14:paraId="05B9092F" w14:textId="77777777" w:rsidR="00E52D61" w:rsidRPr="00762944" w:rsidRDefault="00E52D61" w:rsidP="0051018A">
      <w:pPr>
        <w:pStyle w:val="SOPPara"/>
        <w:numPr>
          <w:ilvl w:val="0"/>
          <w:numId w:val="0"/>
        </w:numPr>
        <w:spacing w:after="0"/>
      </w:pPr>
      <w:r w:rsidRPr="00762944">
        <w:t>Following a positive laboratory analysis, the Testing Agency will submit a report to the MRO for independent review.</w:t>
      </w:r>
    </w:p>
    <w:p w14:paraId="26A2110A" w14:textId="77777777" w:rsidR="0051018A" w:rsidRPr="00762944" w:rsidRDefault="0051018A" w:rsidP="0051018A">
      <w:pPr>
        <w:pStyle w:val="SOPPara"/>
        <w:numPr>
          <w:ilvl w:val="0"/>
          <w:numId w:val="0"/>
        </w:numPr>
        <w:spacing w:after="0"/>
      </w:pPr>
    </w:p>
    <w:p w14:paraId="3274729E" w14:textId="77777777" w:rsidR="0016617B" w:rsidRPr="00762944" w:rsidRDefault="0016617B" w:rsidP="0051018A">
      <w:pPr>
        <w:pStyle w:val="Heading2"/>
        <w:spacing w:before="0"/>
      </w:pPr>
      <w:r w:rsidRPr="00762944">
        <w:t>M</w:t>
      </w:r>
      <w:r w:rsidR="00E52D61" w:rsidRPr="00762944">
        <w:t xml:space="preserve">edical </w:t>
      </w:r>
      <w:r w:rsidRPr="00762944">
        <w:t>R</w:t>
      </w:r>
      <w:r w:rsidR="00E52D61" w:rsidRPr="00762944">
        <w:t xml:space="preserve">eview </w:t>
      </w:r>
      <w:r w:rsidRPr="00762944">
        <w:t>O</w:t>
      </w:r>
      <w:r w:rsidR="00E52D61" w:rsidRPr="00762944">
        <w:t>fficer</w:t>
      </w:r>
      <w:r w:rsidR="00B61398" w:rsidRPr="00762944">
        <w:t xml:space="preserve"> (MRO)</w:t>
      </w:r>
    </w:p>
    <w:p w14:paraId="385DE3E7" w14:textId="77777777" w:rsidR="0051018A" w:rsidRPr="00762944" w:rsidRDefault="0051018A" w:rsidP="0051018A"/>
    <w:p w14:paraId="04FCD9DB" w14:textId="77777777" w:rsidR="0016617B" w:rsidRPr="00762944" w:rsidRDefault="00E52D61" w:rsidP="0051018A">
      <w:pPr>
        <w:pStyle w:val="SOPPara"/>
        <w:numPr>
          <w:ilvl w:val="0"/>
          <w:numId w:val="0"/>
        </w:numPr>
        <w:spacing w:after="0"/>
      </w:pPr>
      <w:r w:rsidRPr="00762944">
        <w:t>The MRO will review positive laboratory results in conjunction with the information provided in the co</w:t>
      </w:r>
      <w:r w:rsidR="00A57047" w:rsidRPr="00762944">
        <w:t>nfidential Medical Declaration f</w:t>
      </w:r>
      <w:r w:rsidRPr="00762944">
        <w:t xml:space="preserve">orm. The review may involve a telephone discussion with the officer, providing the MRO with the opportunity to determine whether any other factors should be taken into account when reviewing the results. Only when the MRO is fully satisfied with the review will they declare a verified positive or verified negative result. A formal report will be submitted to </w:t>
      </w:r>
      <w:r w:rsidR="0051018A" w:rsidRPr="00762944">
        <w:t xml:space="preserve">the </w:t>
      </w:r>
      <w:r w:rsidRPr="00762944">
        <w:t>PSD for consideration.</w:t>
      </w:r>
    </w:p>
    <w:p w14:paraId="733E5E3A" w14:textId="77777777" w:rsidR="0051018A" w:rsidRPr="00762944" w:rsidRDefault="0051018A" w:rsidP="0051018A">
      <w:pPr>
        <w:pStyle w:val="SOPPara"/>
        <w:numPr>
          <w:ilvl w:val="0"/>
          <w:numId w:val="0"/>
        </w:numPr>
        <w:spacing w:after="0"/>
      </w:pPr>
    </w:p>
    <w:p w14:paraId="3AB1D5B3" w14:textId="77777777" w:rsidR="00E52D61" w:rsidRPr="00762944" w:rsidRDefault="00E52D61" w:rsidP="00B61398">
      <w:pPr>
        <w:pStyle w:val="SOPPara"/>
        <w:numPr>
          <w:ilvl w:val="0"/>
          <w:numId w:val="0"/>
        </w:numPr>
        <w:rPr>
          <w:b/>
        </w:rPr>
      </w:pPr>
      <w:r w:rsidRPr="00762944">
        <w:rPr>
          <w:b/>
        </w:rPr>
        <w:t>A verified negative result following MRO review is confirmation that the sample did not indicate substance misuse.</w:t>
      </w:r>
    </w:p>
    <w:p w14:paraId="53600CF7" w14:textId="77777777" w:rsidR="0016617B" w:rsidRPr="00762944" w:rsidRDefault="00E52D61" w:rsidP="00B61398">
      <w:pPr>
        <w:pStyle w:val="SOPPara"/>
        <w:numPr>
          <w:ilvl w:val="0"/>
          <w:numId w:val="0"/>
        </w:numPr>
        <w:rPr>
          <w:b/>
        </w:rPr>
      </w:pPr>
      <w:r w:rsidRPr="00762944">
        <w:rPr>
          <w:b/>
        </w:rPr>
        <w:t>A verified positive result following MRO review is confirmation that the sample did indicate substance misuse.</w:t>
      </w:r>
    </w:p>
    <w:p w14:paraId="26DE50E0" w14:textId="77777777" w:rsidR="0016617B" w:rsidRPr="00762944" w:rsidRDefault="00E52D61" w:rsidP="0051018A">
      <w:pPr>
        <w:pStyle w:val="SOPPara"/>
        <w:numPr>
          <w:ilvl w:val="0"/>
          <w:numId w:val="0"/>
        </w:numPr>
        <w:spacing w:after="0"/>
      </w:pPr>
      <w:r w:rsidRPr="00762944">
        <w:t xml:space="preserve">In the event of a verified positive result, the IO will continue the investigation under the terms of </w:t>
      </w:r>
      <w:r w:rsidR="0051018A" w:rsidRPr="00762944">
        <w:t>the aforementioned legislation.</w:t>
      </w:r>
    </w:p>
    <w:p w14:paraId="39D15F7E" w14:textId="77777777" w:rsidR="0051018A" w:rsidRPr="00762944" w:rsidRDefault="0051018A" w:rsidP="0051018A">
      <w:pPr>
        <w:pStyle w:val="SOPPara"/>
        <w:numPr>
          <w:ilvl w:val="0"/>
          <w:numId w:val="0"/>
        </w:numPr>
        <w:spacing w:after="0"/>
      </w:pPr>
    </w:p>
    <w:p w14:paraId="30492E81" w14:textId="77777777" w:rsidR="0016617B" w:rsidRPr="00762944" w:rsidRDefault="0016617B" w:rsidP="0051018A">
      <w:pPr>
        <w:pStyle w:val="Heading2"/>
        <w:spacing w:before="0"/>
      </w:pPr>
      <w:r w:rsidRPr="00762944">
        <w:t xml:space="preserve">Refusal to Provide a </w:t>
      </w:r>
      <w:r w:rsidR="0051018A" w:rsidRPr="00762944">
        <w:t>‘</w:t>
      </w:r>
      <w:r w:rsidRPr="00762944">
        <w:t>With Cause</w:t>
      </w:r>
      <w:r w:rsidR="0051018A" w:rsidRPr="00762944">
        <w:t>’</w:t>
      </w:r>
      <w:r w:rsidR="002A0BA1" w:rsidRPr="00762944">
        <w:t xml:space="preserve"> </w:t>
      </w:r>
      <w:r w:rsidRPr="00762944">
        <w:t>Sample</w:t>
      </w:r>
    </w:p>
    <w:p w14:paraId="0289DA84" w14:textId="77777777" w:rsidR="0051018A" w:rsidRPr="00762944" w:rsidRDefault="0051018A" w:rsidP="0051018A"/>
    <w:p w14:paraId="7D90B0A6" w14:textId="77777777" w:rsidR="00AA7C08" w:rsidRPr="00762944" w:rsidRDefault="00E52D61" w:rsidP="0051018A">
      <w:pPr>
        <w:pStyle w:val="SOPPara"/>
        <w:numPr>
          <w:ilvl w:val="0"/>
          <w:numId w:val="0"/>
        </w:numPr>
        <w:spacing w:after="0"/>
      </w:pPr>
      <w:r w:rsidRPr="00762944">
        <w:t>Refus</w:t>
      </w:r>
      <w:r w:rsidR="00666413" w:rsidRPr="00762944">
        <w:t>al or failure</w:t>
      </w:r>
      <w:r w:rsidR="0051018A" w:rsidRPr="00762944">
        <w:t xml:space="preserve"> to provide a ‘W</w:t>
      </w:r>
      <w:r w:rsidR="00272871" w:rsidRPr="00762944">
        <w:t xml:space="preserve">ith </w:t>
      </w:r>
      <w:r w:rsidR="0051018A" w:rsidRPr="00762944">
        <w:t>C</w:t>
      </w:r>
      <w:r w:rsidRPr="00762944">
        <w:t>ause</w:t>
      </w:r>
      <w:r w:rsidR="0051018A" w:rsidRPr="00762944">
        <w:t>’</w:t>
      </w:r>
      <w:r w:rsidRPr="00762944">
        <w:t xml:space="preserve"> sample(s) when required to do so without a reasonable excuse, or clearly attempting to evade or interfere with the </w:t>
      </w:r>
      <w:r w:rsidR="00197BCE" w:rsidRPr="00762944">
        <w:t>test, will be considered a breach of</w:t>
      </w:r>
      <w:r w:rsidRPr="00762944">
        <w:t xml:space="preserve"> the Standard</w:t>
      </w:r>
      <w:r w:rsidR="0051018A" w:rsidRPr="00762944">
        <w:t>s</w:t>
      </w:r>
      <w:r w:rsidRPr="00762944">
        <w:t xml:space="preserve"> of Professional Behaviour, as detailed in Schedule 1 of The Police Service of Scotland (Conduct) Regulations 2014, or the Conduct Constituting Misconduct outlined in Schedule 2 of The Police Service of Scotland (Special Constables) Regulati</w:t>
      </w:r>
      <w:r w:rsidR="00197BCE" w:rsidRPr="00762944">
        <w:t>ons 2013, and will be assessed</w:t>
      </w:r>
      <w:r w:rsidRPr="00762944">
        <w:t xml:space="preserve"> for</w:t>
      </w:r>
      <w:r w:rsidR="00197BCE" w:rsidRPr="00762944">
        <w:t xml:space="preserve"> potential</w:t>
      </w:r>
      <w:r w:rsidRPr="00762944">
        <w:t xml:space="preserve"> misconduct proceedings.</w:t>
      </w:r>
      <w:r w:rsidR="00197BCE" w:rsidRPr="00762944">
        <w:t xml:space="preserve"> </w:t>
      </w:r>
    </w:p>
    <w:p w14:paraId="32D5C113" w14:textId="77777777" w:rsidR="00AA7C08" w:rsidRPr="00762944" w:rsidRDefault="00AA7C08" w:rsidP="0051018A">
      <w:pPr>
        <w:pStyle w:val="SOPPara"/>
        <w:numPr>
          <w:ilvl w:val="0"/>
          <w:numId w:val="0"/>
        </w:numPr>
        <w:spacing w:after="0"/>
      </w:pPr>
    </w:p>
    <w:p w14:paraId="4D5CCE8B" w14:textId="77777777" w:rsidR="0016617B" w:rsidRPr="00762944" w:rsidRDefault="00197BCE" w:rsidP="0051018A">
      <w:pPr>
        <w:pStyle w:val="SOPPara"/>
        <w:numPr>
          <w:ilvl w:val="0"/>
          <w:numId w:val="0"/>
        </w:numPr>
        <w:spacing w:after="0"/>
      </w:pPr>
      <w:r w:rsidRPr="00762944">
        <w:t>Acting on advice from a colleague or staff association will not be considered a reasonable excuse for refusing to provide any sample.</w:t>
      </w:r>
    </w:p>
    <w:p w14:paraId="7C6C7FC3" w14:textId="77777777" w:rsidR="00AA7C08" w:rsidRPr="00762944" w:rsidRDefault="00AA7C08" w:rsidP="0051018A">
      <w:pPr>
        <w:pStyle w:val="SOPPara"/>
        <w:numPr>
          <w:ilvl w:val="0"/>
          <w:numId w:val="0"/>
        </w:numPr>
        <w:spacing w:after="0"/>
      </w:pPr>
    </w:p>
    <w:p w14:paraId="696E50CD" w14:textId="77777777" w:rsidR="00EB096B" w:rsidRPr="00762944" w:rsidRDefault="00E52D61" w:rsidP="0051018A">
      <w:pPr>
        <w:pStyle w:val="SOPPara"/>
        <w:numPr>
          <w:ilvl w:val="0"/>
          <w:numId w:val="0"/>
        </w:numPr>
        <w:spacing w:after="0"/>
      </w:pPr>
      <w:r w:rsidRPr="00762944">
        <w:t>A Briefing Paper will be presented by, or on behalf of, the PSD IO to the ACC Professionalism and Assurance, who will consider whether the officer requires to be placed on workplace restrictions whilst the misconduct process is ongoing.</w:t>
      </w:r>
      <w:r w:rsidR="00A57047" w:rsidRPr="00762944">
        <w:t xml:space="preserve"> </w:t>
      </w:r>
      <w:r w:rsidRPr="00762944">
        <w:t xml:space="preserve">PSD will </w:t>
      </w:r>
      <w:r w:rsidRPr="00762944">
        <w:lastRenderedPageBreak/>
        <w:t>advise the officer’s Divisional Commander/Head of Department of the circumstances.</w:t>
      </w:r>
    </w:p>
    <w:p w14:paraId="481EB724" w14:textId="77777777" w:rsidR="00AA7C08" w:rsidRPr="00762944" w:rsidRDefault="00AA7C08" w:rsidP="0051018A">
      <w:pPr>
        <w:pStyle w:val="SOPPara"/>
        <w:numPr>
          <w:ilvl w:val="0"/>
          <w:numId w:val="0"/>
        </w:numPr>
        <w:spacing w:after="0"/>
      </w:pPr>
    </w:p>
    <w:p w14:paraId="5D64C4C8" w14:textId="77777777" w:rsidR="0083560D" w:rsidRPr="00762944" w:rsidRDefault="0083560D" w:rsidP="0051018A">
      <w:pPr>
        <w:pStyle w:val="Heading2"/>
        <w:spacing w:before="0"/>
      </w:pPr>
      <w:r w:rsidRPr="00762944">
        <w:t>Refusal on Grounds of Religion</w:t>
      </w:r>
    </w:p>
    <w:p w14:paraId="7DDE0B4A" w14:textId="77777777" w:rsidR="00AA7C08" w:rsidRPr="00762944" w:rsidRDefault="00AA7C08" w:rsidP="00AA7C08"/>
    <w:p w14:paraId="4A63FF88" w14:textId="77777777" w:rsidR="0083560D" w:rsidRPr="00762944" w:rsidRDefault="0083560D" w:rsidP="0051018A">
      <w:pPr>
        <w:pStyle w:val="SOPPara"/>
        <w:numPr>
          <w:ilvl w:val="0"/>
          <w:numId w:val="0"/>
        </w:numPr>
        <w:spacing w:after="0"/>
      </w:pPr>
      <w:r w:rsidRPr="00762944">
        <w:t>Where a Subject Officer objects, on grounds of religion, to providing a sample of hair for analysis, and it is otherwise evident that th</w:t>
      </w:r>
      <w:r w:rsidR="007B16E1" w:rsidRPr="00762944">
        <w:t>ey are indeed a member of said</w:t>
      </w:r>
      <w:r w:rsidRPr="00762944">
        <w:t xml:space="preserve"> faith, alternative samples will be considered.</w:t>
      </w:r>
    </w:p>
    <w:p w14:paraId="794EE2BD" w14:textId="77777777" w:rsidR="00594061" w:rsidRPr="00762944" w:rsidRDefault="002A0BA1" w:rsidP="002718EA">
      <w:pPr>
        <w:jc w:val="center"/>
        <w:rPr>
          <w:b/>
          <w:sz w:val="28"/>
        </w:rPr>
      </w:pPr>
      <w:r w:rsidRPr="00762944">
        <w:br w:type="page"/>
      </w:r>
      <w:r w:rsidR="00594061" w:rsidRPr="00762944">
        <w:rPr>
          <w:b/>
          <w:sz w:val="28"/>
        </w:rPr>
        <w:lastRenderedPageBreak/>
        <w:t>Compliance Record</w:t>
      </w:r>
    </w:p>
    <w:p w14:paraId="625D60CC" w14:textId="77777777" w:rsidR="002718EA" w:rsidRPr="00762944" w:rsidRDefault="002718EA" w:rsidP="002718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6"/>
        <w:gridCol w:w="1904"/>
      </w:tblGrid>
      <w:tr w:rsidR="00594061" w:rsidRPr="00762944" w14:paraId="22F8481F" w14:textId="77777777" w:rsidTr="00F61589">
        <w:tblPrEx>
          <w:tblCellMar>
            <w:top w:w="0" w:type="dxa"/>
            <w:bottom w:w="0" w:type="dxa"/>
          </w:tblCellMar>
        </w:tblPrEx>
        <w:trPr>
          <w:cantSplit/>
          <w:trHeight w:val="412"/>
          <w:jc w:val="center"/>
        </w:trPr>
        <w:tc>
          <w:tcPr>
            <w:tcW w:w="7338" w:type="dxa"/>
            <w:shd w:val="clear" w:color="auto" w:fill="auto"/>
            <w:vAlign w:val="center"/>
          </w:tcPr>
          <w:p w14:paraId="335760EE" w14:textId="77777777" w:rsidR="00594061" w:rsidRPr="00762944" w:rsidRDefault="00594061" w:rsidP="00F61589">
            <w:pPr>
              <w:pStyle w:val="TableFieldHeading"/>
            </w:pPr>
            <w:r w:rsidRPr="00762944">
              <w:t>Equality and Human Rights Impact Assessment (EqHRIA):</w:t>
            </w:r>
          </w:p>
          <w:p w14:paraId="3A2E56BD" w14:textId="77777777" w:rsidR="00594061" w:rsidRPr="00762944" w:rsidRDefault="00594061" w:rsidP="00F61589">
            <w:pPr>
              <w:pStyle w:val="TableFieldHeading"/>
            </w:pPr>
            <w:r w:rsidRPr="00762944">
              <w:t>Date Completed / Reviewed:</w:t>
            </w:r>
          </w:p>
        </w:tc>
        <w:tc>
          <w:tcPr>
            <w:tcW w:w="1948" w:type="dxa"/>
            <w:shd w:val="clear" w:color="auto" w:fill="auto"/>
            <w:vAlign w:val="center"/>
          </w:tcPr>
          <w:p w14:paraId="1EC2670E" w14:textId="77777777" w:rsidR="00594061" w:rsidRPr="00762944" w:rsidRDefault="004F6795" w:rsidP="00F61589">
            <w:r>
              <w:t>20/05/2025</w:t>
            </w:r>
          </w:p>
        </w:tc>
      </w:tr>
      <w:tr w:rsidR="00594061" w:rsidRPr="00762944" w14:paraId="55000E39" w14:textId="77777777" w:rsidTr="00F61589">
        <w:tblPrEx>
          <w:tblCellMar>
            <w:top w:w="0" w:type="dxa"/>
            <w:bottom w:w="0" w:type="dxa"/>
          </w:tblCellMar>
        </w:tblPrEx>
        <w:trPr>
          <w:cantSplit/>
          <w:trHeight w:val="412"/>
          <w:jc w:val="center"/>
        </w:trPr>
        <w:tc>
          <w:tcPr>
            <w:tcW w:w="7338" w:type="dxa"/>
            <w:shd w:val="clear" w:color="auto" w:fill="auto"/>
            <w:vAlign w:val="center"/>
          </w:tcPr>
          <w:p w14:paraId="29F3A468" w14:textId="77777777" w:rsidR="00594061" w:rsidRPr="00762944" w:rsidRDefault="00594061" w:rsidP="00F61589">
            <w:pPr>
              <w:pStyle w:val="TableFieldContent"/>
              <w:rPr>
                <w:b/>
              </w:rPr>
            </w:pPr>
            <w:r w:rsidRPr="00762944">
              <w:rPr>
                <w:b/>
              </w:rPr>
              <w:t>Information Management Compliant:</w:t>
            </w:r>
          </w:p>
        </w:tc>
        <w:tc>
          <w:tcPr>
            <w:tcW w:w="1948" w:type="dxa"/>
            <w:shd w:val="clear" w:color="auto" w:fill="auto"/>
            <w:vAlign w:val="center"/>
          </w:tcPr>
          <w:p w14:paraId="02F6E6C7" w14:textId="77777777" w:rsidR="00594061" w:rsidRPr="00762944" w:rsidRDefault="00EB0DAB" w:rsidP="00F61589">
            <w:pPr>
              <w:pStyle w:val="TableFieldContent"/>
            </w:pPr>
            <w:r w:rsidRPr="00762944">
              <w:t>Yes</w:t>
            </w:r>
          </w:p>
        </w:tc>
      </w:tr>
      <w:tr w:rsidR="00594061" w:rsidRPr="00762944" w14:paraId="2561CFE4" w14:textId="77777777" w:rsidTr="00F61589">
        <w:tblPrEx>
          <w:tblCellMar>
            <w:top w:w="0" w:type="dxa"/>
            <w:bottom w:w="0" w:type="dxa"/>
          </w:tblCellMar>
        </w:tblPrEx>
        <w:trPr>
          <w:cantSplit/>
          <w:trHeight w:val="412"/>
          <w:jc w:val="center"/>
        </w:trPr>
        <w:tc>
          <w:tcPr>
            <w:tcW w:w="7338" w:type="dxa"/>
            <w:shd w:val="clear" w:color="auto" w:fill="auto"/>
            <w:vAlign w:val="center"/>
          </w:tcPr>
          <w:p w14:paraId="7E2E87CF" w14:textId="77777777" w:rsidR="00594061" w:rsidRPr="00762944" w:rsidRDefault="00594061" w:rsidP="00F61589">
            <w:pPr>
              <w:pStyle w:val="TableFieldContent"/>
              <w:rPr>
                <w:b/>
              </w:rPr>
            </w:pPr>
            <w:r w:rsidRPr="00762944">
              <w:rPr>
                <w:b/>
              </w:rPr>
              <w:t>Health and Safety Compliant:</w:t>
            </w:r>
          </w:p>
        </w:tc>
        <w:tc>
          <w:tcPr>
            <w:tcW w:w="1948" w:type="dxa"/>
            <w:shd w:val="clear" w:color="auto" w:fill="auto"/>
            <w:vAlign w:val="center"/>
          </w:tcPr>
          <w:p w14:paraId="5A1CFEA4" w14:textId="77777777" w:rsidR="00594061" w:rsidRPr="00762944" w:rsidRDefault="00EB0DAB" w:rsidP="00F61589">
            <w:pPr>
              <w:pStyle w:val="TableFieldContent"/>
            </w:pPr>
            <w:r w:rsidRPr="00762944">
              <w:t>Yes</w:t>
            </w:r>
          </w:p>
        </w:tc>
      </w:tr>
      <w:tr w:rsidR="00594061" w:rsidRPr="00762944" w14:paraId="2FB961BE" w14:textId="77777777" w:rsidTr="00F61589">
        <w:tblPrEx>
          <w:tblCellMar>
            <w:top w:w="0" w:type="dxa"/>
            <w:bottom w:w="0" w:type="dxa"/>
          </w:tblCellMar>
        </w:tblPrEx>
        <w:trPr>
          <w:cantSplit/>
          <w:trHeight w:val="412"/>
          <w:jc w:val="center"/>
        </w:trPr>
        <w:tc>
          <w:tcPr>
            <w:tcW w:w="7338" w:type="dxa"/>
            <w:shd w:val="clear" w:color="auto" w:fill="auto"/>
            <w:vAlign w:val="center"/>
          </w:tcPr>
          <w:p w14:paraId="34713066" w14:textId="77777777" w:rsidR="00594061" w:rsidRPr="00762944" w:rsidRDefault="00594061" w:rsidP="00F61589">
            <w:pPr>
              <w:pStyle w:val="TableFieldContent"/>
              <w:rPr>
                <w:b/>
              </w:rPr>
            </w:pPr>
            <w:r w:rsidRPr="00762944">
              <w:rPr>
                <w:b/>
              </w:rPr>
              <w:t>Publication Scheme Compliant:</w:t>
            </w:r>
          </w:p>
        </w:tc>
        <w:tc>
          <w:tcPr>
            <w:tcW w:w="1948" w:type="dxa"/>
            <w:shd w:val="clear" w:color="auto" w:fill="auto"/>
            <w:vAlign w:val="center"/>
          </w:tcPr>
          <w:p w14:paraId="755A9956" w14:textId="77777777" w:rsidR="00594061" w:rsidRPr="00762944" w:rsidRDefault="00762944" w:rsidP="00F61589">
            <w:pPr>
              <w:pStyle w:val="TableFieldContent"/>
            </w:pPr>
            <w:r>
              <w:t>Yes</w:t>
            </w:r>
          </w:p>
        </w:tc>
      </w:tr>
    </w:tbl>
    <w:p w14:paraId="75E78645" w14:textId="77777777" w:rsidR="00594061" w:rsidRPr="00762944" w:rsidRDefault="00594061" w:rsidP="00594061"/>
    <w:p w14:paraId="4E16F383" w14:textId="77777777" w:rsidR="00594061" w:rsidRPr="00762944" w:rsidRDefault="00594061" w:rsidP="00594061"/>
    <w:p w14:paraId="6188B889" w14:textId="77777777" w:rsidR="00594061" w:rsidRPr="00762944" w:rsidRDefault="00594061" w:rsidP="00594061">
      <w:pPr>
        <w:pStyle w:val="TableTitle"/>
        <w:rPr>
          <w:sz w:val="28"/>
          <w:szCs w:val="28"/>
        </w:rPr>
      </w:pPr>
      <w:r w:rsidRPr="00762944">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994"/>
        <w:gridCol w:w="1903"/>
      </w:tblGrid>
      <w:tr w:rsidR="00594061" w:rsidRPr="00762944" w14:paraId="31063FCC" w14:textId="77777777" w:rsidTr="00F61589">
        <w:trPr>
          <w:trHeight w:val="372"/>
          <w:jc w:val="center"/>
        </w:trPr>
        <w:tc>
          <w:tcPr>
            <w:tcW w:w="1188" w:type="dxa"/>
            <w:vAlign w:val="center"/>
          </w:tcPr>
          <w:p w14:paraId="551C58B4" w14:textId="77777777" w:rsidR="00594061" w:rsidRPr="00762944" w:rsidRDefault="00594061" w:rsidP="00F61589">
            <w:pPr>
              <w:pStyle w:val="TableFieldHeading"/>
            </w:pPr>
            <w:r w:rsidRPr="00762944">
              <w:t>Version</w:t>
            </w:r>
          </w:p>
        </w:tc>
        <w:tc>
          <w:tcPr>
            <w:tcW w:w="6150" w:type="dxa"/>
            <w:vAlign w:val="center"/>
          </w:tcPr>
          <w:p w14:paraId="3B83D1AD" w14:textId="77777777" w:rsidR="00594061" w:rsidRPr="00762944" w:rsidRDefault="00594061" w:rsidP="00F61589">
            <w:pPr>
              <w:pStyle w:val="TableFieldHeading"/>
            </w:pPr>
            <w:r w:rsidRPr="00762944">
              <w:t>History of Amendments</w:t>
            </w:r>
          </w:p>
        </w:tc>
        <w:tc>
          <w:tcPr>
            <w:tcW w:w="1948" w:type="dxa"/>
            <w:vAlign w:val="center"/>
          </w:tcPr>
          <w:p w14:paraId="4B0F9CFC" w14:textId="77777777" w:rsidR="00594061" w:rsidRPr="00762944" w:rsidRDefault="00594061" w:rsidP="00F61589">
            <w:pPr>
              <w:pStyle w:val="TableFieldHeading"/>
            </w:pPr>
            <w:r w:rsidRPr="00762944">
              <w:t>Approval Date</w:t>
            </w:r>
          </w:p>
        </w:tc>
      </w:tr>
      <w:tr w:rsidR="00594061" w:rsidRPr="00762944" w14:paraId="03715E4B" w14:textId="77777777" w:rsidTr="00F61589">
        <w:trPr>
          <w:cantSplit/>
          <w:trHeight w:val="372"/>
          <w:jc w:val="center"/>
        </w:trPr>
        <w:tc>
          <w:tcPr>
            <w:tcW w:w="1188" w:type="dxa"/>
            <w:vAlign w:val="center"/>
          </w:tcPr>
          <w:p w14:paraId="57CA3D30" w14:textId="77777777" w:rsidR="00594061" w:rsidRPr="00762944" w:rsidRDefault="00594061" w:rsidP="00F61589">
            <w:pPr>
              <w:pStyle w:val="TableFieldContent"/>
            </w:pPr>
            <w:r w:rsidRPr="00762944">
              <w:t>1.00</w:t>
            </w:r>
          </w:p>
        </w:tc>
        <w:tc>
          <w:tcPr>
            <w:tcW w:w="6150" w:type="dxa"/>
            <w:vAlign w:val="center"/>
          </w:tcPr>
          <w:p w14:paraId="049A509A" w14:textId="77777777" w:rsidR="00594061" w:rsidRPr="00762944" w:rsidRDefault="00594061" w:rsidP="00F61589">
            <w:pPr>
              <w:pStyle w:val="TableFieldContent"/>
            </w:pPr>
            <w:r w:rsidRPr="00762944">
              <w:t xml:space="preserve">Initial Approved Version </w:t>
            </w:r>
          </w:p>
        </w:tc>
        <w:tc>
          <w:tcPr>
            <w:tcW w:w="1948" w:type="dxa"/>
            <w:vAlign w:val="center"/>
          </w:tcPr>
          <w:p w14:paraId="2F12E895" w14:textId="77777777" w:rsidR="00594061" w:rsidRPr="00762944" w:rsidRDefault="00045447" w:rsidP="00F61589">
            <w:pPr>
              <w:pStyle w:val="TableFieldContent"/>
            </w:pPr>
            <w:r w:rsidRPr="00762944">
              <w:t>01/09/2014</w:t>
            </w:r>
          </w:p>
        </w:tc>
      </w:tr>
      <w:tr w:rsidR="00045447" w:rsidRPr="00762944" w14:paraId="62E28D90" w14:textId="77777777" w:rsidTr="00F61589">
        <w:trPr>
          <w:cantSplit/>
          <w:trHeight w:val="372"/>
          <w:jc w:val="center"/>
        </w:trPr>
        <w:tc>
          <w:tcPr>
            <w:tcW w:w="1188" w:type="dxa"/>
            <w:vAlign w:val="center"/>
          </w:tcPr>
          <w:p w14:paraId="2F3B25A2" w14:textId="77777777" w:rsidR="00045447" w:rsidRPr="00762944" w:rsidRDefault="00045447" w:rsidP="00045447">
            <w:pPr>
              <w:pStyle w:val="TableFieldContent"/>
            </w:pPr>
            <w:r w:rsidRPr="00762944">
              <w:t>1.01</w:t>
            </w:r>
          </w:p>
        </w:tc>
        <w:tc>
          <w:tcPr>
            <w:tcW w:w="6150" w:type="dxa"/>
            <w:vAlign w:val="center"/>
          </w:tcPr>
          <w:p w14:paraId="0B1F8F26" w14:textId="77777777" w:rsidR="00045447" w:rsidRPr="00762944" w:rsidRDefault="00045447" w:rsidP="00045447">
            <w:pPr>
              <w:pStyle w:val="TableFieldContent"/>
            </w:pPr>
            <w:r w:rsidRPr="00762944">
              <w:t xml:space="preserve">Minor Amendment Correcting Error to Include  Probationary Constables in Testing Regime </w:t>
            </w:r>
          </w:p>
        </w:tc>
        <w:tc>
          <w:tcPr>
            <w:tcW w:w="1948" w:type="dxa"/>
            <w:vAlign w:val="center"/>
          </w:tcPr>
          <w:p w14:paraId="54C3495E" w14:textId="77777777" w:rsidR="00045447" w:rsidRPr="00762944" w:rsidRDefault="00045447" w:rsidP="00045447">
            <w:pPr>
              <w:pStyle w:val="TableFieldContent"/>
            </w:pPr>
            <w:r w:rsidRPr="00762944">
              <w:t>27/08/2014</w:t>
            </w:r>
          </w:p>
        </w:tc>
      </w:tr>
      <w:tr w:rsidR="00045447" w:rsidRPr="00762944" w14:paraId="4C7B8D47" w14:textId="77777777" w:rsidTr="00F61589">
        <w:trPr>
          <w:cantSplit/>
          <w:trHeight w:val="372"/>
          <w:jc w:val="center"/>
        </w:trPr>
        <w:tc>
          <w:tcPr>
            <w:tcW w:w="1188" w:type="dxa"/>
            <w:vAlign w:val="center"/>
          </w:tcPr>
          <w:p w14:paraId="285DB52A" w14:textId="77777777" w:rsidR="00045447" w:rsidRPr="00762944" w:rsidRDefault="00045447" w:rsidP="00045447">
            <w:pPr>
              <w:pStyle w:val="TableFieldContent"/>
            </w:pPr>
            <w:r w:rsidRPr="00762944">
              <w:t>2.00</w:t>
            </w:r>
          </w:p>
        </w:tc>
        <w:tc>
          <w:tcPr>
            <w:tcW w:w="6150" w:type="dxa"/>
            <w:vAlign w:val="center"/>
          </w:tcPr>
          <w:p w14:paraId="2DFBDCA8" w14:textId="77777777" w:rsidR="00045447" w:rsidRPr="00762944" w:rsidRDefault="00045447" w:rsidP="00045447">
            <w:pPr>
              <w:pStyle w:val="TableFieldContent"/>
            </w:pPr>
            <w:r w:rsidRPr="00762944">
              <w:t>SOP Given Full Review</w:t>
            </w:r>
          </w:p>
        </w:tc>
        <w:tc>
          <w:tcPr>
            <w:tcW w:w="1948" w:type="dxa"/>
            <w:vAlign w:val="center"/>
          </w:tcPr>
          <w:p w14:paraId="324CEF0D" w14:textId="77777777" w:rsidR="00045447" w:rsidRPr="00762944" w:rsidRDefault="00045447" w:rsidP="00045447">
            <w:pPr>
              <w:pStyle w:val="TableFieldContent"/>
            </w:pPr>
            <w:r w:rsidRPr="00762944">
              <w:t>21/08/2018</w:t>
            </w:r>
          </w:p>
        </w:tc>
      </w:tr>
      <w:tr w:rsidR="00045447" w:rsidRPr="00762944" w14:paraId="37273D3A" w14:textId="77777777" w:rsidTr="00F61589">
        <w:trPr>
          <w:cantSplit/>
          <w:trHeight w:val="372"/>
          <w:jc w:val="center"/>
        </w:trPr>
        <w:tc>
          <w:tcPr>
            <w:tcW w:w="1188" w:type="dxa"/>
            <w:vAlign w:val="center"/>
          </w:tcPr>
          <w:p w14:paraId="3AE7C88A" w14:textId="77777777" w:rsidR="00045447" w:rsidRPr="00762944" w:rsidRDefault="00B55B65" w:rsidP="00045447">
            <w:pPr>
              <w:pStyle w:val="TableFieldContent"/>
            </w:pPr>
            <w:r w:rsidRPr="00762944">
              <w:t>3.00</w:t>
            </w:r>
          </w:p>
        </w:tc>
        <w:tc>
          <w:tcPr>
            <w:tcW w:w="6150" w:type="dxa"/>
            <w:vAlign w:val="center"/>
          </w:tcPr>
          <w:p w14:paraId="6905379D" w14:textId="77777777" w:rsidR="00045447" w:rsidRPr="00762944" w:rsidRDefault="00045447" w:rsidP="00045447">
            <w:r w:rsidRPr="00762944">
              <w:t>Content fully revised and rationalised in line with new SOP review principles.</w:t>
            </w:r>
          </w:p>
        </w:tc>
        <w:tc>
          <w:tcPr>
            <w:tcW w:w="1948" w:type="dxa"/>
            <w:vAlign w:val="center"/>
          </w:tcPr>
          <w:p w14:paraId="083367F1" w14:textId="77777777" w:rsidR="00045447" w:rsidRPr="00762944" w:rsidRDefault="00EB0DAB" w:rsidP="00045447">
            <w:pPr>
              <w:pStyle w:val="TableFieldContent"/>
            </w:pPr>
            <w:r w:rsidRPr="00762944">
              <w:t>19/11/2020</w:t>
            </w:r>
          </w:p>
        </w:tc>
      </w:tr>
      <w:tr w:rsidR="00051F7F" w:rsidRPr="00762944" w14:paraId="06F37744" w14:textId="77777777" w:rsidTr="00F61589">
        <w:trPr>
          <w:cantSplit/>
          <w:trHeight w:val="372"/>
          <w:jc w:val="center"/>
        </w:trPr>
        <w:tc>
          <w:tcPr>
            <w:tcW w:w="1188" w:type="dxa"/>
            <w:vAlign w:val="center"/>
          </w:tcPr>
          <w:p w14:paraId="7764A824" w14:textId="77777777" w:rsidR="00051F7F" w:rsidRPr="00762944" w:rsidRDefault="00051F7F" w:rsidP="00045447">
            <w:pPr>
              <w:pStyle w:val="TableFieldContent"/>
            </w:pPr>
            <w:r>
              <w:t>4.00</w:t>
            </w:r>
          </w:p>
        </w:tc>
        <w:tc>
          <w:tcPr>
            <w:tcW w:w="6150" w:type="dxa"/>
            <w:vAlign w:val="center"/>
          </w:tcPr>
          <w:p w14:paraId="6B93779E" w14:textId="77777777" w:rsidR="00051F7F" w:rsidRPr="00762944" w:rsidRDefault="00051F7F" w:rsidP="00045447">
            <w:r>
              <w:t>Amendment pending full review – removal of reference to Staff from Sections 3 and 6 and fourth paragraph of Section 6 only.</w:t>
            </w:r>
          </w:p>
        </w:tc>
        <w:tc>
          <w:tcPr>
            <w:tcW w:w="1948" w:type="dxa"/>
            <w:vAlign w:val="center"/>
          </w:tcPr>
          <w:p w14:paraId="1360E30F" w14:textId="77777777" w:rsidR="00051F7F" w:rsidRPr="00762944" w:rsidRDefault="00051F7F" w:rsidP="00045447">
            <w:pPr>
              <w:pStyle w:val="TableFieldContent"/>
            </w:pPr>
            <w:r>
              <w:t>20/05/2025</w:t>
            </w:r>
          </w:p>
        </w:tc>
      </w:tr>
    </w:tbl>
    <w:p w14:paraId="453323C0" w14:textId="77777777" w:rsidR="00594061" w:rsidRPr="00762944" w:rsidRDefault="00594061" w:rsidP="00594061"/>
    <w:p w14:paraId="55EF517E" w14:textId="77777777" w:rsidR="00594061" w:rsidRPr="00762944" w:rsidRDefault="00594061" w:rsidP="00594061">
      <w:pPr>
        <w:pStyle w:val="ParagraphContent"/>
      </w:pPr>
    </w:p>
    <w:p w14:paraId="59163952" w14:textId="77777777" w:rsidR="00CE323B" w:rsidRPr="00762944" w:rsidRDefault="00CE323B" w:rsidP="007B16E1"/>
    <w:p w14:paraId="44A1E3DE" w14:textId="77777777" w:rsidR="000A17C6" w:rsidRPr="00762944" w:rsidRDefault="000A17C6" w:rsidP="00195790">
      <w:pPr>
        <w:pStyle w:val="ParagraphContent"/>
      </w:pPr>
    </w:p>
    <w:sectPr w:rsidR="000A17C6" w:rsidRPr="00762944" w:rsidSect="00E70F9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35CC" w14:textId="77777777" w:rsidR="0000023B" w:rsidRDefault="0000023B">
      <w:r>
        <w:separator/>
      </w:r>
    </w:p>
    <w:p w14:paraId="03A0A3A9" w14:textId="77777777" w:rsidR="0000023B" w:rsidRDefault="0000023B"/>
  </w:endnote>
  <w:endnote w:type="continuationSeparator" w:id="0">
    <w:p w14:paraId="2CDD743A" w14:textId="77777777" w:rsidR="0000023B" w:rsidRDefault="0000023B">
      <w:r>
        <w:continuationSeparator/>
      </w:r>
    </w:p>
    <w:p w14:paraId="46C09B34" w14:textId="77777777" w:rsidR="0000023B" w:rsidRDefault="00000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4821" w14:textId="77777777" w:rsidR="008D5791" w:rsidRDefault="008D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C2DC" w14:textId="77777777" w:rsidR="00762944" w:rsidRDefault="00D018EA" w:rsidP="00D018EA">
    <w:pPr>
      <w:pStyle w:val="Footer"/>
    </w:pPr>
    <w:r w:rsidRPr="00522F82">
      <w:t xml:space="preserve">Version </w:t>
    </w:r>
    <w:r w:rsidR="008D5791">
      <w:t>4</w:t>
    </w:r>
    <w:r w:rsidR="00EB0DAB">
      <w:t>.00</w:t>
    </w:r>
  </w:p>
  <w:p w14:paraId="07C56B76" w14:textId="77777777" w:rsidR="00D018EA" w:rsidRPr="00522F82" w:rsidRDefault="00762944" w:rsidP="00D018EA">
    <w:pPr>
      <w:pStyle w:val="Footer"/>
    </w:pPr>
    <w:r>
      <w:t>(Publication Scheme)</w:t>
    </w:r>
    <w:r w:rsidR="00D018EA" w:rsidRPr="00522F82">
      <w:tab/>
    </w:r>
    <w:r w:rsidR="00D018EA" w:rsidRPr="00522F82">
      <w:tab/>
    </w:r>
    <w:r w:rsidR="00D018EA" w:rsidRPr="00522F82">
      <w:fldChar w:fldCharType="begin"/>
    </w:r>
    <w:r w:rsidR="00D018EA" w:rsidRPr="00522F82">
      <w:instrText xml:space="preserve"> PAGE </w:instrText>
    </w:r>
    <w:r w:rsidR="00D018EA" w:rsidRPr="00522F82">
      <w:fldChar w:fldCharType="separate"/>
    </w:r>
    <w:r w:rsidR="00562C6F">
      <w:rPr>
        <w:noProof/>
      </w:rPr>
      <w:t>11</w:t>
    </w:r>
    <w:r w:rsidR="00D018EA" w:rsidRPr="00522F8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1B62" w14:textId="77777777" w:rsidR="00D018EA" w:rsidRDefault="00D018EA" w:rsidP="00D018EA">
    <w:pPr>
      <w:pStyle w:val="Footer"/>
    </w:pPr>
    <w:r w:rsidRPr="00522F82">
      <w:t>Version</w:t>
    </w:r>
    <w:r w:rsidR="00754B9B">
      <w:t xml:space="preserve"> </w:t>
    </w:r>
    <w:r w:rsidR="008D5791">
      <w:t>4</w:t>
    </w:r>
    <w:r w:rsidR="00754B9B">
      <w:t>.0</w:t>
    </w:r>
    <w:r w:rsidR="00EB0DAB">
      <w:t>0</w:t>
    </w:r>
  </w:p>
  <w:p w14:paraId="226A88B2" w14:textId="77777777" w:rsidR="00762944" w:rsidRPr="00522F82" w:rsidRDefault="00762944" w:rsidP="00D018EA">
    <w:pPr>
      <w:pStyle w:val="Footer"/>
    </w:pPr>
    <w:r>
      <w:t>(Publication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227E" w14:textId="77777777" w:rsidR="0000023B" w:rsidRDefault="0000023B">
      <w:r>
        <w:separator/>
      </w:r>
    </w:p>
    <w:p w14:paraId="4CA0F205" w14:textId="77777777" w:rsidR="0000023B" w:rsidRDefault="0000023B"/>
  </w:footnote>
  <w:footnote w:type="continuationSeparator" w:id="0">
    <w:p w14:paraId="01BFF415" w14:textId="77777777" w:rsidR="0000023B" w:rsidRDefault="0000023B">
      <w:r>
        <w:continuationSeparator/>
      </w:r>
    </w:p>
    <w:p w14:paraId="3C037F5A" w14:textId="77777777" w:rsidR="0000023B" w:rsidRDefault="00000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1D92" w14:textId="77777777" w:rsidR="008D5791" w:rsidRDefault="008D5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97E0" w14:textId="43C70E65" w:rsidR="00E95FB9" w:rsidRDefault="00954639" w:rsidP="00954639">
    <w:pPr>
      <w:pStyle w:val="Header"/>
      <w:jc w:val="center"/>
    </w:pPr>
    <w:r>
      <w:fldChar w:fldCharType="begin"/>
    </w:r>
    <w:r>
      <w:instrText xml:space="preserve"> DOCPROPERTY ClassificationMarking \* MERGEFORMAT </w:instrText>
    </w:r>
    <w:r>
      <w:fldChar w:fldCharType="end"/>
    </w:r>
  </w:p>
  <w:p w14:paraId="08804252" w14:textId="77777777" w:rsidR="00954639" w:rsidRDefault="00954639" w:rsidP="005659E8">
    <w:pPr>
      <w:pStyle w:val="Header"/>
      <w:jc w:val="center"/>
    </w:pPr>
  </w:p>
  <w:p w14:paraId="3B7D0461" w14:textId="77777777" w:rsidR="005659E8" w:rsidRPr="005659E8" w:rsidRDefault="005659E8" w:rsidP="00565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B779" w14:textId="77777777" w:rsidR="008567A1" w:rsidRPr="008567A1" w:rsidRDefault="008567A1" w:rsidP="0085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6C2"/>
    <w:multiLevelType w:val="hybridMultilevel"/>
    <w:tmpl w:val="1D0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D6ED3"/>
    <w:multiLevelType w:val="hybridMultilevel"/>
    <w:tmpl w:val="49083F56"/>
    <w:lvl w:ilvl="0" w:tplc="08090001">
      <w:start w:val="1"/>
      <w:numFmt w:val="bullet"/>
      <w:lvlText w:val=""/>
      <w:lvlJc w:val="left"/>
      <w:pPr>
        <w:ind w:left="720" w:hanging="360"/>
      </w:pPr>
      <w:rPr>
        <w:rFonts w:ascii="Symbol" w:hAnsi="Symbol" w:hint="default"/>
      </w:rPr>
    </w:lvl>
    <w:lvl w:ilvl="1" w:tplc="2EB661AC">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0F1698F"/>
    <w:multiLevelType w:val="hybridMultilevel"/>
    <w:tmpl w:val="C5886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371A6"/>
    <w:multiLevelType w:val="hybridMultilevel"/>
    <w:tmpl w:val="C2F2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10E5CF0"/>
    <w:multiLevelType w:val="hybridMultilevel"/>
    <w:tmpl w:val="41A8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C4FD2"/>
    <w:multiLevelType w:val="hybridMultilevel"/>
    <w:tmpl w:val="F3FA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D0590A"/>
    <w:multiLevelType w:val="hybridMultilevel"/>
    <w:tmpl w:val="5AA006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290" w:hanging="57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6114C3C"/>
    <w:multiLevelType w:val="hybridMultilevel"/>
    <w:tmpl w:val="ECCCE102"/>
    <w:lvl w:ilvl="0" w:tplc="FFFFFFFF">
      <w:start w:val="1"/>
      <w:numFmt w:val="decimal"/>
      <w:pStyle w:val="SOPContentsList"/>
      <w:lvlText w:val="%1."/>
      <w:lvlJc w:val="left"/>
      <w:pPr>
        <w:tabs>
          <w:tab w:val="num" w:pos="930"/>
        </w:tabs>
        <w:ind w:left="930" w:hanging="5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966163A"/>
    <w:multiLevelType w:val="hybridMultilevel"/>
    <w:tmpl w:val="792E4B84"/>
    <w:lvl w:ilvl="0" w:tplc="56AA4C42">
      <w:start w:val="1"/>
      <w:numFmt w:val="bullet"/>
      <w:lvlText w:val=""/>
      <w:lvlJc w:val="left"/>
      <w:pPr>
        <w:ind w:left="458" w:hanging="360"/>
      </w:pPr>
      <w:rPr>
        <w:rFonts w:ascii="Symbol" w:hAnsi="Symbol" w:hint="default"/>
        <w:color w:val="auto"/>
      </w:rPr>
    </w:lvl>
    <w:lvl w:ilvl="1" w:tplc="08090003" w:tentative="1">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num w:numId="1" w16cid:durableId="1232350602">
    <w:abstractNumId w:val="9"/>
  </w:num>
  <w:num w:numId="2" w16cid:durableId="1277560025">
    <w:abstractNumId w:val="10"/>
  </w:num>
  <w:num w:numId="3" w16cid:durableId="646201600">
    <w:abstractNumId w:val="2"/>
  </w:num>
  <w:num w:numId="4" w16cid:durableId="1677463923">
    <w:abstractNumId w:val="5"/>
  </w:num>
  <w:num w:numId="5" w16cid:durableId="483007574">
    <w:abstractNumId w:val="4"/>
  </w:num>
  <w:num w:numId="6" w16cid:durableId="1055347568">
    <w:abstractNumId w:val="11"/>
  </w:num>
  <w:num w:numId="7" w16cid:durableId="721101656">
    <w:abstractNumId w:val="0"/>
  </w:num>
  <w:num w:numId="8" w16cid:durableId="450829882">
    <w:abstractNumId w:val="1"/>
  </w:num>
  <w:num w:numId="9" w16cid:durableId="1557472743">
    <w:abstractNumId w:val="3"/>
  </w:num>
  <w:num w:numId="10" w16cid:durableId="1356805285">
    <w:abstractNumId w:val="7"/>
  </w:num>
  <w:num w:numId="11" w16cid:durableId="1309821153">
    <w:abstractNumId w:val="8"/>
  </w:num>
  <w:num w:numId="12" w16cid:durableId="3723150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3B"/>
    <w:rsid w:val="0000023B"/>
    <w:rsid w:val="00001DDB"/>
    <w:rsid w:val="000041EB"/>
    <w:rsid w:val="00005016"/>
    <w:rsid w:val="00005CD5"/>
    <w:rsid w:val="000109AC"/>
    <w:rsid w:val="00012463"/>
    <w:rsid w:val="00014CAE"/>
    <w:rsid w:val="00020DCE"/>
    <w:rsid w:val="00022291"/>
    <w:rsid w:val="00027A06"/>
    <w:rsid w:val="00031212"/>
    <w:rsid w:val="00032BC1"/>
    <w:rsid w:val="00036BC7"/>
    <w:rsid w:val="00045447"/>
    <w:rsid w:val="00047094"/>
    <w:rsid w:val="00047621"/>
    <w:rsid w:val="00047BE0"/>
    <w:rsid w:val="000516D0"/>
    <w:rsid w:val="00051F7F"/>
    <w:rsid w:val="00052580"/>
    <w:rsid w:val="000632DC"/>
    <w:rsid w:val="00063949"/>
    <w:rsid w:val="00063CB6"/>
    <w:rsid w:val="000670E6"/>
    <w:rsid w:val="0007246D"/>
    <w:rsid w:val="0008066D"/>
    <w:rsid w:val="00081BE5"/>
    <w:rsid w:val="00091ECE"/>
    <w:rsid w:val="00095999"/>
    <w:rsid w:val="00096EFD"/>
    <w:rsid w:val="000A17C6"/>
    <w:rsid w:val="000A46DF"/>
    <w:rsid w:val="000A6A76"/>
    <w:rsid w:val="000B4428"/>
    <w:rsid w:val="000B47D5"/>
    <w:rsid w:val="000B4F04"/>
    <w:rsid w:val="000C27CA"/>
    <w:rsid w:val="000C75D2"/>
    <w:rsid w:val="000C7B9A"/>
    <w:rsid w:val="000D13F6"/>
    <w:rsid w:val="000E07BD"/>
    <w:rsid w:val="000E09DD"/>
    <w:rsid w:val="000E78AE"/>
    <w:rsid w:val="000F1883"/>
    <w:rsid w:val="000F2324"/>
    <w:rsid w:val="00102A6A"/>
    <w:rsid w:val="0011064E"/>
    <w:rsid w:val="00110A4B"/>
    <w:rsid w:val="00114559"/>
    <w:rsid w:val="001147E2"/>
    <w:rsid w:val="001156E0"/>
    <w:rsid w:val="00123207"/>
    <w:rsid w:val="0013274F"/>
    <w:rsid w:val="00143355"/>
    <w:rsid w:val="00155F6B"/>
    <w:rsid w:val="00161B6F"/>
    <w:rsid w:val="0016345C"/>
    <w:rsid w:val="001646CA"/>
    <w:rsid w:val="0016617B"/>
    <w:rsid w:val="00166B71"/>
    <w:rsid w:val="00171B56"/>
    <w:rsid w:val="00176193"/>
    <w:rsid w:val="001836A7"/>
    <w:rsid w:val="00185E15"/>
    <w:rsid w:val="0018632C"/>
    <w:rsid w:val="00192275"/>
    <w:rsid w:val="00195790"/>
    <w:rsid w:val="001958C8"/>
    <w:rsid w:val="001960E2"/>
    <w:rsid w:val="00197BCE"/>
    <w:rsid w:val="001A2531"/>
    <w:rsid w:val="001A3CFE"/>
    <w:rsid w:val="001B5635"/>
    <w:rsid w:val="001C0D50"/>
    <w:rsid w:val="001C6A59"/>
    <w:rsid w:val="001D1098"/>
    <w:rsid w:val="001D2BAA"/>
    <w:rsid w:val="001E225D"/>
    <w:rsid w:val="001E712E"/>
    <w:rsid w:val="00202ABE"/>
    <w:rsid w:val="00204CE2"/>
    <w:rsid w:val="00214B72"/>
    <w:rsid w:val="002156F1"/>
    <w:rsid w:val="00216C98"/>
    <w:rsid w:val="00227958"/>
    <w:rsid w:val="00236DF4"/>
    <w:rsid w:val="00240BDE"/>
    <w:rsid w:val="00243A6E"/>
    <w:rsid w:val="00252D2F"/>
    <w:rsid w:val="00254230"/>
    <w:rsid w:val="00254DD8"/>
    <w:rsid w:val="002579FB"/>
    <w:rsid w:val="00263905"/>
    <w:rsid w:val="002718EA"/>
    <w:rsid w:val="00272871"/>
    <w:rsid w:val="002747FA"/>
    <w:rsid w:val="00275D27"/>
    <w:rsid w:val="00283DAD"/>
    <w:rsid w:val="00290B32"/>
    <w:rsid w:val="002915E8"/>
    <w:rsid w:val="002938DC"/>
    <w:rsid w:val="002942EA"/>
    <w:rsid w:val="00295AAA"/>
    <w:rsid w:val="00297CF6"/>
    <w:rsid w:val="002A0BA1"/>
    <w:rsid w:val="002A6E82"/>
    <w:rsid w:val="002B2C64"/>
    <w:rsid w:val="002B6498"/>
    <w:rsid w:val="002C6DDE"/>
    <w:rsid w:val="002D050C"/>
    <w:rsid w:val="002D190E"/>
    <w:rsid w:val="002D3763"/>
    <w:rsid w:val="002E0D4C"/>
    <w:rsid w:val="002F78E9"/>
    <w:rsid w:val="00304EA8"/>
    <w:rsid w:val="0031321F"/>
    <w:rsid w:val="00326B46"/>
    <w:rsid w:val="00337456"/>
    <w:rsid w:val="00337832"/>
    <w:rsid w:val="0034122E"/>
    <w:rsid w:val="00342CFB"/>
    <w:rsid w:val="00343C12"/>
    <w:rsid w:val="00346364"/>
    <w:rsid w:val="003531F4"/>
    <w:rsid w:val="00356326"/>
    <w:rsid w:val="00364FF5"/>
    <w:rsid w:val="00366236"/>
    <w:rsid w:val="00373435"/>
    <w:rsid w:val="00374B9C"/>
    <w:rsid w:val="00375A4F"/>
    <w:rsid w:val="00376A53"/>
    <w:rsid w:val="00376BBB"/>
    <w:rsid w:val="00386B66"/>
    <w:rsid w:val="00396EFC"/>
    <w:rsid w:val="003A10A8"/>
    <w:rsid w:val="003A17AD"/>
    <w:rsid w:val="003A3626"/>
    <w:rsid w:val="003E3C43"/>
    <w:rsid w:val="003E7677"/>
    <w:rsid w:val="003F2302"/>
    <w:rsid w:val="003F618C"/>
    <w:rsid w:val="0041518B"/>
    <w:rsid w:val="00435F9C"/>
    <w:rsid w:val="00441539"/>
    <w:rsid w:val="00445E86"/>
    <w:rsid w:val="004524E8"/>
    <w:rsid w:val="0045340A"/>
    <w:rsid w:val="004542EA"/>
    <w:rsid w:val="0045522F"/>
    <w:rsid w:val="00456BD2"/>
    <w:rsid w:val="00457D9E"/>
    <w:rsid w:val="00466562"/>
    <w:rsid w:val="00467C90"/>
    <w:rsid w:val="00471C9F"/>
    <w:rsid w:val="00472AF1"/>
    <w:rsid w:val="0047444C"/>
    <w:rsid w:val="004761A7"/>
    <w:rsid w:val="00487623"/>
    <w:rsid w:val="0049003B"/>
    <w:rsid w:val="00492AF3"/>
    <w:rsid w:val="00495029"/>
    <w:rsid w:val="004A35B7"/>
    <w:rsid w:val="004A542A"/>
    <w:rsid w:val="004A65F5"/>
    <w:rsid w:val="004A79B6"/>
    <w:rsid w:val="004B2AFA"/>
    <w:rsid w:val="004B2F46"/>
    <w:rsid w:val="004B341E"/>
    <w:rsid w:val="004B4BEB"/>
    <w:rsid w:val="004C2115"/>
    <w:rsid w:val="004C24D0"/>
    <w:rsid w:val="004C2ED1"/>
    <w:rsid w:val="004D0654"/>
    <w:rsid w:val="004E335D"/>
    <w:rsid w:val="004F5555"/>
    <w:rsid w:val="004F6795"/>
    <w:rsid w:val="0050087C"/>
    <w:rsid w:val="00500C41"/>
    <w:rsid w:val="0051018A"/>
    <w:rsid w:val="005142DC"/>
    <w:rsid w:val="00522F82"/>
    <w:rsid w:val="00524735"/>
    <w:rsid w:val="00524C5F"/>
    <w:rsid w:val="00526784"/>
    <w:rsid w:val="005314D4"/>
    <w:rsid w:val="0053562B"/>
    <w:rsid w:val="005361B8"/>
    <w:rsid w:val="0055136D"/>
    <w:rsid w:val="00552936"/>
    <w:rsid w:val="00553640"/>
    <w:rsid w:val="00555042"/>
    <w:rsid w:val="00560DD5"/>
    <w:rsid w:val="005612F0"/>
    <w:rsid w:val="00562C6F"/>
    <w:rsid w:val="005659E8"/>
    <w:rsid w:val="00566870"/>
    <w:rsid w:val="00566928"/>
    <w:rsid w:val="00566B7C"/>
    <w:rsid w:val="00577513"/>
    <w:rsid w:val="00580886"/>
    <w:rsid w:val="00583E48"/>
    <w:rsid w:val="00585085"/>
    <w:rsid w:val="0058721A"/>
    <w:rsid w:val="00594061"/>
    <w:rsid w:val="005955A3"/>
    <w:rsid w:val="005A3A51"/>
    <w:rsid w:val="005A64EA"/>
    <w:rsid w:val="005A772D"/>
    <w:rsid w:val="005B0879"/>
    <w:rsid w:val="005B0FFC"/>
    <w:rsid w:val="005B6577"/>
    <w:rsid w:val="005C0B17"/>
    <w:rsid w:val="005C3682"/>
    <w:rsid w:val="005C495B"/>
    <w:rsid w:val="005C6B12"/>
    <w:rsid w:val="005D2982"/>
    <w:rsid w:val="005D2EFB"/>
    <w:rsid w:val="005D459E"/>
    <w:rsid w:val="005D51EC"/>
    <w:rsid w:val="005E1724"/>
    <w:rsid w:val="005E4C0B"/>
    <w:rsid w:val="005F6A19"/>
    <w:rsid w:val="00612515"/>
    <w:rsid w:val="0061596C"/>
    <w:rsid w:val="00625182"/>
    <w:rsid w:val="00625527"/>
    <w:rsid w:val="006267A2"/>
    <w:rsid w:val="00626814"/>
    <w:rsid w:val="006432E2"/>
    <w:rsid w:val="006442EE"/>
    <w:rsid w:val="00650C81"/>
    <w:rsid w:val="006542DA"/>
    <w:rsid w:val="006639BE"/>
    <w:rsid w:val="00666413"/>
    <w:rsid w:val="00666503"/>
    <w:rsid w:val="00667711"/>
    <w:rsid w:val="006733E9"/>
    <w:rsid w:val="00684224"/>
    <w:rsid w:val="00687A0C"/>
    <w:rsid w:val="00690C6F"/>
    <w:rsid w:val="006A5770"/>
    <w:rsid w:val="006A592E"/>
    <w:rsid w:val="006A5987"/>
    <w:rsid w:val="006B2469"/>
    <w:rsid w:val="006B5096"/>
    <w:rsid w:val="006C06DC"/>
    <w:rsid w:val="006C3FDE"/>
    <w:rsid w:val="006D03DF"/>
    <w:rsid w:val="006D493F"/>
    <w:rsid w:val="006E11C6"/>
    <w:rsid w:val="006E27C7"/>
    <w:rsid w:val="006E3A6C"/>
    <w:rsid w:val="006E66B9"/>
    <w:rsid w:val="006E725C"/>
    <w:rsid w:val="006F02CB"/>
    <w:rsid w:val="006F231F"/>
    <w:rsid w:val="006F4D09"/>
    <w:rsid w:val="006F530F"/>
    <w:rsid w:val="006F74D9"/>
    <w:rsid w:val="006F7751"/>
    <w:rsid w:val="00701649"/>
    <w:rsid w:val="007205C8"/>
    <w:rsid w:val="00722F59"/>
    <w:rsid w:val="007327AC"/>
    <w:rsid w:val="00732864"/>
    <w:rsid w:val="0073294A"/>
    <w:rsid w:val="00734CE1"/>
    <w:rsid w:val="007361C8"/>
    <w:rsid w:val="007404E6"/>
    <w:rsid w:val="00741FB5"/>
    <w:rsid w:val="00744C6A"/>
    <w:rsid w:val="0074525B"/>
    <w:rsid w:val="007470C4"/>
    <w:rsid w:val="00750A33"/>
    <w:rsid w:val="00754B9B"/>
    <w:rsid w:val="00762944"/>
    <w:rsid w:val="00765954"/>
    <w:rsid w:val="00766440"/>
    <w:rsid w:val="0077028B"/>
    <w:rsid w:val="00772FAB"/>
    <w:rsid w:val="0077527E"/>
    <w:rsid w:val="00775C54"/>
    <w:rsid w:val="00780297"/>
    <w:rsid w:val="00791B51"/>
    <w:rsid w:val="00793878"/>
    <w:rsid w:val="00794EC6"/>
    <w:rsid w:val="007A0BAC"/>
    <w:rsid w:val="007A4867"/>
    <w:rsid w:val="007B16E1"/>
    <w:rsid w:val="007B477A"/>
    <w:rsid w:val="007B57D7"/>
    <w:rsid w:val="007C0AC1"/>
    <w:rsid w:val="007C57CD"/>
    <w:rsid w:val="007D7831"/>
    <w:rsid w:val="007E0550"/>
    <w:rsid w:val="007E214E"/>
    <w:rsid w:val="007E7D65"/>
    <w:rsid w:val="007F0AE9"/>
    <w:rsid w:val="007F2215"/>
    <w:rsid w:val="0080433C"/>
    <w:rsid w:val="00816C8D"/>
    <w:rsid w:val="00816E97"/>
    <w:rsid w:val="008257F4"/>
    <w:rsid w:val="0082587B"/>
    <w:rsid w:val="0082779C"/>
    <w:rsid w:val="0082792D"/>
    <w:rsid w:val="00831B4C"/>
    <w:rsid w:val="00834961"/>
    <w:rsid w:val="0083560D"/>
    <w:rsid w:val="008376B2"/>
    <w:rsid w:val="00846AD3"/>
    <w:rsid w:val="00851C1F"/>
    <w:rsid w:val="0085626B"/>
    <w:rsid w:val="008567A1"/>
    <w:rsid w:val="00861C79"/>
    <w:rsid w:val="00865315"/>
    <w:rsid w:val="00870B3A"/>
    <w:rsid w:val="00870CED"/>
    <w:rsid w:val="00877549"/>
    <w:rsid w:val="00884191"/>
    <w:rsid w:val="0088508D"/>
    <w:rsid w:val="00894826"/>
    <w:rsid w:val="0089760B"/>
    <w:rsid w:val="008A0302"/>
    <w:rsid w:val="008B11E3"/>
    <w:rsid w:val="008C2289"/>
    <w:rsid w:val="008D4089"/>
    <w:rsid w:val="008D53D5"/>
    <w:rsid w:val="008D5791"/>
    <w:rsid w:val="008E168F"/>
    <w:rsid w:val="008E2D98"/>
    <w:rsid w:val="008E3788"/>
    <w:rsid w:val="008E5490"/>
    <w:rsid w:val="008E686E"/>
    <w:rsid w:val="008F1A4F"/>
    <w:rsid w:val="008F4CCA"/>
    <w:rsid w:val="008F650E"/>
    <w:rsid w:val="00901C66"/>
    <w:rsid w:val="00902A10"/>
    <w:rsid w:val="009156EF"/>
    <w:rsid w:val="00926440"/>
    <w:rsid w:val="00934123"/>
    <w:rsid w:val="00941647"/>
    <w:rsid w:val="00943353"/>
    <w:rsid w:val="00943412"/>
    <w:rsid w:val="009436B5"/>
    <w:rsid w:val="009439B8"/>
    <w:rsid w:val="009467EA"/>
    <w:rsid w:val="00950A36"/>
    <w:rsid w:val="00951CA8"/>
    <w:rsid w:val="0095401C"/>
    <w:rsid w:val="00954639"/>
    <w:rsid w:val="00962FB1"/>
    <w:rsid w:val="00965505"/>
    <w:rsid w:val="00965A8C"/>
    <w:rsid w:val="00966D74"/>
    <w:rsid w:val="00977BBD"/>
    <w:rsid w:val="00983F2D"/>
    <w:rsid w:val="009912B4"/>
    <w:rsid w:val="00995DAF"/>
    <w:rsid w:val="009B244D"/>
    <w:rsid w:val="009B314B"/>
    <w:rsid w:val="009B6672"/>
    <w:rsid w:val="009B766E"/>
    <w:rsid w:val="009C03CD"/>
    <w:rsid w:val="009C16D9"/>
    <w:rsid w:val="009C56C7"/>
    <w:rsid w:val="009D4631"/>
    <w:rsid w:val="009D4AAF"/>
    <w:rsid w:val="009D67D9"/>
    <w:rsid w:val="009D6C3C"/>
    <w:rsid w:val="009E318C"/>
    <w:rsid w:val="009E77C2"/>
    <w:rsid w:val="009F1B2C"/>
    <w:rsid w:val="00A0124D"/>
    <w:rsid w:val="00A0479C"/>
    <w:rsid w:val="00A117AB"/>
    <w:rsid w:val="00A14DE8"/>
    <w:rsid w:val="00A15F9D"/>
    <w:rsid w:val="00A16260"/>
    <w:rsid w:val="00A201BE"/>
    <w:rsid w:val="00A2042B"/>
    <w:rsid w:val="00A2171D"/>
    <w:rsid w:val="00A25392"/>
    <w:rsid w:val="00A31518"/>
    <w:rsid w:val="00A3236F"/>
    <w:rsid w:val="00A377B0"/>
    <w:rsid w:val="00A40062"/>
    <w:rsid w:val="00A44093"/>
    <w:rsid w:val="00A4461B"/>
    <w:rsid w:val="00A45C74"/>
    <w:rsid w:val="00A501DB"/>
    <w:rsid w:val="00A5462B"/>
    <w:rsid w:val="00A57047"/>
    <w:rsid w:val="00A60DA2"/>
    <w:rsid w:val="00A61F13"/>
    <w:rsid w:val="00A65DC9"/>
    <w:rsid w:val="00A66059"/>
    <w:rsid w:val="00A66BE1"/>
    <w:rsid w:val="00A807B3"/>
    <w:rsid w:val="00A87CAA"/>
    <w:rsid w:val="00A87E83"/>
    <w:rsid w:val="00A90FF6"/>
    <w:rsid w:val="00A921B4"/>
    <w:rsid w:val="00A921DA"/>
    <w:rsid w:val="00A9503D"/>
    <w:rsid w:val="00AA1581"/>
    <w:rsid w:val="00AA7C08"/>
    <w:rsid w:val="00AA7E6E"/>
    <w:rsid w:val="00AB5685"/>
    <w:rsid w:val="00AD5250"/>
    <w:rsid w:val="00AD5352"/>
    <w:rsid w:val="00AD6EDA"/>
    <w:rsid w:val="00AD78E1"/>
    <w:rsid w:val="00AF7E33"/>
    <w:rsid w:val="00B02599"/>
    <w:rsid w:val="00B112B5"/>
    <w:rsid w:val="00B123D4"/>
    <w:rsid w:val="00B17D5D"/>
    <w:rsid w:val="00B25CB2"/>
    <w:rsid w:val="00B26837"/>
    <w:rsid w:val="00B27905"/>
    <w:rsid w:val="00B30391"/>
    <w:rsid w:val="00B30946"/>
    <w:rsid w:val="00B30C5E"/>
    <w:rsid w:val="00B323CF"/>
    <w:rsid w:val="00B350D9"/>
    <w:rsid w:val="00B35A22"/>
    <w:rsid w:val="00B36E88"/>
    <w:rsid w:val="00B415FF"/>
    <w:rsid w:val="00B4484D"/>
    <w:rsid w:val="00B476A1"/>
    <w:rsid w:val="00B55B65"/>
    <w:rsid w:val="00B55C94"/>
    <w:rsid w:val="00B5717F"/>
    <w:rsid w:val="00B61398"/>
    <w:rsid w:val="00B66758"/>
    <w:rsid w:val="00B6676E"/>
    <w:rsid w:val="00B75F24"/>
    <w:rsid w:val="00B76A0C"/>
    <w:rsid w:val="00B775C7"/>
    <w:rsid w:val="00B77751"/>
    <w:rsid w:val="00B83533"/>
    <w:rsid w:val="00B862B8"/>
    <w:rsid w:val="00B86F21"/>
    <w:rsid w:val="00B87729"/>
    <w:rsid w:val="00B901FA"/>
    <w:rsid w:val="00B90FE2"/>
    <w:rsid w:val="00B92B52"/>
    <w:rsid w:val="00B939C1"/>
    <w:rsid w:val="00BA3933"/>
    <w:rsid w:val="00BA537E"/>
    <w:rsid w:val="00BA65A0"/>
    <w:rsid w:val="00BB270A"/>
    <w:rsid w:val="00BC4B0E"/>
    <w:rsid w:val="00BD2249"/>
    <w:rsid w:val="00BD4578"/>
    <w:rsid w:val="00BD706C"/>
    <w:rsid w:val="00BE162A"/>
    <w:rsid w:val="00BE36C1"/>
    <w:rsid w:val="00BE6E20"/>
    <w:rsid w:val="00BF124D"/>
    <w:rsid w:val="00BF2C62"/>
    <w:rsid w:val="00C0567A"/>
    <w:rsid w:val="00C0671E"/>
    <w:rsid w:val="00C11C5A"/>
    <w:rsid w:val="00C11E6B"/>
    <w:rsid w:val="00C133B8"/>
    <w:rsid w:val="00C21EB2"/>
    <w:rsid w:val="00C3343A"/>
    <w:rsid w:val="00C34130"/>
    <w:rsid w:val="00C34216"/>
    <w:rsid w:val="00C34B24"/>
    <w:rsid w:val="00C4683D"/>
    <w:rsid w:val="00C5316C"/>
    <w:rsid w:val="00C5733C"/>
    <w:rsid w:val="00C6193E"/>
    <w:rsid w:val="00C705ED"/>
    <w:rsid w:val="00C73204"/>
    <w:rsid w:val="00C73E19"/>
    <w:rsid w:val="00C76E44"/>
    <w:rsid w:val="00C77BF7"/>
    <w:rsid w:val="00C8230E"/>
    <w:rsid w:val="00C90C07"/>
    <w:rsid w:val="00CA6651"/>
    <w:rsid w:val="00CB0FFB"/>
    <w:rsid w:val="00CB2672"/>
    <w:rsid w:val="00CB3323"/>
    <w:rsid w:val="00CB5811"/>
    <w:rsid w:val="00CB6D55"/>
    <w:rsid w:val="00CC1961"/>
    <w:rsid w:val="00CC1DC9"/>
    <w:rsid w:val="00CC42E0"/>
    <w:rsid w:val="00CC46EA"/>
    <w:rsid w:val="00CD7CD0"/>
    <w:rsid w:val="00CE0D28"/>
    <w:rsid w:val="00CE323B"/>
    <w:rsid w:val="00CE45C7"/>
    <w:rsid w:val="00CF4C42"/>
    <w:rsid w:val="00CF5CD0"/>
    <w:rsid w:val="00D005A3"/>
    <w:rsid w:val="00D0092E"/>
    <w:rsid w:val="00D018EA"/>
    <w:rsid w:val="00D0225E"/>
    <w:rsid w:val="00D1214D"/>
    <w:rsid w:val="00D161E0"/>
    <w:rsid w:val="00D17AFB"/>
    <w:rsid w:val="00D241FB"/>
    <w:rsid w:val="00D266C4"/>
    <w:rsid w:val="00D31852"/>
    <w:rsid w:val="00D320B8"/>
    <w:rsid w:val="00D35EF8"/>
    <w:rsid w:val="00D4448A"/>
    <w:rsid w:val="00D46394"/>
    <w:rsid w:val="00D562FB"/>
    <w:rsid w:val="00D57509"/>
    <w:rsid w:val="00D66F66"/>
    <w:rsid w:val="00D700A6"/>
    <w:rsid w:val="00D71C9B"/>
    <w:rsid w:val="00D71E25"/>
    <w:rsid w:val="00D74841"/>
    <w:rsid w:val="00D77ECE"/>
    <w:rsid w:val="00D8070F"/>
    <w:rsid w:val="00D84A8E"/>
    <w:rsid w:val="00D86940"/>
    <w:rsid w:val="00D91E13"/>
    <w:rsid w:val="00D950CE"/>
    <w:rsid w:val="00D963E0"/>
    <w:rsid w:val="00DA3E32"/>
    <w:rsid w:val="00DB31B5"/>
    <w:rsid w:val="00DB38A0"/>
    <w:rsid w:val="00DB6E49"/>
    <w:rsid w:val="00DC529A"/>
    <w:rsid w:val="00DD075B"/>
    <w:rsid w:val="00DD2C6E"/>
    <w:rsid w:val="00DD471E"/>
    <w:rsid w:val="00DD5056"/>
    <w:rsid w:val="00DD637F"/>
    <w:rsid w:val="00DD6426"/>
    <w:rsid w:val="00DD6C82"/>
    <w:rsid w:val="00DD6D68"/>
    <w:rsid w:val="00DD7602"/>
    <w:rsid w:val="00DE5D1C"/>
    <w:rsid w:val="00DE7C96"/>
    <w:rsid w:val="00DE7E66"/>
    <w:rsid w:val="00DF06C1"/>
    <w:rsid w:val="00DF200D"/>
    <w:rsid w:val="00E06E3C"/>
    <w:rsid w:val="00E15C1B"/>
    <w:rsid w:val="00E206FD"/>
    <w:rsid w:val="00E20AB7"/>
    <w:rsid w:val="00E21536"/>
    <w:rsid w:val="00E220A0"/>
    <w:rsid w:val="00E22131"/>
    <w:rsid w:val="00E225B9"/>
    <w:rsid w:val="00E322A9"/>
    <w:rsid w:val="00E356DD"/>
    <w:rsid w:val="00E36CAB"/>
    <w:rsid w:val="00E411D3"/>
    <w:rsid w:val="00E43582"/>
    <w:rsid w:val="00E436D7"/>
    <w:rsid w:val="00E46EEC"/>
    <w:rsid w:val="00E46F36"/>
    <w:rsid w:val="00E50F0C"/>
    <w:rsid w:val="00E52D61"/>
    <w:rsid w:val="00E56C06"/>
    <w:rsid w:val="00E603CC"/>
    <w:rsid w:val="00E61705"/>
    <w:rsid w:val="00E70F96"/>
    <w:rsid w:val="00E716C3"/>
    <w:rsid w:val="00E75A88"/>
    <w:rsid w:val="00E83CB7"/>
    <w:rsid w:val="00E92E15"/>
    <w:rsid w:val="00E9591F"/>
    <w:rsid w:val="00E95FB9"/>
    <w:rsid w:val="00EA007D"/>
    <w:rsid w:val="00EA241C"/>
    <w:rsid w:val="00EA36D5"/>
    <w:rsid w:val="00EA723C"/>
    <w:rsid w:val="00EB096B"/>
    <w:rsid w:val="00EB0DAB"/>
    <w:rsid w:val="00EB2C14"/>
    <w:rsid w:val="00EB7BF6"/>
    <w:rsid w:val="00EC4F88"/>
    <w:rsid w:val="00ED4C82"/>
    <w:rsid w:val="00ED62AB"/>
    <w:rsid w:val="00EE2E23"/>
    <w:rsid w:val="00EE5817"/>
    <w:rsid w:val="00EF2576"/>
    <w:rsid w:val="00EF4572"/>
    <w:rsid w:val="00EF4C5A"/>
    <w:rsid w:val="00F00318"/>
    <w:rsid w:val="00F009A3"/>
    <w:rsid w:val="00F06F46"/>
    <w:rsid w:val="00F077AC"/>
    <w:rsid w:val="00F10194"/>
    <w:rsid w:val="00F20939"/>
    <w:rsid w:val="00F218DD"/>
    <w:rsid w:val="00F235D5"/>
    <w:rsid w:val="00F24FF2"/>
    <w:rsid w:val="00F33511"/>
    <w:rsid w:val="00F34729"/>
    <w:rsid w:val="00F3692C"/>
    <w:rsid w:val="00F4072A"/>
    <w:rsid w:val="00F4463B"/>
    <w:rsid w:val="00F61589"/>
    <w:rsid w:val="00F64BF5"/>
    <w:rsid w:val="00F652B3"/>
    <w:rsid w:val="00F6628A"/>
    <w:rsid w:val="00F73D10"/>
    <w:rsid w:val="00F75ADC"/>
    <w:rsid w:val="00F761C7"/>
    <w:rsid w:val="00F85EB4"/>
    <w:rsid w:val="00F91D1C"/>
    <w:rsid w:val="00F93072"/>
    <w:rsid w:val="00F96132"/>
    <w:rsid w:val="00FA2785"/>
    <w:rsid w:val="00FA624D"/>
    <w:rsid w:val="00FB13FD"/>
    <w:rsid w:val="00FB3B90"/>
    <w:rsid w:val="00FC1AC1"/>
    <w:rsid w:val="00FC633C"/>
    <w:rsid w:val="00FD342B"/>
    <w:rsid w:val="00FE7210"/>
    <w:rsid w:val="00FF0F2B"/>
    <w:rsid w:val="00FF1077"/>
    <w:rsid w:val="00FF12FE"/>
    <w:rsid w:val="00FF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01AC64"/>
  <w15:chartTrackingRefBased/>
  <w15:docId w15:val="{47CC1BFC-F882-4782-9148-8F8E4EFF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790"/>
    <w:rPr>
      <w:rFonts w:ascii="Arial" w:hAnsi="Arial"/>
      <w:sz w:val="24"/>
      <w:szCs w:val="24"/>
    </w:rPr>
  </w:style>
  <w:style w:type="paragraph" w:styleId="Heading1">
    <w:name w:val="heading 1"/>
    <w:basedOn w:val="Title"/>
    <w:next w:val="Normal"/>
    <w:link w:val="Heading1Char"/>
    <w:autoRedefine/>
    <w:qFormat/>
    <w:rsid w:val="00831B4C"/>
    <w:pPr>
      <w:spacing w:before="0" w:after="0"/>
      <w:jc w:val="left"/>
      <w:outlineLvl w:val="0"/>
    </w:pPr>
    <w:rPr>
      <w:sz w:val="28"/>
      <w:szCs w:val="28"/>
    </w:rPr>
  </w:style>
  <w:style w:type="paragraph" w:styleId="Heading2">
    <w:name w:val="heading 2"/>
    <w:basedOn w:val="Heading1"/>
    <w:next w:val="Normal"/>
    <w:link w:val="Heading2Char"/>
    <w:qFormat/>
    <w:rsid w:val="00047094"/>
    <w:pPr>
      <w:spacing w:before="240"/>
      <w:outlineLvl w:val="1"/>
    </w:pPr>
    <w:rPr>
      <w:sz w:val="24"/>
    </w:rPr>
  </w:style>
  <w:style w:type="paragraph" w:styleId="Heading3">
    <w:name w:val="heading 3"/>
    <w:next w:val="Normal"/>
    <w:link w:val="Heading3Char"/>
    <w:autoRedefine/>
    <w:qFormat/>
    <w:rsid w:val="00B55B65"/>
    <w:pPr>
      <w:spacing w:before="240" w:after="240"/>
      <w:jc w:val="center"/>
      <w:outlineLvl w:val="2"/>
    </w:pPr>
    <w:rPr>
      <w:rFonts w:ascii="Arial" w:hAnsi="Arial"/>
      <w:b/>
      <w:sz w:val="28"/>
    </w:rPr>
  </w:style>
  <w:style w:type="paragraph" w:styleId="Heading4">
    <w:name w:val="heading 4"/>
    <w:basedOn w:val="Heading3"/>
    <w:next w:val="Normal"/>
    <w:qFormat/>
    <w:locked/>
    <w:rsid w:val="00B4484D"/>
    <w:pPr>
      <w:outlineLvl w:val="3"/>
    </w:pPr>
  </w:style>
  <w:style w:type="paragraph" w:styleId="Heading5">
    <w:name w:val="heading 5"/>
    <w:basedOn w:val="Normal"/>
    <w:next w:val="Normal"/>
    <w:qFormat/>
    <w:locked/>
    <w:pPr>
      <w:keepNext/>
      <w:jc w:val="both"/>
      <w:outlineLvl w:val="4"/>
    </w:pPr>
    <w:rPr>
      <w:u w:val="single"/>
    </w:rPr>
  </w:style>
  <w:style w:type="paragraph" w:styleId="Heading6">
    <w:name w:val="heading 6"/>
    <w:basedOn w:val="Heading4"/>
    <w:next w:val="Normal"/>
    <w:qFormat/>
    <w:locked/>
    <w:rsid w:val="00B4484D"/>
    <w:pPr>
      <w:outlineLvl w:val="5"/>
    </w:pPr>
  </w:style>
  <w:style w:type="paragraph" w:styleId="Heading7">
    <w:name w:val="heading 7"/>
    <w:basedOn w:val="Heading6"/>
    <w:next w:val="Normal"/>
    <w:qFormat/>
    <w:locked/>
    <w:rsid w:val="00B4484D"/>
    <w:pPr>
      <w:outlineLvl w:val="6"/>
    </w:pPr>
  </w:style>
  <w:style w:type="paragraph" w:styleId="Heading8">
    <w:name w:val="heading 8"/>
    <w:basedOn w:val="Heading7"/>
    <w:next w:val="Normal"/>
    <w:qFormat/>
    <w:locked/>
    <w:rsid w:val="00B4484D"/>
    <w:pPr>
      <w:outlineLvl w:val="7"/>
    </w:pPr>
  </w:style>
  <w:style w:type="paragraph" w:styleId="Heading9">
    <w:name w:val="heading 9"/>
    <w:basedOn w:val="Heading8"/>
    <w:next w:val="Normal"/>
    <w:qFormat/>
    <w:locked/>
    <w:rsid w:val="00B4484D"/>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Bold">
    <w:name w:val="Normal Bold"/>
    <w:basedOn w:val="Normal"/>
    <w:link w:val="NormalBoldChar"/>
    <w:rsid w:val="00E46EEC"/>
    <w:pPr>
      <w:spacing w:before="120" w:after="120"/>
    </w:pPr>
    <w:rPr>
      <w:b/>
    </w:rPr>
  </w:style>
  <w:style w:type="paragraph" w:styleId="Title">
    <w:name w:val="Title"/>
    <w:link w:val="TitleChar"/>
    <w:qFormat/>
    <w:rsid w:val="007A4867"/>
    <w:pPr>
      <w:spacing w:before="160" w:after="160"/>
      <w:jc w:val="center"/>
    </w:pPr>
    <w:rPr>
      <w:rFonts w:ascii="Arial" w:hAnsi="Arial"/>
      <w:b/>
      <w:sz w:val="32"/>
    </w:rPr>
  </w:style>
  <w:style w:type="paragraph" w:customStyle="1" w:styleId="TableFieldHeading">
    <w:name w:val="Table Field Heading"/>
    <w:basedOn w:val="NormalBold"/>
    <w:rsid w:val="00BD2249"/>
    <w:pPr>
      <w:spacing w:before="0" w:after="0"/>
    </w:pPr>
  </w:style>
  <w:style w:type="paragraph" w:customStyle="1" w:styleId="TableFieldContent">
    <w:name w:val="Table Field Content"/>
    <w:basedOn w:val="Normal"/>
    <w:autoRedefine/>
    <w:rsid w:val="00326B46"/>
  </w:style>
  <w:style w:type="paragraph" w:customStyle="1" w:styleId="ContentsSub-Para">
    <w:name w:val="Contents Sub-Para"/>
    <w:basedOn w:val="SOPContentsList"/>
    <w:autoRedefine/>
    <w:rsid w:val="00063949"/>
    <w:pPr>
      <w:numPr>
        <w:ilvl w:val="1"/>
        <w:numId w:val="3"/>
      </w:numPr>
    </w:pPr>
  </w:style>
  <w:style w:type="paragraph" w:customStyle="1" w:styleId="PrelimsTitle">
    <w:name w:val="Prelims Title"/>
    <w:basedOn w:val="Heading1"/>
    <w:autoRedefine/>
    <w:rsid w:val="007E0550"/>
  </w:style>
  <w:style w:type="paragraph" w:customStyle="1" w:styleId="AppendixTitle">
    <w:name w:val="Appendix Title"/>
    <w:basedOn w:val="Heading1"/>
    <w:rsid w:val="009D4631"/>
  </w:style>
  <w:style w:type="character" w:styleId="PageNumber">
    <w:name w:val="page number"/>
    <w:basedOn w:val="DefaultParagraphFont"/>
    <w:rsid w:val="00DE5D1C"/>
  </w:style>
  <w:style w:type="paragraph" w:styleId="Footer">
    <w:name w:val="footer"/>
    <w:aliases w:val="Portrait"/>
    <w:basedOn w:val="Normal"/>
    <w:autoRedefine/>
    <w:rsid w:val="00B939C1"/>
    <w:pPr>
      <w:tabs>
        <w:tab w:val="center" w:pos="4678"/>
        <w:tab w:val="right" w:pos="9072"/>
      </w:tabs>
    </w:pPr>
    <w:rPr>
      <w:sz w:val="20"/>
    </w:rPr>
  </w:style>
  <w:style w:type="paragraph" w:styleId="Header">
    <w:name w:val="header"/>
    <w:basedOn w:val="Normal"/>
    <w:rsid w:val="00DB38A0"/>
    <w:pPr>
      <w:tabs>
        <w:tab w:val="center" w:pos="4153"/>
        <w:tab w:val="right" w:pos="8306"/>
      </w:tabs>
    </w:pPr>
  </w:style>
  <w:style w:type="paragraph" w:customStyle="1" w:styleId="SOPPara">
    <w:name w:val="SOP Para"/>
    <w:basedOn w:val="Normal"/>
    <w:rsid w:val="001E225D"/>
    <w:pPr>
      <w:widowControl w:val="0"/>
      <w:numPr>
        <w:ilvl w:val="1"/>
        <w:numId w:val="4"/>
      </w:numPr>
      <w:overflowPunct w:val="0"/>
      <w:autoSpaceDE w:val="0"/>
      <w:autoSpaceDN w:val="0"/>
      <w:adjustRightInd w:val="0"/>
      <w:spacing w:after="240"/>
      <w:textAlignment w:val="baseline"/>
    </w:pPr>
    <w:rPr>
      <w:rFonts w:cs="Arial"/>
    </w:rPr>
  </w:style>
  <w:style w:type="paragraph" w:customStyle="1" w:styleId="ContentsList">
    <w:name w:val="Contents List"/>
    <w:basedOn w:val="Normal"/>
    <w:rsid w:val="005D51EC"/>
    <w:pPr>
      <w:numPr>
        <w:numId w:val="1"/>
      </w:numPr>
      <w:spacing w:after="240"/>
    </w:pPr>
  </w:style>
  <w:style w:type="character" w:customStyle="1" w:styleId="NormalBoldChar">
    <w:name w:val="Normal Bold Char"/>
    <w:link w:val="NormalBold"/>
    <w:rsid w:val="00E46EEC"/>
    <w:rPr>
      <w:rFonts w:ascii="Arial" w:hAnsi="Arial"/>
      <w:b/>
      <w:sz w:val="24"/>
      <w:szCs w:val="24"/>
      <w:lang w:val="en-GB" w:eastAsia="en-GB" w:bidi="ar-SA"/>
    </w:rPr>
  </w:style>
  <w:style w:type="paragraph" w:customStyle="1" w:styleId="SOPContentsList">
    <w:name w:val="SOP Contents List"/>
    <w:basedOn w:val="List"/>
    <w:autoRedefine/>
    <w:rsid w:val="00DB38A0"/>
    <w:pPr>
      <w:numPr>
        <w:numId w:val="2"/>
      </w:numPr>
      <w:tabs>
        <w:tab w:val="clear" w:pos="930"/>
      </w:tabs>
      <w:spacing w:after="240"/>
      <w:ind w:left="567"/>
    </w:pPr>
  </w:style>
  <w:style w:type="paragraph" w:styleId="Caption">
    <w:name w:val="caption"/>
    <w:basedOn w:val="Normal"/>
    <w:next w:val="Normal"/>
    <w:qFormat/>
    <w:locked/>
    <w:pPr>
      <w:jc w:val="right"/>
    </w:pPr>
    <w:rPr>
      <w:b/>
      <w:u w:val="single"/>
    </w:rPr>
  </w:style>
  <w:style w:type="paragraph" w:styleId="BalloonText">
    <w:name w:val="Balloon Text"/>
    <w:basedOn w:val="Normal"/>
    <w:semiHidden/>
    <w:locked/>
    <w:rPr>
      <w:rFonts w:ascii="Tahoma" w:hAnsi="Tahoma" w:cs="Tahoma"/>
      <w:sz w:val="16"/>
      <w:szCs w:val="16"/>
    </w:rPr>
  </w:style>
  <w:style w:type="paragraph" w:styleId="TOC1">
    <w:name w:val="toc 1"/>
    <w:basedOn w:val="Normal"/>
    <w:next w:val="Normal"/>
    <w:autoRedefine/>
    <w:semiHidden/>
    <w:locked/>
    <w:rsid w:val="000A6A76"/>
    <w:rPr>
      <w:lang w:eastAsia="en-US"/>
    </w:rPr>
  </w:style>
  <w:style w:type="character" w:styleId="Hyperlink">
    <w:name w:val="Hyperlink"/>
    <w:rsid w:val="00B4484D"/>
    <w:rPr>
      <w:rFonts w:ascii="Arial" w:hAnsi="Arial"/>
      <w:strike w:val="0"/>
      <w:dstrike w:val="0"/>
      <w:color w:val="0000FF"/>
      <w:sz w:val="24"/>
      <w:u w:val="none"/>
      <w:effect w:val="none"/>
    </w:rPr>
  </w:style>
  <w:style w:type="paragraph" w:customStyle="1" w:styleId="AppendixHeading">
    <w:name w:val="Appendix Heading"/>
    <w:basedOn w:val="Heading3"/>
    <w:link w:val="AppendixHeadingChar"/>
    <w:rsid w:val="00877549"/>
    <w:rPr>
      <w:b w:val="0"/>
    </w:rPr>
  </w:style>
  <w:style w:type="paragraph" w:styleId="List">
    <w:name w:val="List"/>
    <w:basedOn w:val="Normal"/>
    <w:locked/>
    <w:rsid w:val="00DB38A0"/>
    <w:pPr>
      <w:ind w:left="283" w:hanging="283"/>
    </w:pPr>
  </w:style>
  <w:style w:type="paragraph" w:styleId="DocumentMap">
    <w:name w:val="Document Map"/>
    <w:basedOn w:val="Normal"/>
    <w:semiHidden/>
    <w:rsid w:val="00BB270A"/>
    <w:pPr>
      <w:shd w:val="clear" w:color="auto" w:fill="000080"/>
    </w:pPr>
    <w:rPr>
      <w:rFonts w:ascii="Tahoma" w:hAnsi="Tahoma" w:cs="Tahoma"/>
      <w:sz w:val="20"/>
      <w:szCs w:val="20"/>
    </w:rPr>
  </w:style>
  <w:style w:type="character" w:customStyle="1" w:styleId="ParagraphContentChar">
    <w:name w:val="Paragraph Content Char"/>
    <w:link w:val="ParagraphContent"/>
    <w:rsid w:val="009D4631"/>
    <w:rPr>
      <w:rFonts w:ascii="Arial" w:hAnsi="Arial"/>
      <w:sz w:val="24"/>
      <w:szCs w:val="24"/>
      <w:lang w:val="en-GB" w:eastAsia="en-GB" w:bidi="ar-SA"/>
    </w:rPr>
  </w:style>
  <w:style w:type="character" w:styleId="CommentReference">
    <w:name w:val="annotation reference"/>
    <w:semiHidden/>
    <w:locked/>
    <w:rsid w:val="00F06F46"/>
    <w:rPr>
      <w:sz w:val="16"/>
      <w:szCs w:val="16"/>
    </w:rPr>
  </w:style>
  <w:style w:type="paragraph" w:styleId="CommentText">
    <w:name w:val="annotation text"/>
    <w:basedOn w:val="Normal"/>
    <w:semiHidden/>
    <w:locked/>
    <w:rsid w:val="00F06F46"/>
    <w:rPr>
      <w:sz w:val="20"/>
      <w:szCs w:val="20"/>
    </w:rPr>
  </w:style>
  <w:style w:type="paragraph" w:styleId="CommentSubject">
    <w:name w:val="annotation subject"/>
    <w:basedOn w:val="CommentText"/>
    <w:next w:val="CommentText"/>
    <w:semiHidden/>
    <w:locked/>
    <w:rsid w:val="00F06F46"/>
    <w:rPr>
      <w:b/>
      <w:bCs/>
    </w:rPr>
  </w:style>
  <w:style w:type="paragraph" w:customStyle="1" w:styleId="GPMS">
    <w:name w:val="GPMS"/>
    <w:basedOn w:val="Footer"/>
    <w:link w:val="GPMSChar"/>
    <w:autoRedefine/>
    <w:rsid w:val="00B939C1"/>
    <w:pPr>
      <w:jc w:val="center"/>
    </w:pPr>
    <w:rPr>
      <w:rFonts w:ascii="Arial Black" w:hAnsi="Arial Black"/>
      <w:sz w:val="24"/>
    </w:rPr>
  </w:style>
  <w:style w:type="character" w:customStyle="1" w:styleId="GPMSChar">
    <w:name w:val="GPMS Char"/>
    <w:link w:val="GPMS"/>
    <w:rsid w:val="00B939C1"/>
    <w:rPr>
      <w:rFonts w:ascii="Arial Black" w:hAnsi="Arial Black"/>
      <w:sz w:val="24"/>
      <w:szCs w:val="24"/>
      <w:lang w:val="en-GB" w:eastAsia="en-GB" w:bidi="ar-SA"/>
    </w:rPr>
  </w:style>
  <w:style w:type="paragraph" w:customStyle="1" w:styleId="TableTitle">
    <w:name w:val="Table Title"/>
    <w:basedOn w:val="Normal"/>
    <w:rsid w:val="005B0FFC"/>
    <w:pPr>
      <w:spacing w:after="240"/>
      <w:jc w:val="center"/>
    </w:pPr>
    <w:rPr>
      <w:b/>
    </w:rPr>
  </w:style>
  <w:style w:type="paragraph" w:customStyle="1" w:styleId="ParagraphContent">
    <w:name w:val="Paragraph Content"/>
    <w:basedOn w:val="Normal"/>
    <w:link w:val="ParagraphContentChar"/>
    <w:rsid w:val="00195790"/>
    <w:pPr>
      <w:spacing w:after="240"/>
    </w:pPr>
  </w:style>
  <w:style w:type="character" w:customStyle="1" w:styleId="TitleChar">
    <w:name w:val="Title Char"/>
    <w:link w:val="Title"/>
    <w:rsid w:val="00EE2E23"/>
    <w:rPr>
      <w:rFonts w:ascii="Arial" w:hAnsi="Arial"/>
      <w:b/>
      <w:sz w:val="32"/>
      <w:lang w:val="en-GB" w:eastAsia="en-GB" w:bidi="ar-SA"/>
    </w:rPr>
  </w:style>
  <w:style w:type="character" w:customStyle="1" w:styleId="Heading1Char">
    <w:name w:val="Heading 1 Char"/>
    <w:link w:val="Heading1"/>
    <w:rsid w:val="00831B4C"/>
    <w:rPr>
      <w:rFonts w:ascii="Arial" w:hAnsi="Arial"/>
      <w:b/>
      <w:sz w:val="28"/>
      <w:szCs w:val="28"/>
    </w:rPr>
  </w:style>
  <w:style w:type="character" w:customStyle="1" w:styleId="Heading2Char">
    <w:name w:val="Heading 2 Char"/>
    <w:link w:val="Heading2"/>
    <w:rsid w:val="00047094"/>
    <w:rPr>
      <w:rFonts w:ascii="Arial" w:hAnsi="Arial"/>
      <w:b/>
      <w:sz w:val="24"/>
      <w:szCs w:val="28"/>
    </w:rPr>
  </w:style>
  <w:style w:type="character" w:customStyle="1" w:styleId="Heading3Char">
    <w:name w:val="Heading 3 Char"/>
    <w:link w:val="Heading3"/>
    <w:rsid w:val="00B55B65"/>
    <w:rPr>
      <w:rFonts w:ascii="Arial" w:hAnsi="Arial"/>
      <w:b/>
      <w:sz w:val="28"/>
    </w:rPr>
  </w:style>
  <w:style w:type="character" w:customStyle="1" w:styleId="AppendixHeadingChar">
    <w:name w:val="Appendix Heading Char"/>
    <w:link w:val="AppendixHeading"/>
    <w:rsid w:val="00877549"/>
    <w:rPr>
      <w:rFonts w:ascii="Arial" w:hAnsi="Arial"/>
      <w:b/>
      <w:sz w:val="28"/>
    </w:rPr>
  </w:style>
  <w:style w:type="paragraph" w:styleId="ListParagraph">
    <w:name w:val="List Paragraph"/>
    <w:basedOn w:val="Normal"/>
    <w:qFormat/>
    <w:rsid w:val="00877549"/>
    <w:pPr>
      <w:ind w:left="720"/>
    </w:pPr>
  </w:style>
  <w:style w:type="table" w:styleId="TableGrid">
    <w:name w:val="Table Grid"/>
    <w:basedOn w:val="TableNormal"/>
    <w:locked/>
    <w:rsid w:val="0073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rsid w:val="00337832"/>
  </w:style>
  <w:style w:type="character" w:customStyle="1" w:styleId="legdslegrhslegp3text">
    <w:name w:val="legds legrhs legp3text"/>
    <w:rsid w:val="00337832"/>
  </w:style>
  <w:style w:type="character" w:styleId="FollowedHyperlink">
    <w:name w:val="FollowedHyperlink"/>
    <w:rsid w:val="00754B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830812">
      <w:bodyDiv w:val="1"/>
      <w:marLeft w:val="0"/>
      <w:marRight w:val="0"/>
      <w:marTop w:val="0"/>
      <w:marBottom w:val="0"/>
      <w:divBdr>
        <w:top w:val="none" w:sz="0" w:space="0" w:color="auto"/>
        <w:left w:val="none" w:sz="0" w:space="0" w:color="auto"/>
        <w:bottom w:val="none" w:sz="0" w:space="0" w:color="auto"/>
        <w:right w:val="none" w:sz="0" w:space="0" w:color="auto"/>
      </w:divBdr>
      <w:divsChild>
        <w:div w:id="811561339">
          <w:marLeft w:val="0"/>
          <w:marRight w:val="0"/>
          <w:marTop w:val="0"/>
          <w:marBottom w:val="0"/>
          <w:divBdr>
            <w:top w:val="none" w:sz="0" w:space="0" w:color="auto"/>
            <w:left w:val="none" w:sz="0" w:space="0" w:color="auto"/>
            <w:bottom w:val="none" w:sz="0" w:space="0" w:color="auto"/>
            <w:right w:val="none" w:sz="0" w:space="0" w:color="auto"/>
          </w:divBdr>
          <w:divsChild>
            <w:div w:id="190850362">
              <w:marLeft w:val="-3075"/>
              <w:marRight w:val="0"/>
              <w:marTop w:val="0"/>
              <w:marBottom w:val="0"/>
              <w:divBdr>
                <w:top w:val="none" w:sz="0" w:space="0" w:color="auto"/>
                <w:left w:val="none" w:sz="0" w:space="0" w:color="auto"/>
                <w:bottom w:val="none" w:sz="0" w:space="0" w:color="auto"/>
                <w:right w:val="none" w:sz="0" w:space="0" w:color="auto"/>
              </w:divBdr>
              <w:divsChild>
                <w:div w:id="675690780">
                  <w:marLeft w:val="3075"/>
                  <w:marRight w:val="0"/>
                  <w:marTop w:val="0"/>
                  <w:marBottom w:val="0"/>
                  <w:divBdr>
                    <w:top w:val="none" w:sz="0" w:space="0" w:color="auto"/>
                    <w:left w:val="none" w:sz="0" w:space="0" w:color="auto"/>
                    <w:bottom w:val="none" w:sz="0" w:space="0" w:color="auto"/>
                    <w:right w:val="none" w:sz="0" w:space="0" w:color="auto"/>
                  </w:divBdr>
                  <w:divsChild>
                    <w:div w:id="516315563">
                      <w:marLeft w:val="0"/>
                      <w:marRight w:val="0"/>
                      <w:marTop w:val="0"/>
                      <w:marBottom w:val="0"/>
                      <w:divBdr>
                        <w:top w:val="none" w:sz="0" w:space="0" w:color="auto"/>
                        <w:left w:val="none" w:sz="0" w:space="0" w:color="auto"/>
                        <w:bottom w:val="none" w:sz="0" w:space="0" w:color="auto"/>
                        <w:right w:val="none" w:sz="0" w:space="0" w:color="auto"/>
                      </w:divBdr>
                      <w:divsChild>
                        <w:div w:id="1417436477">
                          <w:marLeft w:val="-2550"/>
                          <w:marRight w:val="0"/>
                          <w:marTop w:val="0"/>
                          <w:marBottom w:val="0"/>
                          <w:divBdr>
                            <w:top w:val="none" w:sz="0" w:space="0" w:color="auto"/>
                            <w:left w:val="none" w:sz="0" w:space="0" w:color="auto"/>
                            <w:bottom w:val="none" w:sz="0" w:space="0" w:color="auto"/>
                            <w:right w:val="none" w:sz="0" w:space="0" w:color="auto"/>
                          </w:divBdr>
                          <w:divsChild>
                            <w:div w:id="1454985347">
                              <w:marLeft w:val="2550"/>
                              <w:marRight w:val="0"/>
                              <w:marTop w:val="0"/>
                              <w:marBottom w:val="0"/>
                              <w:divBdr>
                                <w:top w:val="none" w:sz="0" w:space="0" w:color="auto"/>
                                <w:left w:val="none" w:sz="0" w:space="0" w:color="auto"/>
                                <w:bottom w:val="none" w:sz="0" w:space="0" w:color="auto"/>
                                <w:right w:val="none" w:sz="0" w:space="0" w:color="auto"/>
                              </w:divBdr>
                              <w:divsChild>
                                <w:div w:id="497501374">
                                  <w:marLeft w:val="3150"/>
                                  <w:marRight w:val="0"/>
                                  <w:marTop w:val="0"/>
                                  <w:marBottom w:val="0"/>
                                  <w:divBdr>
                                    <w:top w:val="none" w:sz="0" w:space="0" w:color="auto"/>
                                    <w:left w:val="none" w:sz="0" w:space="0" w:color="auto"/>
                                    <w:bottom w:val="none" w:sz="0" w:space="0" w:color="auto"/>
                                    <w:right w:val="none" w:sz="0" w:space="0" w:color="auto"/>
                                  </w:divBdr>
                                  <w:divsChild>
                                    <w:div w:id="1474902955">
                                      <w:marLeft w:val="0"/>
                                      <w:marRight w:val="0"/>
                                      <w:marTop w:val="0"/>
                                      <w:marBottom w:val="0"/>
                                      <w:divBdr>
                                        <w:top w:val="none" w:sz="0" w:space="0" w:color="auto"/>
                                        <w:left w:val="none" w:sz="0" w:space="0" w:color="auto"/>
                                        <w:bottom w:val="none" w:sz="0" w:space="0" w:color="auto"/>
                                        <w:right w:val="none" w:sz="0" w:space="0" w:color="auto"/>
                                      </w:divBdr>
                                      <w:divsChild>
                                        <w:div w:id="1125806017">
                                          <w:marLeft w:val="0"/>
                                          <w:marRight w:val="0"/>
                                          <w:marTop w:val="0"/>
                                          <w:marBottom w:val="0"/>
                                          <w:divBdr>
                                            <w:top w:val="none" w:sz="0" w:space="0" w:color="auto"/>
                                            <w:left w:val="none" w:sz="0" w:space="0" w:color="auto"/>
                                            <w:bottom w:val="none" w:sz="0" w:space="0" w:color="auto"/>
                                            <w:right w:val="none" w:sz="0" w:space="0" w:color="auto"/>
                                          </w:divBdr>
                                        </w:div>
                                        <w:div w:id="18500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661512">
      <w:bodyDiv w:val="1"/>
      <w:marLeft w:val="165"/>
      <w:marRight w:val="0"/>
      <w:marTop w:val="165"/>
      <w:marBottom w:val="0"/>
      <w:divBdr>
        <w:top w:val="none" w:sz="0" w:space="0" w:color="auto"/>
        <w:left w:val="none" w:sz="0" w:space="0" w:color="auto"/>
        <w:bottom w:val="none" w:sz="0" w:space="0" w:color="auto"/>
        <w:right w:val="none" w:sz="0" w:space="0" w:color="auto"/>
      </w:divBdr>
      <w:divsChild>
        <w:div w:id="1449079016">
          <w:marLeft w:val="0"/>
          <w:marRight w:val="0"/>
          <w:marTop w:val="0"/>
          <w:marBottom w:val="0"/>
          <w:divBdr>
            <w:top w:val="none" w:sz="0" w:space="0" w:color="auto"/>
            <w:left w:val="none" w:sz="0" w:space="0" w:color="auto"/>
            <w:bottom w:val="none" w:sz="0" w:space="0" w:color="auto"/>
            <w:right w:val="none" w:sz="0" w:space="0" w:color="auto"/>
          </w:divBdr>
          <w:divsChild>
            <w:div w:id="1148521011">
              <w:marLeft w:val="2655"/>
              <w:marRight w:val="0"/>
              <w:marTop w:val="0"/>
              <w:marBottom w:val="0"/>
              <w:divBdr>
                <w:top w:val="none" w:sz="0" w:space="0" w:color="auto"/>
                <w:left w:val="none" w:sz="0" w:space="0" w:color="auto"/>
                <w:bottom w:val="none" w:sz="0" w:space="0" w:color="auto"/>
                <w:right w:val="none" w:sz="0" w:space="0" w:color="auto"/>
              </w:divBdr>
              <w:divsChild>
                <w:div w:id="1885755930">
                  <w:marLeft w:val="0"/>
                  <w:marRight w:val="0"/>
                  <w:marTop w:val="0"/>
                  <w:marBottom w:val="0"/>
                  <w:divBdr>
                    <w:top w:val="none" w:sz="0" w:space="0" w:color="auto"/>
                    <w:left w:val="none" w:sz="0" w:space="0" w:color="auto"/>
                    <w:bottom w:val="none" w:sz="0" w:space="0" w:color="auto"/>
                    <w:right w:val="none" w:sz="0" w:space="0" w:color="auto"/>
                  </w:divBdr>
                  <w:divsChild>
                    <w:div w:id="1838302846">
                      <w:marLeft w:val="30"/>
                      <w:marRight w:val="3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 w:id="18756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90796\Desktop\20150214%20PSoS%20SOP%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Stage>
  </documentManagement>
</p:properties>
</file>

<file path=customXml/itemProps1.xml><?xml version="1.0" encoding="utf-8"?>
<ds:datastoreItem xmlns:ds="http://schemas.openxmlformats.org/officeDocument/2006/customXml" ds:itemID="{F3A0067B-D992-4CBA-B35B-F4B20743D5D2}">
  <ds:schemaRefs>
    <ds:schemaRef ds:uri="http://schemas.openxmlformats.org/officeDocument/2006/bibliography"/>
  </ds:schemaRefs>
</ds:datastoreItem>
</file>

<file path=customXml/itemProps2.xml><?xml version="1.0" encoding="utf-8"?>
<ds:datastoreItem xmlns:ds="http://schemas.openxmlformats.org/officeDocument/2006/customXml" ds:itemID="{83F9D2A9-4E46-48E8-8FA8-6488BAAB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5C6AB-DDB8-46A9-97DD-32ADA08682B8}">
  <ds:schemaRefs>
    <ds:schemaRef ds:uri="http://schemas.microsoft.com/sharepoint/v3/contenttype/forms"/>
  </ds:schemaRefs>
</ds:datastoreItem>
</file>

<file path=customXml/itemProps4.xml><?xml version="1.0" encoding="utf-8"?>
<ds:datastoreItem xmlns:ds="http://schemas.openxmlformats.org/officeDocument/2006/customXml" ds:itemID="{4F45D402-AEDA-4D33-B18D-7E91A6DD0BE8}">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6e9042f4-8f64-418e-97f9-34ec26e4f72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20150214 PSoS SOP Template draft</Template>
  <TotalTime>1</TotalTime>
  <Pages>11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Standard Operating Procedure (SOP) Review Template</vt:lpstr>
    </vt:vector>
  </TitlesOfParts>
  <Company>Strathclyde Police</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 Review Template</dc:title>
  <dc:subject/>
  <dc:creator>290796</dc:creator>
  <cp:keywords/>
  <dc:description/>
  <cp:lastModifiedBy>Watson, Dave-4</cp:lastModifiedBy>
  <cp:revision>2</cp:revision>
  <cp:lastPrinted>2020-12-17T08:53:00Z</cp:lastPrinted>
  <dcterms:created xsi:type="dcterms:W3CDTF">2025-05-27T09:17:00Z</dcterms:created>
  <dcterms:modified xsi:type="dcterms:W3CDTF">2025-05-27T09:17:00Z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SPNET\1930338</vt:lpwstr>
  </property>
  <property fmtid="{D5CDD505-2E9C-101B-9397-08002B2CF9AE}" pid="5" name="ClassificationMadeExternally">
    <vt:lpwstr>Yes</vt:lpwstr>
  </property>
  <property fmtid="{D5CDD505-2E9C-101B-9397-08002B2CF9AE}" pid="6" name="ClassificationMadeOn">
    <vt:filetime>2025-05-27T09:16:59Z</vt:filetime>
  </property>
</Properties>
</file>