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6A7D94C" w:rsidR="00B17211" w:rsidRPr="00B17211" w:rsidRDefault="00B17211" w:rsidP="007F490F">
            <w:r w:rsidRPr="007F490F">
              <w:rPr>
                <w:rStyle w:val="Heading2Char"/>
              </w:rPr>
              <w:t>Our reference:</w:t>
            </w:r>
            <w:r>
              <w:t xml:space="preserve">  FOI 2</w:t>
            </w:r>
            <w:r w:rsidR="00EF0FBB">
              <w:t>5</w:t>
            </w:r>
            <w:r>
              <w:t>-</w:t>
            </w:r>
            <w:r w:rsidR="003F02EC">
              <w:t>3141</w:t>
            </w:r>
          </w:p>
          <w:p w14:paraId="34BDABA6" w14:textId="5D369B95" w:rsidR="00B17211" w:rsidRDefault="00456324" w:rsidP="00EE2373">
            <w:r w:rsidRPr="007F490F">
              <w:rPr>
                <w:rStyle w:val="Heading2Char"/>
              </w:rPr>
              <w:t>Respon</w:t>
            </w:r>
            <w:r w:rsidR="007D55F6">
              <w:rPr>
                <w:rStyle w:val="Heading2Char"/>
              </w:rPr>
              <w:t>ded to:</w:t>
            </w:r>
            <w:r w:rsidR="007F490F">
              <w:t xml:space="preserve">  </w:t>
            </w:r>
            <w:r w:rsidR="00BC25A7">
              <w:t>23</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A807BEC" w14:textId="4A56BAC9" w:rsidR="003F02EC" w:rsidRPr="003F02EC" w:rsidRDefault="003F02EC" w:rsidP="003F02EC">
      <w:pPr>
        <w:tabs>
          <w:tab w:val="left" w:pos="5400"/>
        </w:tabs>
        <w:rPr>
          <w:rFonts w:eastAsiaTheme="majorEastAsia" w:cstheme="majorBidi"/>
          <w:b/>
          <w:color w:val="000000" w:themeColor="text1"/>
          <w:szCs w:val="26"/>
        </w:rPr>
      </w:pPr>
      <w:r w:rsidRPr="003F02EC">
        <w:rPr>
          <w:rFonts w:eastAsiaTheme="majorEastAsia" w:cstheme="majorBidi"/>
          <w:b/>
          <w:color w:val="000000" w:themeColor="text1"/>
          <w:szCs w:val="26"/>
        </w:rPr>
        <w:t xml:space="preserve">According to previously disclosed figures, in the reporting year </w:t>
      </w:r>
      <w:r w:rsidRPr="003F02EC">
        <w:rPr>
          <w:rFonts w:eastAsiaTheme="majorEastAsia" w:cstheme="majorBidi"/>
          <w:b/>
          <w:bCs/>
          <w:color w:val="000000" w:themeColor="text1"/>
          <w:szCs w:val="26"/>
        </w:rPr>
        <w:t>2019/2020</w:t>
      </w:r>
      <w:r w:rsidRPr="003F02EC">
        <w:rPr>
          <w:rFonts w:eastAsiaTheme="majorEastAsia" w:cstheme="majorBidi"/>
          <w:b/>
          <w:color w:val="000000" w:themeColor="text1"/>
          <w:szCs w:val="26"/>
        </w:rPr>
        <w:t xml:space="preserve">, there were </w:t>
      </w:r>
      <w:r w:rsidRPr="003F02EC">
        <w:rPr>
          <w:rFonts w:eastAsiaTheme="majorEastAsia" w:cstheme="majorBidi"/>
          <w:b/>
          <w:bCs/>
          <w:color w:val="000000" w:themeColor="text1"/>
          <w:szCs w:val="26"/>
        </w:rPr>
        <w:t>51 Prevent referrals which were assessed as not suitable for Prevent Case Management (PCM)</w:t>
      </w:r>
      <w:r w:rsidRPr="003F02EC">
        <w:rPr>
          <w:rFonts w:eastAsiaTheme="majorEastAsia" w:cstheme="majorBidi"/>
          <w:b/>
          <w:color w:val="000000" w:themeColor="text1"/>
          <w:szCs w:val="26"/>
        </w:rPr>
        <w:t>.</w:t>
      </w:r>
      <w:r w:rsidR="007B37ED">
        <w:rPr>
          <w:rFonts w:eastAsiaTheme="majorEastAsia" w:cstheme="majorBidi"/>
          <w:b/>
          <w:color w:val="000000" w:themeColor="text1"/>
          <w:szCs w:val="26"/>
        </w:rPr>
        <w:t xml:space="preserve">  </w:t>
      </w:r>
      <w:r w:rsidRPr="003F02EC">
        <w:rPr>
          <w:rFonts w:eastAsiaTheme="majorEastAsia" w:cstheme="majorBidi"/>
          <w:b/>
          <w:color w:val="000000" w:themeColor="text1"/>
          <w:szCs w:val="26"/>
        </w:rPr>
        <w:t>For that year, could you please confirm:</w:t>
      </w:r>
    </w:p>
    <w:p w14:paraId="5E1F0DE9" w14:textId="77777777" w:rsidR="003F02EC" w:rsidRPr="003F02EC" w:rsidRDefault="003F02EC" w:rsidP="003F02EC">
      <w:pPr>
        <w:numPr>
          <w:ilvl w:val="0"/>
          <w:numId w:val="2"/>
        </w:numPr>
        <w:tabs>
          <w:tab w:val="left" w:pos="5400"/>
        </w:tabs>
        <w:rPr>
          <w:rFonts w:eastAsiaTheme="majorEastAsia" w:cstheme="majorBidi"/>
          <w:b/>
          <w:color w:val="000000" w:themeColor="text1"/>
          <w:szCs w:val="26"/>
        </w:rPr>
      </w:pPr>
      <w:r w:rsidRPr="003F02EC">
        <w:rPr>
          <w:rFonts w:eastAsiaTheme="majorEastAsia" w:cstheme="majorBidi"/>
          <w:b/>
          <w:bCs/>
          <w:color w:val="000000" w:themeColor="text1"/>
          <w:szCs w:val="26"/>
        </w:rPr>
        <w:t xml:space="preserve">How many of these 51 cases were </w:t>
      </w:r>
      <w:r w:rsidRPr="003F02EC">
        <w:rPr>
          <w:rFonts w:eastAsiaTheme="majorEastAsia" w:cstheme="majorBidi"/>
          <w:b/>
          <w:bCs/>
          <w:i/>
          <w:iCs/>
          <w:color w:val="000000" w:themeColor="text1"/>
          <w:szCs w:val="26"/>
        </w:rPr>
        <w:t xml:space="preserve">referred onwards </w:t>
      </w:r>
      <w:r w:rsidRPr="003F02EC">
        <w:rPr>
          <w:rFonts w:eastAsiaTheme="majorEastAsia" w:cstheme="majorBidi"/>
          <w:b/>
          <w:bCs/>
          <w:color w:val="000000" w:themeColor="text1"/>
          <w:szCs w:val="26"/>
        </w:rPr>
        <w:t xml:space="preserve">and how many were </w:t>
      </w:r>
      <w:r w:rsidRPr="003F02EC">
        <w:rPr>
          <w:rFonts w:eastAsiaTheme="majorEastAsia" w:cstheme="majorBidi"/>
          <w:b/>
          <w:bCs/>
          <w:i/>
          <w:iCs/>
          <w:color w:val="000000" w:themeColor="text1"/>
          <w:szCs w:val="26"/>
        </w:rPr>
        <w:t>closed with no further action</w:t>
      </w:r>
      <w:r w:rsidRPr="003F02EC">
        <w:rPr>
          <w:rFonts w:eastAsiaTheme="majorEastAsia" w:cstheme="majorBidi"/>
          <w:b/>
          <w:bCs/>
          <w:color w:val="000000" w:themeColor="text1"/>
          <w:szCs w:val="26"/>
        </w:rPr>
        <w:t>?</w:t>
      </w:r>
    </w:p>
    <w:p w14:paraId="6865832D" w14:textId="77777777" w:rsidR="003F02EC" w:rsidRPr="003F02EC" w:rsidRDefault="003F02EC" w:rsidP="003F02EC">
      <w:pPr>
        <w:tabs>
          <w:tab w:val="left" w:pos="5400"/>
        </w:tabs>
        <w:rPr>
          <w:rFonts w:eastAsiaTheme="majorEastAsia" w:cstheme="majorBidi"/>
          <w:b/>
          <w:color w:val="000000" w:themeColor="text1"/>
          <w:szCs w:val="26"/>
        </w:rPr>
      </w:pPr>
      <w:r w:rsidRPr="003F02EC">
        <w:rPr>
          <w:rFonts w:eastAsiaTheme="majorEastAsia" w:cstheme="majorBidi"/>
          <w:b/>
          <w:color w:val="000000" w:themeColor="text1"/>
          <w:szCs w:val="26"/>
        </w:rPr>
        <w:t>I note that more recent disclosures include this breakdown, but the equivalent data for 2019/2020 has not been published.</w:t>
      </w:r>
    </w:p>
    <w:p w14:paraId="3A9FF6D5" w14:textId="5989A9FB" w:rsidR="003F02EC" w:rsidRDefault="003F02EC" w:rsidP="003F02EC">
      <w:pPr>
        <w:tabs>
          <w:tab w:val="left" w:pos="5400"/>
        </w:tabs>
      </w:pPr>
      <w:r>
        <w:t>In respect of the above I can confirm that of the 51 cases assessed as not suitable for Prevent case management in the period of April 2019 to end March 2020, the following outcomes have been recorded:</w:t>
      </w:r>
    </w:p>
    <w:p w14:paraId="56B1EF9B" w14:textId="77777777" w:rsidR="003F02EC" w:rsidRDefault="003F02EC" w:rsidP="003F02EC">
      <w:pPr>
        <w:pStyle w:val="ListParagraph"/>
        <w:numPr>
          <w:ilvl w:val="0"/>
          <w:numId w:val="3"/>
        </w:numPr>
        <w:tabs>
          <w:tab w:val="left" w:pos="5400"/>
        </w:tabs>
      </w:pPr>
      <w:r>
        <w:t>30 Cases were subject to onward referral to partners</w:t>
      </w:r>
    </w:p>
    <w:p w14:paraId="34BDABBD" w14:textId="00E97A26" w:rsidR="00BF6B81" w:rsidRDefault="003F02EC" w:rsidP="003F02EC">
      <w:pPr>
        <w:pStyle w:val="ListParagraph"/>
        <w:numPr>
          <w:ilvl w:val="0"/>
          <w:numId w:val="3"/>
        </w:numPr>
        <w:tabs>
          <w:tab w:val="left" w:pos="5400"/>
        </w:tabs>
      </w:pPr>
      <w:r>
        <w:t>21 Cases required No Further Action</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4" w14:textId="5176E270"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B7E3BD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25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EAABD8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25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BABC2A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25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0C4827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25A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B4FF70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25A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2D3388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25A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5DDE"/>
    <w:multiLevelType w:val="multilevel"/>
    <w:tmpl w:val="BE5094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4F72F4F"/>
    <w:multiLevelType w:val="hybridMultilevel"/>
    <w:tmpl w:val="345AB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35546117">
    <w:abstractNumId w:val="0"/>
  </w:num>
  <w:num w:numId="3" w16cid:durableId="1562443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0963"/>
    <w:rsid w:val="00090F3B"/>
    <w:rsid w:val="00092F07"/>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3F02EC"/>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B37ED"/>
    <w:rsid w:val="007D55F6"/>
    <w:rsid w:val="007F490F"/>
    <w:rsid w:val="0086779C"/>
    <w:rsid w:val="00874BFD"/>
    <w:rsid w:val="008964EF"/>
    <w:rsid w:val="008E7EF3"/>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25A7"/>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256761">
      <w:bodyDiv w:val="1"/>
      <w:marLeft w:val="0"/>
      <w:marRight w:val="0"/>
      <w:marTop w:val="0"/>
      <w:marBottom w:val="0"/>
      <w:divBdr>
        <w:top w:val="none" w:sz="0" w:space="0" w:color="auto"/>
        <w:left w:val="none" w:sz="0" w:space="0" w:color="auto"/>
        <w:bottom w:val="none" w:sz="0" w:space="0" w:color="auto"/>
        <w:right w:val="none" w:sz="0" w:space="0" w:color="auto"/>
      </w:divBdr>
    </w:div>
    <w:div w:id="144160388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1762</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2025-10-23T11:52:00Z</dcterms:created>
  <dcterms:modified xsi:type="dcterms:W3CDTF">2025-10-23T11:52:00Z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