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557C2F8" w14:textId="77777777" w:rsidTr="00540A52">
        <w:trPr>
          <w:trHeight w:val="2552"/>
          <w:tblHeader/>
        </w:trPr>
        <w:tc>
          <w:tcPr>
            <w:tcW w:w="2269" w:type="dxa"/>
          </w:tcPr>
          <w:p w14:paraId="0557C2F3" w14:textId="77777777" w:rsidR="00B17211" w:rsidRDefault="007F490F" w:rsidP="00540A52">
            <w:pPr>
              <w:pStyle w:val="Heading1"/>
              <w:spacing w:before="0" w:after="0" w:line="240" w:lineRule="auto"/>
            </w:pPr>
            <w:r>
              <w:rPr>
                <w:noProof/>
                <w:lang w:eastAsia="en-GB"/>
              </w:rPr>
              <w:drawing>
                <wp:inline distT="0" distB="0" distL="0" distR="0" wp14:anchorId="0557C36B" wp14:editId="0557C36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557C2F4" w14:textId="77777777" w:rsidR="00456324" w:rsidRPr="00456324" w:rsidRDefault="00456324" w:rsidP="00B17211">
            <w:pPr>
              <w:pStyle w:val="Heading1"/>
              <w:spacing w:before="120"/>
              <w:rPr>
                <w:sz w:val="4"/>
              </w:rPr>
            </w:pPr>
          </w:p>
          <w:p w14:paraId="0557C2F5" w14:textId="77777777" w:rsidR="00B17211" w:rsidRDefault="007F490F" w:rsidP="00B17211">
            <w:pPr>
              <w:pStyle w:val="Heading1"/>
              <w:spacing w:before="120"/>
            </w:pPr>
            <w:r>
              <w:t>F</w:t>
            </w:r>
            <w:r w:rsidRPr="003E12CA">
              <w:t xml:space="preserve">reedom of Information </w:t>
            </w:r>
            <w:r>
              <w:t>Response</w:t>
            </w:r>
          </w:p>
          <w:p w14:paraId="0557C2F6" w14:textId="77777777" w:rsidR="00B17211" w:rsidRPr="00B17211" w:rsidRDefault="00B17211" w:rsidP="007F490F">
            <w:r w:rsidRPr="007F490F">
              <w:rPr>
                <w:rStyle w:val="Heading2Char"/>
              </w:rPr>
              <w:t>Our reference:</w:t>
            </w:r>
            <w:r>
              <w:t xml:space="preserve">  FOI 2</w:t>
            </w:r>
            <w:r w:rsidR="00AC443C">
              <w:t>3</w:t>
            </w:r>
            <w:r>
              <w:t>-</w:t>
            </w:r>
            <w:r w:rsidR="00BF5513">
              <w:t>0367</w:t>
            </w:r>
          </w:p>
          <w:p w14:paraId="0557C2F7" w14:textId="77777777" w:rsidR="00B17211" w:rsidRDefault="00456324" w:rsidP="00BF5513">
            <w:r w:rsidRPr="007F490F">
              <w:rPr>
                <w:rStyle w:val="Heading2Char"/>
              </w:rPr>
              <w:t>Respon</w:t>
            </w:r>
            <w:r w:rsidR="007D55F6">
              <w:rPr>
                <w:rStyle w:val="Heading2Char"/>
              </w:rPr>
              <w:t>ded to:</w:t>
            </w:r>
            <w:r w:rsidR="007F490F">
              <w:t xml:space="preserve">  </w:t>
            </w:r>
            <w:r w:rsidR="00BF5513">
              <w:t>03</w:t>
            </w:r>
            <w:r w:rsidR="006D5799">
              <w:t xml:space="preserve"> </w:t>
            </w:r>
            <w:r w:rsidR="00BE1888">
              <w:t>March</w:t>
            </w:r>
            <w:r>
              <w:t xml:space="preserve"> 2023</w:t>
            </w:r>
          </w:p>
        </w:tc>
      </w:tr>
    </w:tbl>
    <w:p w14:paraId="0557C2F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57C2FA" w14:textId="77777777" w:rsidR="00BF5513" w:rsidRDefault="00BF5513" w:rsidP="00BF5513">
      <w:pPr>
        <w:pStyle w:val="Heading2"/>
      </w:pPr>
      <w:r>
        <w:t>I am looking to procure any data relating to the amount of visits and combined hours the police have used visiting Gibb Drive in Winchburgh.</w:t>
      </w:r>
    </w:p>
    <w:p w14:paraId="0557C2FB" w14:textId="77777777" w:rsidR="00BF5513" w:rsidRDefault="00BF5513" w:rsidP="00793DD5">
      <w:pPr>
        <w:tabs>
          <w:tab w:val="left" w:pos="5400"/>
        </w:tabs>
      </w:pPr>
      <w:r>
        <w:t>Following clarification with you, you advised:</w:t>
      </w:r>
    </w:p>
    <w:p w14:paraId="0557C2FC" w14:textId="77777777" w:rsidR="00BF5513" w:rsidRDefault="00BF5513" w:rsidP="00BF5513">
      <w:pPr>
        <w:pStyle w:val="Heading2"/>
      </w:pPr>
      <w:r>
        <w:t>The date range would be from February 2022 to February 2023.</w:t>
      </w:r>
    </w:p>
    <w:p w14:paraId="0557C2FD" w14:textId="77777777" w:rsidR="005727B0" w:rsidRDefault="00BF5513" w:rsidP="00BF5513">
      <w:pPr>
        <w:tabs>
          <w:tab w:val="left" w:pos="5400"/>
        </w:tabs>
      </w:pPr>
      <w:r>
        <w:t>In response to your question please see the table below.</w:t>
      </w:r>
      <w:r w:rsidR="00867819">
        <w:t xml:space="preserve"> Please note the data caveats pr</w:t>
      </w:r>
      <w:r w:rsidR="005727B0">
        <w:t>ovided.</w:t>
      </w:r>
    </w:p>
    <w:p w14:paraId="0557C2FE" w14:textId="77777777" w:rsidR="005727B0" w:rsidRDefault="005727B0" w:rsidP="00BF5513">
      <w:pPr>
        <w:tabs>
          <w:tab w:val="left" w:pos="5400"/>
        </w:tabs>
      </w:pPr>
    </w:p>
    <w:p w14:paraId="0557C2FF" w14:textId="77777777" w:rsidR="009247DB" w:rsidRDefault="00867819" w:rsidP="00BF5513">
      <w:pPr>
        <w:tabs>
          <w:tab w:val="left" w:pos="5400"/>
        </w:tabs>
      </w:pPr>
      <w:r w:rsidRPr="00867819">
        <w:t xml:space="preserve">Recorded Storm Incidents (Broken on Final Incident Type), Gibb Drive, Broxburn, </w:t>
      </w:r>
    </w:p>
    <w:p w14:paraId="0557C300" w14:textId="77777777" w:rsidR="00867819" w:rsidRDefault="00867819" w:rsidP="00BF5513">
      <w:pPr>
        <w:tabs>
          <w:tab w:val="left" w:pos="5400"/>
        </w:tabs>
      </w:pPr>
      <w:r w:rsidRPr="00867819">
        <w:t>The Lothians and Scottish Borders1,2,3,4,5</w:t>
      </w:r>
    </w:p>
    <w:p w14:paraId="0557C301" w14:textId="77777777" w:rsidR="009247DB" w:rsidRDefault="009247DB" w:rsidP="00BF5513">
      <w:pPr>
        <w:tabs>
          <w:tab w:val="left" w:pos="5400"/>
        </w:tabs>
      </w:pPr>
      <w:r w:rsidRPr="009247DB">
        <w:t xml:space="preserve">Period: 1st February 2022 - </w:t>
      </w:r>
      <w:r>
        <w:t>22nd February 2023 (inclusive)</w:t>
      </w:r>
    </w:p>
    <w:tbl>
      <w:tblPr>
        <w:tblStyle w:val="TableGrid"/>
        <w:tblW w:w="0" w:type="auto"/>
        <w:tblLook w:val="04A0" w:firstRow="1" w:lastRow="0" w:firstColumn="1" w:lastColumn="0" w:noHBand="0" w:noVBand="1"/>
        <w:tblCaption w:val="STORM final incident type for police incidents to Gibb Drive."/>
        <w:tblDescription w:val="STORM final incident type for police incidents to Gibb Drive."/>
      </w:tblPr>
      <w:tblGrid>
        <w:gridCol w:w="4204"/>
        <w:gridCol w:w="920"/>
        <w:gridCol w:w="980"/>
      </w:tblGrid>
      <w:tr w:rsidR="00BF5513" w:rsidRPr="00BF5513" w14:paraId="0557C305" w14:textId="77777777" w:rsidTr="00BF5513">
        <w:trPr>
          <w:trHeight w:val="315"/>
          <w:tblHeader/>
        </w:trPr>
        <w:tc>
          <w:tcPr>
            <w:tcW w:w="4204" w:type="dxa"/>
            <w:shd w:val="clear" w:color="auto" w:fill="D9D9D9" w:themeFill="background1" w:themeFillShade="D9"/>
            <w:hideMark/>
          </w:tcPr>
          <w:p w14:paraId="0557C302" w14:textId="77777777" w:rsidR="00BF5513" w:rsidRPr="00BF5513" w:rsidRDefault="00BF5513" w:rsidP="00BF5513">
            <w:pPr>
              <w:tabs>
                <w:tab w:val="left" w:pos="5400"/>
              </w:tabs>
              <w:rPr>
                <w:b/>
                <w:bCs/>
              </w:rPr>
            </w:pPr>
            <w:r w:rsidRPr="00BF5513">
              <w:rPr>
                <w:b/>
                <w:bCs/>
              </w:rPr>
              <w:t>FINAL INCIDENT TYPE</w:t>
            </w:r>
          </w:p>
        </w:tc>
        <w:tc>
          <w:tcPr>
            <w:tcW w:w="920" w:type="dxa"/>
            <w:shd w:val="clear" w:color="auto" w:fill="D9D9D9" w:themeFill="background1" w:themeFillShade="D9"/>
            <w:hideMark/>
          </w:tcPr>
          <w:p w14:paraId="0557C303" w14:textId="77777777" w:rsidR="00BF5513" w:rsidRPr="00BF5513" w:rsidRDefault="00BF5513" w:rsidP="00BF5513">
            <w:pPr>
              <w:tabs>
                <w:tab w:val="left" w:pos="5400"/>
              </w:tabs>
              <w:rPr>
                <w:b/>
                <w:bCs/>
              </w:rPr>
            </w:pPr>
            <w:r w:rsidRPr="00BF5513">
              <w:rPr>
                <w:b/>
                <w:bCs/>
              </w:rPr>
              <w:t>2022*</w:t>
            </w:r>
          </w:p>
        </w:tc>
        <w:tc>
          <w:tcPr>
            <w:tcW w:w="980" w:type="dxa"/>
            <w:shd w:val="clear" w:color="auto" w:fill="D9D9D9" w:themeFill="background1" w:themeFillShade="D9"/>
            <w:hideMark/>
          </w:tcPr>
          <w:p w14:paraId="0557C304" w14:textId="77777777" w:rsidR="00BF5513" w:rsidRPr="00BF5513" w:rsidRDefault="00BF5513" w:rsidP="00BF5513">
            <w:pPr>
              <w:tabs>
                <w:tab w:val="left" w:pos="5400"/>
              </w:tabs>
              <w:rPr>
                <w:b/>
                <w:bCs/>
              </w:rPr>
            </w:pPr>
            <w:r w:rsidRPr="00BF5513">
              <w:rPr>
                <w:b/>
                <w:bCs/>
              </w:rPr>
              <w:t>2023*</w:t>
            </w:r>
          </w:p>
        </w:tc>
      </w:tr>
      <w:tr w:rsidR="00BF5513" w:rsidRPr="00BF5513" w14:paraId="0557C309" w14:textId="77777777" w:rsidTr="00BF5513">
        <w:trPr>
          <w:trHeight w:val="300"/>
        </w:trPr>
        <w:tc>
          <w:tcPr>
            <w:tcW w:w="4204" w:type="dxa"/>
            <w:noWrap/>
            <w:hideMark/>
          </w:tcPr>
          <w:p w14:paraId="0557C306" w14:textId="77777777" w:rsidR="00BF5513" w:rsidRPr="00BF5513" w:rsidRDefault="00BF5513" w:rsidP="00BF5513">
            <w:pPr>
              <w:tabs>
                <w:tab w:val="left" w:pos="5400"/>
              </w:tabs>
            </w:pPr>
            <w:r w:rsidRPr="00BF5513">
              <w:t>PUBLIC NUISANCE</w:t>
            </w:r>
          </w:p>
        </w:tc>
        <w:tc>
          <w:tcPr>
            <w:tcW w:w="920" w:type="dxa"/>
            <w:noWrap/>
            <w:hideMark/>
          </w:tcPr>
          <w:p w14:paraId="0557C307" w14:textId="77777777" w:rsidR="00BF5513" w:rsidRPr="00BF5513" w:rsidRDefault="00BF5513" w:rsidP="00BF5513">
            <w:pPr>
              <w:tabs>
                <w:tab w:val="left" w:pos="5400"/>
              </w:tabs>
            </w:pPr>
            <w:r w:rsidRPr="00BF5513">
              <w:t>2</w:t>
            </w:r>
          </w:p>
        </w:tc>
        <w:tc>
          <w:tcPr>
            <w:tcW w:w="980" w:type="dxa"/>
            <w:noWrap/>
            <w:hideMark/>
          </w:tcPr>
          <w:p w14:paraId="0557C308" w14:textId="77777777" w:rsidR="00BF5513" w:rsidRPr="00BF5513" w:rsidRDefault="00BF5513" w:rsidP="00BF5513">
            <w:pPr>
              <w:tabs>
                <w:tab w:val="left" w:pos="5400"/>
              </w:tabs>
            </w:pPr>
            <w:r w:rsidRPr="00BF5513">
              <w:t>0</w:t>
            </w:r>
          </w:p>
        </w:tc>
      </w:tr>
      <w:tr w:rsidR="00BF5513" w:rsidRPr="00BF5513" w14:paraId="0557C30D" w14:textId="77777777" w:rsidTr="00BF5513">
        <w:trPr>
          <w:trHeight w:val="300"/>
        </w:trPr>
        <w:tc>
          <w:tcPr>
            <w:tcW w:w="4204" w:type="dxa"/>
            <w:noWrap/>
            <w:hideMark/>
          </w:tcPr>
          <w:p w14:paraId="0557C30A" w14:textId="77777777" w:rsidR="00BF5513" w:rsidRPr="00BF5513" w:rsidRDefault="00BF5513" w:rsidP="00BF5513">
            <w:pPr>
              <w:tabs>
                <w:tab w:val="left" w:pos="5400"/>
              </w:tabs>
            </w:pPr>
            <w:r w:rsidRPr="00BF5513">
              <w:t>DISTURBANCE</w:t>
            </w:r>
          </w:p>
        </w:tc>
        <w:tc>
          <w:tcPr>
            <w:tcW w:w="920" w:type="dxa"/>
            <w:noWrap/>
            <w:hideMark/>
          </w:tcPr>
          <w:p w14:paraId="0557C30B" w14:textId="77777777" w:rsidR="00BF5513" w:rsidRPr="00BF5513" w:rsidRDefault="00BF5513" w:rsidP="00BF5513">
            <w:pPr>
              <w:tabs>
                <w:tab w:val="left" w:pos="5400"/>
              </w:tabs>
            </w:pPr>
            <w:r w:rsidRPr="00BF5513">
              <w:t>4</w:t>
            </w:r>
          </w:p>
        </w:tc>
        <w:tc>
          <w:tcPr>
            <w:tcW w:w="980" w:type="dxa"/>
            <w:noWrap/>
            <w:hideMark/>
          </w:tcPr>
          <w:p w14:paraId="0557C30C" w14:textId="77777777" w:rsidR="00BF5513" w:rsidRPr="00BF5513" w:rsidRDefault="00BF5513" w:rsidP="00BF5513">
            <w:pPr>
              <w:tabs>
                <w:tab w:val="left" w:pos="5400"/>
              </w:tabs>
            </w:pPr>
            <w:r w:rsidRPr="00BF5513">
              <w:t>1</w:t>
            </w:r>
          </w:p>
        </w:tc>
      </w:tr>
      <w:tr w:rsidR="00BF5513" w:rsidRPr="00BF5513" w14:paraId="0557C311" w14:textId="77777777" w:rsidTr="00BF5513">
        <w:trPr>
          <w:trHeight w:val="300"/>
        </w:trPr>
        <w:tc>
          <w:tcPr>
            <w:tcW w:w="4204" w:type="dxa"/>
            <w:noWrap/>
            <w:hideMark/>
          </w:tcPr>
          <w:p w14:paraId="0557C30E" w14:textId="77777777" w:rsidR="00BF5513" w:rsidRPr="00BF5513" w:rsidRDefault="00BF5513" w:rsidP="00BF5513">
            <w:pPr>
              <w:tabs>
                <w:tab w:val="left" w:pos="5400"/>
              </w:tabs>
            </w:pPr>
            <w:r w:rsidRPr="00BF5513">
              <w:t>NOISE</w:t>
            </w:r>
          </w:p>
        </w:tc>
        <w:tc>
          <w:tcPr>
            <w:tcW w:w="920" w:type="dxa"/>
            <w:noWrap/>
            <w:hideMark/>
          </w:tcPr>
          <w:p w14:paraId="0557C30F" w14:textId="77777777" w:rsidR="00BF5513" w:rsidRPr="00BF5513" w:rsidRDefault="00BF5513" w:rsidP="00BF5513">
            <w:pPr>
              <w:tabs>
                <w:tab w:val="left" w:pos="5400"/>
              </w:tabs>
            </w:pPr>
            <w:r>
              <w:t>14</w:t>
            </w:r>
          </w:p>
        </w:tc>
        <w:tc>
          <w:tcPr>
            <w:tcW w:w="980" w:type="dxa"/>
            <w:noWrap/>
            <w:hideMark/>
          </w:tcPr>
          <w:p w14:paraId="0557C310" w14:textId="77777777" w:rsidR="00BF5513" w:rsidRPr="00BF5513" w:rsidRDefault="00BF5513" w:rsidP="00BF5513">
            <w:pPr>
              <w:tabs>
                <w:tab w:val="left" w:pos="5400"/>
              </w:tabs>
            </w:pPr>
            <w:r w:rsidRPr="00BF5513">
              <w:t>0</w:t>
            </w:r>
          </w:p>
        </w:tc>
      </w:tr>
      <w:tr w:rsidR="00BF5513" w:rsidRPr="00BF5513" w14:paraId="0557C315" w14:textId="77777777" w:rsidTr="00BF5513">
        <w:trPr>
          <w:trHeight w:val="300"/>
        </w:trPr>
        <w:tc>
          <w:tcPr>
            <w:tcW w:w="4204" w:type="dxa"/>
            <w:noWrap/>
            <w:hideMark/>
          </w:tcPr>
          <w:p w14:paraId="0557C312" w14:textId="77777777" w:rsidR="00BF5513" w:rsidRPr="00BF5513" w:rsidRDefault="00BF5513" w:rsidP="00BF5513">
            <w:pPr>
              <w:tabs>
                <w:tab w:val="left" w:pos="5400"/>
              </w:tabs>
            </w:pPr>
            <w:r w:rsidRPr="00BF5513">
              <w:t>NEIGHBOUR DISPUTE</w:t>
            </w:r>
          </w:p>
        </w:tc>
        <w:tc>
          <w:tcPr>
            <w:tcW w:w="920" w:type="dxa"/>
            <w:noWrap/>
            <w:hideMark/>
          </w:tcPr>
          <w:p w14:paraId="0557C313" w14:textId="77777777" w:rsidR="00BF5513" w:rsidRPr="00BF5513" w:rsidRDefault="00BF5513" w:rsidP="00BF5513">
            <w:pPr>
              <w:tabs>
                <w:tab w:val="left" w:pos="5400"/>
              </w:tabs>
            </w:pPr>
            <w:r w:rsidRPr="00BF5513">
              <w:t>4</w:t>
            </w:r>
          </w:p>
        </w:tc>
        <w:tc>
          <w:tcPr>
            <w:tcW w:w="980" w:type="dxa"/>
            <w:noWrap/>
            <w:hideMark/>
          </w:tcPr>
          <w:p w14:paraId="0557C314" w14:textId="77777777" w:rsidR="00BF5513" w:rsidRPr="00BF5513" w:rsidRDefault="00BF5513" w:rsidP="00BF5513">
            <w:pPr>
              <w:tabs>
                <w:tab w:val="left" w:pos="5400"/>
              </w:tabs>
            </w:pPr>
            <w:r w:rsidRPr="00BF5513">
              <w:t>4</w:t>
            </w:r>
          </w:p>
        </w:tc>
      </w:tr>
      <w:tr w:rsidR="00BF5513" w:rsidRPr="00BF5513" w14:paraId="0557C319" w14:textId="77777777" w:rsidTr="00BF5513">
        <w:trPr>
          <w:trHeight w:val="300"/>
        </w:trPr>
        <w:tc>
          <w:tcPr>
            <w:tcW w:w="4204" w:type="dxa"/>
            <w:noWrap/>
            <w:hideMark/>
          </w:tcPr>
          <w:p w14:paraId="0557C316" w14:textId="77777777" w:rsidR="00BF5513" w:rsidRPr="00BF5513" w:rsidRDefault="00BF5513" w:rsidP="00BF5513">
            <w:pPr>
              <w:tabs>
                <w:tab w:val="left" w:pos="5400"/>
              </w:tabs>
            </w:pPr>
            <w:r w:rsidRPr="00BF5513">
              <w:t>COMMUNICATIONS</w:t>
            </w:r>
          </w:p>
        </w:tc>
        <w:tc>
          <w:tcPr>
            <w:tcW w:w="920" w:type="dxa"/>
            <w:noWrap/>
            <w:hideMark/>
          </w:tcPr>
          <w:p w14:paraId="0557C317" w14:textId="77777777" w:rsidR="00BF5513" w:rsidRPr="00BF5513" w:rsidRDefault="00BF5513" w:rsidP="00BF5513">
            <w:pPr>
              <w:tabs>
                <w:tab w:val="left" w:pos="5400"/>
              </w:tabs>
            </w:pPr>
            <w:r w:rsidRPr="00BF5513">
              <w:t>1</w:t>
            </w:r>
          </w:p>
        </w:tc>
        <w:tc>
          <w:tcPr>
            <w:tcW w:w="980" w:type="dxa"/>
            <w:noWrap/>
            <w:hideMark/>
          </w:tcPr>
          <w:p w14:paraId="0557C318" w14:textId="77777777" w:rsidR="00BF5513" w:rsidRPr="00BF5513" w:rsidRDefault="00BF5513" w:rsidP="00BF5513">
            <w:pPr>
              <w:tabs>
                <w:tab w:val="left" w:pos="5400"/>
              </w:tabs>
            </w:pPr>
            <w:r w:rsidRPr="00BF5513">
              <w:t>0</w:t>
            </w:r>
          </w:p>
        </w:tc>
      </w:tr>
      <w:tr w:rsidR="00E33A86" w:rsidRPr="00BF5513" w14:paraId="3005E2A7" w14:textId="77777777" w:rsidTr="00BF5513">
        <w:trPr>
          <w:trHeight w:val="300"/>
        </w:trPr>
        <w:tc>
          <w:tcPr>
            <w:tcW w:w="4204" w:type="dxa"/>
            <w:noWrap/>
          </w:tcPr>
          <w:p w14:paraId="5875C9A7" w14:textId="101B341A" w:rsidR="00E33A86" w:rsidRPr="00BF5513" w:rsidRDefault="00E33A86" w:rsidP="00BF5513">
            <w:pPr>
              <w:tabs>
                <w:tab w:val="left" w:pos="5400"/>
              </w:tabs>
            </w:pPr>
            <w:r>
              <w:t>Other Incidents</w:t>
            </w:r>
          </w:p>
        </w:tc>
        <w:tc>
          <w:tcPr>
            <w:tcW w:w="920" w:type="dxa"/>
            <w:noWrap/>
          </w:tcPr>
          <w:p w14:paraId="39C5EBE0" w14:textId="0269CE39" w:rsidR="00E33A86" w:rsidRPr="00BF5513" w:rsidRDefault="00E33A86" w:rsidP="00BF5513">
            <w:pPr>
              <w:tabs>
                <w:tab w:val="left" w:pos="5400"/>
              </w:tabs>
            </w:pPr>
            <w:r>
              <w:t>37</w:t>
            </w:r>
          </w:p>
        </w:tc>
        <w:tc>
          <w:tcPr>
            <w:tcW w:w="980" w:type="dxa"/>
            <w:noWrap/>
          </w:tcPr>
          <w:p w14:paraId="78F6D2E7" w14:textId="70E8ACB9" w:rsidR="00E33A86" w:rsidRPr="00BF5513" w:rsidRDefault="00E33A86" w:rsidP="00BF5513">
            <w:pPr>
              <w:tabs>
                <w:tab w:val="left" w:pos="5400"/>
              </w:tabs>
            </w:pPr>
            <w:r>
              <w:t>22</w:t>
            </w:r>
          </w:p>
        </w:tc>
      </w:tr>
      <w:tr w:rsidR="00BF5513" w:rsidRPr="00BF5513" w14:paraId="0557C35D" w14:textId="77777777" w:rsidTr="00BF5513">
        <w:trPr>
          <w:trHeight w:val="300"/>
        </w:trPr>
        <w:tc>
          <w:tcPr>
            <w:tcW w:w="4204" w:type="dxa"/>
            <w:hideMark/>
          </w:tcPr>
          <w:p w14:paraId="0557C35A" w14:textId="77777777" w:rsidR="00BF5513" w:rsidRPr="00BF5513" w:rsidRDefault="00BF5513" w:rsidP="00BF5513">
            <w:pPr>
              <w:tabs>
                <w:tab w:val="left" w:pos="5400"/>
              </w:tabs>
              <w:rPr>
                <w:b/>
                <w:bCs/>
              </w:rPr>
            </w:pPr>
            <w:bookmarkStart w:id="0" w:name="_GoBack"/>
            <w:bookmarkEnd w:id="0"/>
            <w:r w:rsidRPr="00BF5513">
              <w:rPr>
                <w:b/>
                <w:bCs/>
              </w:rPr>
              <w:t>TOTAL</w:t>
            </w:r>
          </w:p>
        </w:tc>
        <w:tc>
          <w:tcPr>
            <w:tcW w:w="920" w:type="dxa"/>
            <w:hideMark/>
          </w:tcPr>
          <w:p w14:paraId="0557C35B" w14:textId="77777777" w:rsidR="00BF5513" w:rsidRPr="00BF5513" w:rsidRDefault="00BF5513" w:rsidP="00BF5513">
            <w:pPr>
              <w:tabs>
                <w:tab w:val="left" w:pos="5400"/>
              </w:tabs>
              <w:rPr>
                <w:b/>
                <w:bCs/>
              </w:rPr>
            </w:pPr>
            <w:r>
              <w:rPr>
                <w:b/>
                <w:bCs/>
              </w:rPr>
              <w:t>62</w:t>
            </w:r>
          </w:p>
        </w:tc>
        <w:tc>
          <w:tcPr>
            <w:tcW w:w="980" w:type="dxa"/>
            <w:hideMark/>
          </w:tcPr>
          <w:p w14:paraId="0557C35C" w14:textId="77777777" w:rsidR="00BF5513" w:rsidRPr="00BF5513" w:rsidRDefault="00BF5513" w:rsidP="00BF5513">
            <w:pPr>
              <w:tabs>
                <w:tab w:val="left" w:pos="5400"/>
              </w:tabs>
              <w:rPr>
                <w:b/>
                <w:bCs/>
              </w:rPr>
            </w:pPr>
            <w:r w:rsidRPr="00BF5513">
              <w:rPr>
                <w:b/>
                <w:bCs/>
              </w:rPr>
              <w:t>27</w:t>
            </w:r>
          </w:p>
        </w:tc>
      </w:tr>
    </w:tbl>
    <w:p w14:paraId="0557C35E" w14:textId="77777777" w:rsidR="00BF5513" w:rsidRDefault="00BF5513" w:rsidP="00BF5513">
      <w:pPr>
        <w:tabs>
          <w:tab w:val="left" w:pos="5400"/>
        </w:tabs>
      </w:pPr>
    </w:p>
    <w:p w14:paraId="0557C35F" w14:textId="77777777" w:rsidR="006F06A2" w:rsidRDefault="006F06A2" w:rsidP="006F06A2">
      <w:pPr>
        <w:tabs>
          <w:tab w:val="left" w:pos="5400"/>
        </w:tabs>
      </w:pPr>
      <w:r>
        <w:lastRenderedPageBreak/>
        <w:t>All statistics are provisional and should be treated as management information. All data have been extracted from Police Scotland internal systems and are correct as at 11th October 2021.</w:t>
      </w:r>
      <w:r>
        <w:tab/>
      </w:r>
      <w:r>
        <w:tab/>
      </w:r>
    </w:p>
    <w:p w14:paraId="0557C360" w14:textId="77777777" w:rsidR="006F06A2" w:rsidRDefault="006F06A2" w:rsidP="006F06A2">
      <w:pPr>
        <w:tabs>
          <w:tab w:val="left" w:pos="5400"/>
        </w:tabs>
      </w:pPr>
      <w:r>
        <w:t>1. The data was extracted from the Storm Unity Database using the incident's raised date.</w:t>
      </w:r>
    </w:p>
    <w:p w14:paraId="0557C361" w14:textId="77777777" w:rsidR="006F06A2" w:rsidRDefault="006F06A2" w:rsidP="006F06A2">
      <w:pPr>
        <w:tabs>
          <w:tab w:val="left" w:pos="5400"/>
        </w:tabs>
      </w:pPr>
      <w:r>
        <w:t>2. Out of Force incidents and error incidents have been removed.</w:t>
      </w:r>
      <w:r>
        <w:tab/>
      </w:r>
      <w:r>
        <w:tab/>
      </w:r>
    </w:p>
    <w:p w14:paraId="0557C362" w14:textId="77777777" w:rsidR="006F06A2" w:rsidRDefault="006F06A2" w:rsidP="006F06A2">
      <w:pPr>
        <w:tabs>
          <w:tab w:val="left" w:pos="5400"/>
        </w:tabs>
      </w:pPr>
      <w:r>
        <w:t>3. The Grid East and Grid North attributed to the Storm Incident were plotted on an ArcGIS Map.  Incidents located at Gibb Drive, Broxburn, were then selected.  Please note, the Grid East and Grid North relates to where Police Officers are directed to attend.</w:t>
      </w:r>
      <w:r>
        <w:tab/>
      </w:r>
      <w:r>
        <w:tab/>
      </w:r>
    </w:p>
    <w:p w14:paraId="0557C363" w14:textId="77777777" w:rsidR="006F06A2" w:rsidRDefault="006F06A2" w:rsidP="006F06A2">
      <w:pPr>
        <w:tabs>
          <w:tab w:val="left" w:pos="5400"/>
        </w:tabs>
      </w:pPr>
      <w:r>
        <w:t>4. A keyword search was also carried out on the locus line, and relevant records were selected.</w:t>
      </w:r>
      <w:r>
        <w:tab/>
      </w:r>
      <w:r>
        <w:tab/>
      </w:r>
    </w:p>
    <w:p w14:paraId="0557C364" w14:textId="77777777" w:rsidR="00496A08" w:rsidRPr="00BF6B81" w:rsidRDefault="00496A08" w:rsidP="00BF5513">
      <w:pPr>
        <w:tabs>
          <w:tab w:val="left" w:pos="5400"/>
        </w:tabs>
      </w:pPr>
      <w:r>
        <w:t xml:space="preserve">If you require any further </w:t>
      </w:r>
      <w:r w:rsidRPr="00874BFD">
        <w:t>assistance</w:t>
      </w:r>
      <w:r>
        <w:t xml:space="preserve"> please contact us quoting the reference above.</w:t>
      </w:r>
    </w:p>
    <w:p w14:paraId="0557C36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557C36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557C367" w14:textId="77777777" w:rsidR="00B461B2" w:rsidRDefault="00496A08" w:rsidP="00793DD5">
      <w:r w:rsidRPr="007C470A">
        <w:t>Following an OSIC appeal, you can appeal to the Court of Session on a point of law only.</w:t>
      </w:r>
      <w:r w:rsidR="00D47E36">
        <w:t xml:space="preserve"> </w:t>
      </w:r>
    </w:p>
    <w:p w14:paraId="0557C36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557C36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557C36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7C36F" w14:textId="77777777" w:rsidR="00195CC4" w:rsidRDefault="00195CC4" w:rsidP="00491644">
      <w:r>
        <w:separator/>
      </w:r>
    </w:p>
  </w:endnote>
  <w:endnote w:type="continuationSeparator" w:id="0">
    <w:p w14:paraId="0557C37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C374" w14:textId="77777777" w:rsidR="00491644" w:rsidRDefault="00491644">
    <w:pPr>
      <w:pStyle w:val="Footer"/>
    </w:pPr>
  </w:p>
  <w:p w14:paraId="0557C37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3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C37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557C37C" wp14:editId="0557C37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557C37E" wp14:editId="0557C37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557C37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3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C37A" w14:textId="77777777" w:rsidR="00491644" w:rsidRDefault="00491644">
    <w:pPr>
      <w:pStyle w:val="Footer"/>
    </w:pPr>
  </w:p>
  <w:p w14:paraId="0557C37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3A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C36D" w14:textId="77777777" w:rsidR="00195CC4" w:rsidRDefault="00195CC4" w:rsidP="00491644">
      <w:r>
        <w:separator/>
      </w:r>
    </w:p>
  </w:footnote>
  <w:footnote w:type="continuationSeparator" w:id="0">
    <w:p w14:paraId="0557C36E"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C37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3A86">
      <w:rPr>
        <w:rFonts w:ascii="Times New Roman" w:hAnsi="Times New Roman" w:cs="Times New Roman"/>
        <w:b/>
        <w:color w:val="FF0000"/>
      </w:rPr>
      <w:t>OFFICIAL</w:t>
    </w:r>
    <w:r>
      <w:rPr>
        <w:rFonts w:ascii="Times New Roman" w:hAnsi="Times New Roman" w:cs="Times New Roman"/>
        <w:b/>
        <w:color w:val="FF0000"/>
      </w:rPr>
      <w:fldChar w:fldCharType="end"/>
    </w:r>
  </w:p>
  <w:p w14:paraId="0557C372"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C37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3A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C37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3A86">
      <w:rPr>
        <w:rFonts w:ascii="Times New Roman" w:hAnsi="Times New Roman" w:cs="Times New Roman"/>
        <w:b/>
        <w:color w:val="FF0000"/>
      </w:rPr>
      <w:t>OFFICIAL</w:t>
    </w:r>
    <w:r>
      <w:rPr>
        <w:rFonts w:ascii="Times New Roman" w:hAnsi="Times New Roman" w:cs="Times New Roman"/>
        <w:b/>
        <w:color w:val="FF0000"/>
      </w:rPr>
      <w:fldChar w:fldCharType="end"/>
    </w:r>
  </w:p>
  <w:p w14:paraId="0557C37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27B0"/>
    <w:rsid w:val="006D5799"/>
    <w:rsid w:val="006F06A2"/>
    <w:rsid w:val="00750D83"/>
    <w:rsid w:val="00793DD5"/>
    <w:rsid w:val="007D55F6"/>
    <w:rsid w:val="007F490F"/>
    <w:rsid w:val="0086779C"/>
    <w:rsid w:val="00867819"/>
    <w:rsid w:val="00874BFD"/>
    <w:rsid w:val="008964EF"/>
    <w:rsid w:val="009247DB"/>
    <w:rsid w:val="009631A4"/>
    <w:rsid w:val="00977296"/>
    <w:rsid w:val="00A25E93"/>
    <w:rsid w:val="00A320FF"/>
    <w:rsid w:val="00A70AC0"/>
    <w:rsid w:val="00AC443C"/>
    <w:rsid w:val="00B11A55"/>
    <w:rsid w:val="00B17211"/>
    <w:rsid w:val="00B461B2"/>
    <w:rsid w:val="00B71B3C"/>
    <w:rsid w:val="00BC389E"/>
    <w:rsid w:val="00BE1888"/>
    <w:rsid w:val="00BF5513"/>
    <w:rsid w:val="00BF6B81"/>
    <w:rsid w:val="00C077A8"/>
    <w:rsid w:val="00C606A2"/>
    <w:rsid w:val="00C63872"/>
    <w:rsid w:val="00C84948"/>
    <w:rsid w:val="00CF1111"/>
    <w:rsid w:val="00D05706"/>
    <w:rsid w:val="00D27DC5"/>
    <w:rsid w:val="00D47E36"/>
    <w:rsid w:val="00E33A8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57C2F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F5513"/>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F5513"/>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14389">
      <w:bodyDiv w:val="1"/>
      <w:marLeft w:val="0"/>
      <w:marRight w:val="0"/>
      <w:marTop w:val="0"/>
      <w:marBottom w:val="0"/>
      <w:divBdr>
        <w:top w:val="none" w:sz="0" w:space="0" w:color="auto"/>
        <w:left w:val="none" w:sz="0" w:space="0" w:color="auto"/>
        <w:bottom w:val="none" w:sz="0" w:space="0" w:color="auto"/>
        <w:right w:val="none" w:sz="0" w:space="0" w:color="auto"/>
      </w:divBdr>
    </w:div>
    <w:div w:id="1757288233">
      <w:bodyDiv w:val="1"/>
      <w:marLeft w:val="0"/>
      <w:marRight w:val="0"/>
      <w:marTop w:val="0"/>
      <w:marBottom w:val="0"/>
      <w:divBdr>
        <w:top w:val="none" w:sz="0" w:space="0" w:color="auto"/>
        <w:left w:val="none" w:sz="0" w:space="0" w:color="auto"/>
        <w:bottom w:val="none" w:sz="0" w:space="0" w:color="auto"/>
        <w:right w:val="none" w:sz="0" w:space="0" w:color="auto"/>
      </w:divBdr>
    </w:div>
    <w:div w:id="18854876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836E5-411B-4982-AB13-EC2BBF0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204BF8-652F-43EF-92E8-C3332B4CEE70}">
  <ds:schemaRefs>
    <ds:schemaRef ds:uri="http://schemas.microsoft.com/sharepoint/v3/contenttype/forms"/>
  </ds:schemaRefs>
</ds:datastoreItem>
</file>

<file path=customXml/itemProps3.xml><?xml version="1.0" encoding="utf-8"?>
<ds:datastoreItem xmlns:ds="http://schemas.openxmlformats.org/officeDocument/2006/customXml" ds:itemID="{70087032-8F27-43EB-8B1F-1C325ABE74E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2023-03-07T07:26:00Z</dcterms:created>
  <dcterms:modified xsi:type="dcterms:W3CDTF">2023-03-07T07:26:00Z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