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5A22E9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87588">
              <w:t>3236</w:t>
            </w:r>
          </w:p>
          <w:p w14:paraId="34BDABA6" w14:textId="4D4DB5E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87588">
              <w:t>2</w:t>
            </w:r>
            <w:r w:rsidR="0018615D">
              <w:t>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2B387EA3" w:rsidR="00793DD5" w:rsidRDefault="00030D2D" w:rsidP="009D2AA5">
      <w:pPr>
        <w:rPr>
          <w:b/>
        </w:rPr>
      </w:pPr>
      <w:r>
        <w:t>Your</w:t>
      </w:r>
      <w:r w:rsidR="00793DD5" w:rsidRPr="00793DD5">
        <w:t xml:space="preserve"> recent request for information is replicated below, together with </w:t>
      </w:r>
      <w:r w:rsidR="004341F0">
        <w:t>our</w:t>
      </w:r>
      <w:r w:rsidR="00793DD5" w:rsidRPr="00793DD5">
        <w:t xml:space="preserve"> response.</w:t>
      </w:r>
    </w:p>
    <w:p w14:paraId="1DA74A95" w14:textId="22BD6013" w:rsidR="00287588" w:rsidRDefault="00021C0D" w:rsidP="00287588">
      <w:pPr>
        <w:pStyle w:val="Heading2"/>
        <w:rPr>
          <w:rFonts w:eastAsia="Times New Roman"/>
        </w:rPr>
      </w:pPr>
      <w:r>
        <w:rPr>
          <w:rFonts w:eastAsia="Times New Roman"/>
        </w:rPr>
        <w:t>C</w:t>
      </w:r>
      <w:r w:rsidR="00287588">
        <w:rPr>
          <w:rFonts w:eastAsia="Times New Roman"/>
        </w:rPr>
        <w:t xml:space="preserve">ould you clarify </w:t>
      </w:r>
      <w:r w:rsidR="00287588">
        <w:rPr>
          <w:rFonts w:eastAsia="Times New Roman"/>
          <w:i/>
          <w:iCs/>
        </w:rPr>
        <w:t>which</w:t>
      </w:r>
      <w:r w:rsidR="00287588">
        <w:rPr>
          <w:rFonts w:eastAsia="Times New Roman"/>
        </w:rPr>
        <w:t> stations in East Lothian require maintenance or repair? </w:t>
      </w:r>
      <w:r>
        <w:rPr>
          <w:rFonts w:eastAsia="Times New Roman"/>
        </w:rPr>
        <w:t xml:space="preserve"> </w:t>
      </w:r>
      <w:r w:rsidR="00287588">
        <w:rPr>
          <w:rFonts w:eastAsia="Times New Roman"/>
        </w:rPr>
        <w:t>If the proposed cost of that maintenance could be included I would be most grateful. </w:t>
      </w:r>
    </w:p>
    <w:p w14:paraId="47FB8B42" w14:textId="77777777" w:rsidR="00021C0D" w:rsidRDefault="00287588" w:rsidP="00287588">
      <w:pPr>
        <w:pStyle w:val="Heading2"/>
        <w:rPr>
          <w:b w:val="0"/>
          <w:bCs/>
        </w:rPr>
      </w:pPr>
      <w:r w:rsidRPr="00287588">
        <w:rPr>
          <w:b w:val="0"/>
          <w:bCs/>
        </w:rPr>
        <w:t xml:space="preserve">I have interpreted the request as costs for repairs and maintenance tasks that have been raised to the </w:t>
      </w:r>
      <w:r w:rsidR="00030D2D">
        <w:rPr>
          <w:b w:val="0"/>
          <w:bCs/>
        </w:rPr>
        <w:t>E</w:t>
      </w:r>
      <w:r w:rsidRPr="00287588">
        <w:rPr>
          <w:b w:val="0"/>
          <w:bCs/>
        </w:rPr>
        <w:t xml:space="preserve">states </w:t>
      </w:r>
      <w:r w:rsidR="00030D2D">
        <w:rPr>
          <w:b w:val="0"/>
          <w:bCs/>
        </w:rPr>
        <w:t>D</w:t>
      </w:r>
      <w:r w:rsidRPr="00287588">
        <w:rPr>
          <w:b w:val="0"/>
          <w:bCs/>
        </w:rPr>
        <w:t>epartment but are as yet unfinished</w:t>
      </w:r>
      <w:r w:rsidR="00030D2D">
        <w:rPr>
          <w:b w:val="0"/>
          <w:bCs/>
        </w:rPr>
        <w:t>,</w:t>
      </w:r>
      <w:r w:rsidRPr="00287588">
        <w:rPr>
          <w:b w:val="0"/>
          <w:bCs/>
        </w:rPr>
        <w:t xml:space="preserve"> and therefore still require to be completed</w:t>
      </w:r>
      <w:r w:rsidR="00030D2D" w:rsidRPr="00287588">
        <w:rPr>
          <w:b w:val="0"/>
          <w:bCs/>
        </w:rPr>
        <w:t xml:space="preserve">. </w:t>
      </w:r>
    </w:p>
    <w:p w14:paraId="248EB77B" w14:textId="1FD1A033" w:rsidR="00287588" w:rsidRPr="00287588" w:rsidRDefault="00287588" w:rsidP="00287588">
      <w:pPr>
        <w:pStyle w:val="Heading2"/>
        <w:rPr>
          <w:b w:val="0"/>
          <w:bCs/>
        </w:rPr>
      </w:pPr>
      <w:r w:rsidRPr="00287588">
        <w:rPr>
          <w:b w:val="0"/>
          <w:bCs/>
        </w:rPr>
        <w:t xml:space="preserve">Costs for Open Reactive Repairs and Small </w:t>
      </w:r>
      <w:r>
        <w:rPr>
          <w:b w:val="0"/>
          <w:bCs/>
        </w:rPr>
        <w:t>W</w:t>
      </w:r>
      <w:r w:rsidRPr="00287588">
        <w:rPr>
          <w:b w:val="0"/>
          <w:bCs/>
        </w:rPr>
        <w:t>orks are approximate</w:t>
      </w:r>
      <w:r w:rsidR="00030D2D">
        <w:rPr>
          <w:b w:val="0"/>
          <w:bCs/>
        </w:rPr>
        <w:t xml:space="preserve"> costs</w:t>
      </w:r>
      <w:r w:rsidRPr="00287588">
        <w:rPr>
          <w:b w:val="0"/>
          <w:bCs/>
        </w:rPr>
        <w:t>, as many simple reactive jobs do not have costs assigned to them until after the work is complete</w:t>
      </w:r>
      <w:r w:rsidR="00030D2D">
        <w:rPr>
          <w:b w:val="0"/>
          <w:bCs/>
        </w:rPr>
        <w:t>,</w:t>
      </w:r>
      <w:r w:rsidRPr="00287588">
        <w:rPr>
          <w:b w:val="0"/>
          <w:bCs/>
        </w:rPr>
        <w:t xml:space="preserve"> and are therefore unknown at the moment.</w:t>
      </w:r>
    </w:p>
    <w:p w14:paraId="7051126C" w14:textId="77777777" w:rsidR="00021C0D" w:rsidRDefault="00030D2D" w:rsidP="00287588">
      <w:pPr>
        <w:pStyle w:val="Heading2"/>
        <w:rPr>
          <w:b w:val="0"/>
          <w:bCs/>
        </w:rPr>
      </w:pPr>
      <w:r w:rsidRPr="00287588">
        <w:rPr>
          <w:b w:val="0"/>
          <w:bCs/>
        </w:rPr>
        <w:t>Thus</w:t>
      </w:r>
      <w:r w:rsidR="00287588" w:rsidRPr="00287588">
        <w:rPr>
          <w:b w:val="0"/>
          <w:bCs/>
        </w:rPr>
        <w:t xml:space="preserve">, the Reactive Repairs &amp; Small Works open jobs costs are based on the current committed spend, agreed quoted values and current material costs. </w:t>
      </w:r>
    </w:p>
    <w:p w14:paraId="3F97A6F9" w14:textId="77777777" w:rsidR="00021C0D" w:rsidRDefault="00287588" w:rsidP="00287588">
      <w:pPr>
        <w:pStyle w:val="Heading2"/>
        <w:rPr>
          <w:b w:val="0"/>
          <w:bCs/>
        </w:rPr>
      </w:pPr>
      <w:r w:rsidRPr="00287588">
        <w:rPr>
          <w:b w:val="0"/>
          <w:bCs/>
        </w:rPr>
        <w:t>These costs may fluctuate at time of application for payment</w:t>
      </w:r>
      <w:r w:rsidR="00030D2D" w:rsidRPr="00287588">
        <w:rPr>
          <w:b w:val="0"/>
          <w:bCs/>
        </w:rPr>
        <w:t xml:space="preserve">. </w:t>
      </w:r>
    </w:p>
    <w:p w14:paraId="3C0EE334" w14:textId="37ED6DA8" w:rsidR="00287588" w:rsidRPr="00021C0D" w:rsidRDefault="00287588" w:rsidP="00021C0D">
      <w:pPr>
        <w:pStyle w:val="Heading2"/>
        <w:rPr>
          <w:b w:val="0"/>
          <w:bCs/>
        </w:rPr>
      </w:pPr>
      <w:r w:rsidRPr="00287588">
        <w:rPr>
          <w:b w:val="0"/>
          <w:bCs/>
        </w:rPr>
        <w:t>Costs for PPM only reflects the costs for the rest of the financial year, not what has already been paid.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1550"/>
        <w:gridCol w:w="1710"/>
        <w:gridCol w:w="1097"/>
      </w:tblGrid>
      <w:tr w:rsidR="00287588" w:rsidRPr="00021C0D" w14:paraId="07C7478D" w14:textId="77777777" w:rsidTr="00021C0D">
        <w:trPr>
          <w:trHeight w:val="30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17E9" w14:textId="68CB302C" w:rsidR="00287588" w:rsidRPr="00021C0D" w:rsidRDefault="00287588">
            <w:pPr>
              <w:rPr>
                <w:b/>
                <w:bCs/>
              </w:rPr>
            </w:pPr>
            <w:r w:rsidRPr="00021C0D">
              <w:rPr>
                <w:b/>
                <w:bCs/>
              </w:rPr>
              <w:t> </w:t>
            </w:r>
            <w:r w:rsidR="00021C0D" w:rsidRPr="00021C0D">
              <w:rPr>
                <w:b/>
                <w:bCs/>
              </w:rPr>
              <w:t xml:space="preserve">Type 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0D34" w14:textId="77777777" w:rsidR="00287588" w:rsidRPr="00021C0D" w:rsidRDefault="00287588">
            <w:pPr>
              <w:rPr>
                <w:b/>
                <w:bCs/>
              </w:rPr>
            </w:pPr>
            <w:r w:rsidRPr="00021C0D">
              <w:rPr>
                <w:b/>
                <w:bCs/>
              </w:rPr>
              <w:t>Haddington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4946" w14:textId="77777777" w:rsidR="00287588" w:rsidRPr="00021C0D" w:rsidRDefault="00287588">
            <w:pPr>
              <w:rPr>
                <w:b/>
                <w:bCs/>
              </w:rPr>
            </w:pPr>
            <w:r w:rsidRPr="00021C0D">
              <w:rPr>
                <w:b/>
                <w:bCs/>
              </w:rPr>
              <w:t>Musselburgh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E3E9" w14:textId="77777777" w:rsidR="00287588" w:rsidRPr="00021C0D" w:rsidRDefault="00287588">
            <w:pPr>
              <w:rPr>
                <w:b/>
                <w:bCs/>
              </w:rPr>
            </w:pPr>
            <w:r w:rsidRPr="00021C0D">
              <w:rPr>
                <w:b/>
                <w:bCs/>
              </w:rPr>
              <w:t>Tranent</w:t>
            </w:r>
          </w:p>
        </w:tc>
      </w:tr>
      <w:tr w:rsidR="00287588" w:rsidRPr="00021C0D" w14:paraId="5687A309" w14:textId="77777777" w:rsidTr="00021C0D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A0E7" w14:textId="77777777" w:rsidR="00287588" w:rsidRPr="00021C0D" w:rsidRDefault="00287588">
            <w:r w:rsidRPr="00021C0D">
              <w:t>Planned Preventative Maintenance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65A2" w14:textId="77777777" w:rsidR="00287588" w:rsidRPr="00021C0D" w:rsidRDefault="00287588">
            <w:r w:rsidRPr="00021C0D">
              <w:t>£3,057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B5AC" w14:textId="77777777" w:rsidR="00287588" w:rsidRPr="00021C0D" w:rsidRDefault="00287588">
            <w:r w:rsidRPr="00021C0D">
              <w:t>£2,505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4C59" w14:textId="77777777" w:rsidR="00287588" w:rsidRPr="00021C0D" w:rsidRDefault="00287588">
            <w:r w:rsidRPr="00021C0D">
              <w:t>£2,298</w:t>
            </w:r>
          </w:p>
        </w:tc>
      </w:tr>
      <w:tr w:rsidR="00287588" w:rsidRPr="00021C0D" w14:paraId="619ECE1A" w14:textId="77777777" w:rsidTr="00021C0D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6CA8" w14:textId="77777777" w:rsidR="00287588" w:rsidRPr="00021C0D" w:rsidRDefault="00287588">
            <w:r w:rsidRPr="00021C0D">
              <w:t xml:space="preserve">Reactive Repairs &amp; Small Works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4172" w14:textId="77777777" w:rsidR="00287588" w:rsidRPr="00021C0D" w:rsidRDefault="00287588">
            <w:r w:rsidRPr="00021C0D">
              <w:t>£29,869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9924" w14:textId="77777777" w:rsidR="00287588" w:rsidRPr="00021C0D" w:rsidRDefault="00287588">
            <w:r w:rsidRPr="00021C0D">
              <w:t>£16,889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D50A" w14:textId="77777777" w:rsidR="00287588" w:rsidRPr="00021C0D" w:rsidRDefault="00287588">
            <w:r w:rsidRPr="00021C0D">
              <w:t> -</w:t>
            </w:r>
          </w:p>
        </w:tc>
      </w:tr>
    </w:tbl>
    <w:p w14:paraId="1F35443E" w14:textId="77777777" w:rsidR="00EF0FBB" w:rsidRDefault="00EF0FBB" w:rsidP="00287588">
      <w:pPr>
        <w:pStyle w:val="Heading2"/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C5E26B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6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127C3A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6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889B3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6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26D5B5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6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5F8C98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6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4712A5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615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1C0D"/>
    <w:rsid w:val="00030D2D"/>
    <w:rsid w:val="00090F3B"/>
    <w:rsid w:val="000E2F19"/>
    <w:rsid w:val="000E43FF"/>
    <w:rsid w:val="000E6526"/>
    <w:rsid w:val="00141533"/>
    <w:rsid w:val="00167528"/>
    <w:rsid w:val="00184727"/>
    <w:rsid w:val="0018615D"/>
    <w:rsid w:val="00195CC4"/>
    <w:rsid w:val="001F2261"/>
    <w:rsid w:val="00207326"/>
    <w:rsid w:val="00253DF6"/>
    <w:rsid w:val="00255F1E"/>
    <w:rsid w:val="00260FBC"/>
    <w:rsid w:val="00287588"/>
    <w:rsid w:val="00304965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15AB2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1426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2025-10-28T14:46:00Z</dcterms:created>
  <dcterms:modified xsi:type="dcterms:W3CDTF">2025-10-28T14:46:00Z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