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782BD61" w:rsidR="00B17211" w:rsidRPr="00B17211" w:rsidRDefault="00B17211" w:rsidP="007F490F">
            <w:r w:rsidRPr="007F490F">
              <w:rPr>
                <w:rStyle w:val="Heading2Char"/>
              </w:rPr>
              <w:t>Our reference:</w:t>
            </w:r>
            <w:r>
              <w:t xml:space="preserve">  FOI 2</w:t>
            </w:r>
            <w:r w:rsidR="00706E8D">
              <w:t>4</w:t>
            </w:r>
            <w:r w:rsidR="00B834DC">
              <w:t>-</w:t>
            </w:r>
            <w:r w:rsidR="00453F54">
              <w:t>0758</w:t>
            </w:r>
          </w:p>
          <w:p w14:paraId="5BEC4C5F" w14:textId="2F626BB5"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E805DC">
              <w:t>April</w:t>
            </w:r>
            <w:r w:rsidR="00F36768">
              <w:t xml:space="preserve"> </w:t>
            </w:r>
            <w:r>
              <w:t>202</w:t>
            </w:r>
            <w:r w:rsidR="00706E8D">
              <w:t>4</w:t>
            </w:r>
          </w:p>
        </w:tc>
      </w:tr>
    </w:tbl>
    <w:p w14:paraId="01C10B1E" w14:textId="0BECA470" w:rsidR="005A2C54" w:rsidRDefault="00793DD5" w:rsidP="00E448C2">
      <w:r w:rsidRPr="00793DD5">
        <w:t xml:space="preserve">Your recent request for information is replicated below, together with </w:t>
      </w:r>
      <w:r w:rsidR="004341F0">
        <w:t>our</w:t>
      </w:r>
      <w:r w:rsidRPr="00793DD5">
        <w:t xml:space="preserve"> response.</w:t>
      </w:r>
    </w:p>
    <w:p w14:paraId="792CEC4A" w14:textId="209146A1" w:rsidR="00CC4B02" w:rsidRDefault="00D64D6B" w:rsidP="00CC4B02">
      <w:r>
        <w:t>To first provide some general context, t</w:t>
      </w:r>
      <w:r w:rsidR="00CC4B02" w:rsidRPr="004365BB">
        <w:t xml:space="preserve">he formal disciplinary process for Police Officers is governed by </w:t>
      </w:r>
      <w:hyperlink r:id="rId8" w:history="1">
        <w:r w:rsidR="004F7C1A">
          <w:rPr>
            <w:rStyle w:val="Hyperlink"/>
          </w:rPr>
          <w:t>The Police Service of Scotland (Conduct) Regulations 2014</w:t>
        </w:r>
      </w:hyperlink>
      <w:r w:rsidR="00CC4B02" w:rsidRPr="004365BB">
        <w:t>.</w:t>
      </w:r>
      <w:r w:rsidR="00CC4B02">
        <w:t xml:space="preserve">  </w:t>
      </w:r>
    </w:p>
    <w:p w14:paraId="41F0F399" w14:textId="7170384E" w:rsidR="00CC4B02" w:rsidRDefault="00CC4B02" w:rsidP="00CC4B02">
      <w:r w:rsidRPr="004365BB">
        <w:t xml:space="preserve">The </w:t>
      </w:r>
      <w:r>
        <w:t>associated</w:t>
      </w:r>
      <w:r w:rsidRPr="004365BB">
        <w:t xml:space="preserve"> </w:t>
      </w:r>
      <w:hyperlink r:id="rId9"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0" w:history="1">
        <w:r w:rsidRPr="004365BB">
          <w:rPr>
            <w:rStyle w:val="Hyperlink"/>
          </w:rPr>
          <w:t>Standards of Professional Behaviour</w:t>
        </w:r>
      </w:hyperlink>
      <w:r>
        <w:t>.</w:t>
      </w:r>
    </w:p>
    <w:p w14:paraId="00F14370" w14:textId="3DF6ED12" w:rsidR="00CC4B02" w:rsidRDefault="00CC4B02" w:rsidP="00CC4B02">
      <w:r w:rsidRPr="007943B4">
        <w:t xml:space="preserve">The Police Scotland </w:t>
      </w:r>
      <w:hyperlink r:id="rId11"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p>
    <w:p w14:paraId="3DAC0B6A" w14:textId="43BE91EF" w:rsidR="00CC4B02" w:rsidRDefault="00CC4B02" w:rsidP="00CC4B02">
      <w:r>
        <w:t xml:space="preserve">You may also be interested in our </w:t>
      </w:r>
      <w:hyperlink r:id="rId12" w:tooltip="Suspension From Duty Sop" w:history="1">
        <w:r w:rsidRPr="00D17462">
          <w:rPr>
            <w:rStyle w:val="Hyperlink"/>
          </w:rPr>
          <w:t>Suspension from Duty SOP</w:t>
        </w:r>
      </w:hyperlink>
      <w:r w:rsidRPr="00D17462">
        <w:t>.</w:t>
      </w:r>
    </w:p>
    <w:p w14:paraId="64C7F242" w14:textId="2C9D34E0" w:rsidR="00CC4B02" w:rsidRDefault="003467F1" w:rsidP="00CC4B02">
      <w:pPr>
        <w:tabs>
          <w:tab w:val="left" w:pos="5400"/>
        </w:tabs>
      </w:pPr>
      <w:r>
        <w:t xml:space="preserve">The formal disciplinary process for Police Staff is set out in our </w:t>
      </w:r>
      <w:hyperlink r:id="rId13" w:tooltip="Disciplinary SOP (1)" w:history="1">
        <w:r w:rsidRPr="00B96919">
          <w:rPr>
            <w:rStyle w:val="Hyperlink"/>
          </w:rPr>
          <w:t>Disciplinary SOP</w:t>
        </w:r>
      </w:hyperlink>
      <w:r>
        <w:t>.</w:t>
      </w:r>
    </w:p>
    <w:p w14:paraId="169C7306" w14:textId="77777777" w:rsidR="00D64D6B" w:rsidRDefault="00D64D6B" w:rsidP="00CC4B02">
      <w:pPr>
        <w:tabs>
          <w:tab w:val="left" w:pos="5400"/>
        </w:tabs>
      </w:pPr>
    </w:p>
    <w:p w14:paraId="73AF4186" w14:textId="77777777" w:rsidR="00D64D6B" w:rsidRDefault="00D64D6B" w:rsidP="00D64D6B">
      <w:pPr>
        <w:pStyle w:val="Heading2"/>
        <w:numPr>
          <w:ilvl w:val="0"/>
          <w:numId w:val="11"/>
        </w:numPr>
        <w:rPr>
          <w:rFonts w:eastAsia="Times New Roman"/>
        </w:rPr>
      </w:pPr>
      <w:r>
        <w:rPr>
          <w:rFonts w:eastAsia="Times New Roman"/>
        </w:rPr>
        <w:t>The number of police officers and police staff suspended with full pay due to misconduct allegations during the financial years 2018-19; 2019-20; 2020-21; 2021-22; 2022-23</w:t>
      </w:r>
    </w:p>
    <w:p w14:paraId="6939E793" w14:textId="0CF38B64" w:rsidR="00D64D6B" w:rsidRPr="00340AC2" w:rsidRDefault="00644027" w:rsidP="003E6FC9">
      <w:r w:rsidRPr="00340AC2">
        <w:t xml:space="preserve">Information relating to </w:t>
      </w:r>
      <w:r w:rsidR="00650FE6" w:rsidRPr="00340AC2">
        <w:t xml:space="preserve">questions 1 </w:t>
      </w:r>
      <w:r w:rsidR="00257547">
        <w:t xml:space="preserve">&amp; 2 </w:t>
      </w:r>
      <w:r w:rsidR="00650FE6" w:rsidRPr="00340AC2">
        <w:t>of your</w:t>
      </w:r>
      <w:r w:rsidRPr="00340AC2">
        <w:t xml:space="preserve"> request </w:t>
      </w:r>
      <w:r w:rsidR="00257547">
        <w:t>were</w:t>
      </w:r>
      <w:r w:rsidRPr="00340AC2">
        <w:t xml:space="preserve"> published </w:t>
      </w:r>
      <w:r w:rsidR="00D64D6B" w:rsidRPr="00340AC2">
        <w:t xml:space="preserve">in October 2023 </w:t>
      </w:r>
      <w:r w:rsidRPr="00340AC2">
        <w:t>following a request for similar information which can be found</w:t>
      </w:r>
      <w:r w:rsidR="00D64D6B" w:rsidRPr="00340AC2">
        <w:t xml:space="preserve"> via the link below: </w:t>
      </w:r>
    </w:p>
    <w:p w14:paraId="29340EEA" w14:textId="3590955D" w:rsidR="00D64D6B" w:rsidRDefault="00EA4882" w:rsidP="003E6FC9">
      <w:pPr>
        <w:rPr>
          <w:color w:val="0000FF"/>
          <w:u w:val="single"/>
        </w:rPr>
      </w:pPr>
      <w:hyperlink r:id="rId14" w:history="1">
        <w:r w:rsidR="00D64D6B" w:rsidRPr="00D64D6B">
          <w:rPr>
            <w:color w:val="0000FF"/>
            <w:u w:val="single"/>
          </w:rPr>
          <w:t>23-2222 - Professional Standards Department - Officer Suspensions/ Dismissals - with/without pay - 5 years - Police Scotland</w:t>
        </w:r>
      </w:hyperlink>
    </w:p>
    <w:p w14:paraId="0DFCAC6C" w14:textId="5C9AD778" w:rsidR="00644027" w:rsidRPr="00340AC2" w:rsidRDefault="00644027" w:rsidP="003E6FC9">
      <w:r w:rsidRPr="00340AC2">
        <w:t xml:space="preserve">For ease of reference, we have </w:t>
      </w:r>
      <w:r w:rsidR="00D64D6B" w:rsidRPr="00340AC2">
        <w:t>included</w:t>
      </w:r>
      <w:r w:rsidRPr="00340AC2">
        <w:t xml:space="preserve"> the </w:t>
      </w:r>
      <w:r w:rsidR="00257547">
        <w:t xml:space="preserve">relevant </w:t>
      </w:r>
      <w:r w:rsidRPr="00340AC2">
        <w:t>data in table</w:t>
      </w:r>
      <w:r w:rsidR="00245AEF">
        <w:t xml:space="preserve"> 1</w:t>
      </w:r>
      <w:r w:rsidRPr="00340AC2">
        <w:t>.</w:t>
      </w:r>
    </w:p>
    <w:p w14:paraId="73954CF4" w14:textId="004F615D" w:rsidR="003E6FC9" w:rsidRDefault="003E6FC9" w:rsidP="003E6FC9">
      <w:r>
        <w:t>The table details</w:t>
      </w:r>
      <w:r w:rsidRPr="00E41B35">
        <w:t xml:space="preserve"> the number of officers</w:t>
      </w:r>
      <w:r w:rsidR="00257547">
        <w:t xml:space="preserve"> and staff</w:t>
      </w:r>
      <w:r w:rsidRPr="00E41B35">
        <w:t xml:space="preserve"> whose suspensions </w:t>
      </w:r>
      <w:r w:rsidR="00340AC2" w:rsidRPr="00E41B35">
        <w:t>began</w:t>
      </w:r>
      <w:r w:rsidRPr="00E41B35">
        <w:t xml:space="preserve"> between </w:t>
      </w:r>
      <w:r>
        <w:t xml:space="preserve">1 April </w:t>
      </w:r>
      <w:r w:rsidRPr="00E41B35">
        <w:t>2018</w:t>
      </w:r>
      <w:r>
        <w:t xml:space="preserve"> and</w:t>
      </w:r>
      <w:r w:rsidRPr="00E41B35">
        <w:t xml:space="preserve"> 31</w:t>
      </w:r>
      <w:r>
        <w:t xml:space="preserve"> March </w:t>
      </w:r>
      <w:r w:rsidRPr="00E41B35">
        <w:t xml:space="preserve">2023, broken down by the financial year of commencement. </w:t>
      </w:r>
    </w:p>
    <w:p w14:paraId="55B960AC" w14:textId="4E1F555A" w:rsidR="00CC4B02" w:rsidRDefault="003E6FC9" w:rsidP="003E6FC9">
      <w:r w:rsidRPr="00E41B35">
        <w:t xml:space="preserve">Please note that officers whose suspension start date precedes this date period </w:t>
      </w:r>
      <w:r>
        <w:t xml:space="preserve">- </w:t>
      </w:r>
      <w:r w:rsidR="004F7C1A">
        <w:t>however</w:t>
      </w:r>
      <w:r w:rsidRPr="00E41B35">
        <w:t xml:space="preserve"> served a suspension during that period </w:t>
      </w:r>
      <w:r>
        <w:t>-</w:t>
      </w:r>
      <w:r w:rsidRPr="00E41B35">
        <w:t xml:space="preserve"> are not included in the figures provided below. </w:t>
      </w:r>
    </w:p>
    <w:p w14:paraId="0D1E8A41" w14:textId="0979D231" w:rsidR="004D0C2B" w:rsidRPr="005A2C54" w:rsidRDefault="004D0C2B" w:rsidP="003E6FC9">
      <w:pPr>
        <w:rPr>
          <w:rStyle w:val="Hyperlink"/>
          <w:color w:val="auto"/>
          <w:u w:val="none"/>
        </w:rPr>
      </w:pPr>
      <w:r w:rsidRPr="004D0C2B">
        <w:rPr>
          <w:rStyle w:val="Hyperlink"/>
          <w:i/>
          <w:iCs/>
          <w:color w:val="auto"/>
          <w:u w:val="none"/>
        </w:rPr>
        <w:lastRenderedPageBreak/>
        <w:t xml:space="preserve">Table </w:t>
      </w:r>
      <w:r>
        <w:rPr>
          <w:rStyle w:val="Hyperlink"/>
          <w:i/>
          <w:iCs/>
          <w:color w:val="auto"/>
          <w:u w:val="none"/>
        </w:rPr>
        <w:t>1</w:t>
      </w:r>
      <w:r w:rsidRPr="004D0C2B">
        <w:rPr>
          <w:rStyle w:val="Hyperlink"/>
          <w:i/>
          <w:iCs/>
          <w:color w:val="auto"/>
          <w:u w:val="none"/>
        </w:rPr>
        <w:t xml:space="preserve">: </w:t>
      </w:r>
      <w:r>
        <w:rPr>
          <w:i/>
          <w:iCs/>
        </w:rPr>
        <w:t xml:space="preserve">Suspensions </w:t>
      </w:r>
      <w:r w:rsidRPr="00CB583A">
        <w:rPr>
          <w:i/>
          <w:iCs/>
        </w:rPr>
        <w:t xml:space="preserve">by financial year </w:t>
      </w:r>
      <w:r>
        <w:rPr>
          <w:i/>
          <w:iCs/>
        </w:rPr>
        <w:t>(</w:t>
      </w:r>
      <w:r w:rsidRPr="00CB583A">
        <w:rPr>
          <w:i/>
          <w:iCs/>
        </w:rPr>
        <w:t>201</w:t>
      </w:r>
      <w:r w:rsidR="004F7C1A">
        <w:rPr>
          <w:i/>
          <w:iCs/>
        </w:rPr>
        <w:t>8</w:t>
      </w:r>
      <w:r w:rsidRPr="00CB583A">
        <w:rPr>
          <w:i/>
          <w:iCs/>
        </w:rPr>
        <w:t>/1</w:t>
      </w:r>
      <w:r w:rsidR="004F7C1A">
        <w:rPr>
          <w:i/>
          <w:iCs/>
        </w:rPr>
        <w:t>9</w:t>
      </w:r>
      <w:r w:rsidRPr="00CB583A">
        <w:rPr>
          <w:i/>
          <w:iCs/>
        </w:rPr>
        <w:t xml:space="preserve"> – 2022/23)</w:t>
      </w:r>
    </w:p>
    <w:tbl>
      <w:tblPr>
        <w:tblStyle w:val="TableGrid"/>
        <w:tblW w:w="0" w:type="auto"/>
        <w:tblLook w:val="04A0" w:firstRow="1" w:lastRow="0" w:firstColumn="1" w:lastColumn="0" w:noHBand="0" w:noVBand="1"/>
      </w:tblPr>
      <w:tblGrid>
        <w:gridCol w:w="1124"/>
        <w:gridCol w:w="750"/>
        <w:gridCol w:w="1124"/>
        <w:gridCol w:w="823"/>
        <w:gridCol w:w="1124"/>
        <w:gridCol w:w="786"/>
        <w:gridCol w:w="1130"/>
        <w:gridCol w:w="750"/>
        <w:gridCol w:w="1124"/>
        <w:gridCol w:w="893"/>
      </w:tblGrid>
      <w:tr w:rsidR="005A2C54" w14:paraId="626C189D" w14:textId="77777777" w:rsidTr="005A2C54">
        <w:tc>
          <w:tcPr>
            <w:tcW w:w="1754" w:type="dxa"/>
            <w:gridSpan w:val="2"/>
            <w:shd w:val="clear" w:color="auto" w:fill="BFBFBF" w:themeFill="background1" w:themeFillShade="BF"/>
          </w:tcPr>
          <w:p w14:paraId="28674637" w14:textId="06FB12E9" w:rsidR="005A2C54" w:rsidRPr="005A2C54" w:rsidRDefault="005A2C54" w:rsidP="005A2C54">
            <w:pPr>
              <w:jc w:val="center"/>
              <w:rPr>
                <w:b/>
                <w:bCs/>
              </w:rPr>
            </w:pPr>
            <w:r w:rsidRPr="005A2C54">
              <w:rPr>
                <w:b/>
                <w:bCs/>
              </w:rPr>
              <w:t>2018/19</w:t>
            </w:r>
          </w:p>
        </w:tc>
        <w:tc>
          <w:tcPr>
            <w:tcW w:w="1916" w:type="dxa"/>
            <w:gridSpan w:val="2"/>
            <w:shd w:val="clear" w:color="auto" w:fill="BFBFBF" w:themeFill="background1" w:themeFillShade="BF"/>
          </w:tcPr>
          <w:p w14:paraId="1CFD781C" w14:textId="5340FC37" w:rsidR="005A2C54" w:rsidRPr="005A2C54" w:rsidRDefault="005A2C54" w:rsidP="005A2C54">
            <w:pPr>
              <w:jc w:val="center"/>
              <w:rPr>
                <w:b/>
                <w:bCs/>
              </w:rPr>
            </w:pPr>
            <w:r w:rsidRPr="005A2C54">
              <w:rPr>
                <w:b/>
                <w:bCs/>
              </w:rPr>
              <w:t>2019/20</w:t>
            </w:r>
          </w:p>
        </w:tc>
        <w:tc>
          <w:tcPr>
            <w:tcW w:w="1854" w:type="dxa"/>
            <w:gridSpan w:val="2"/>
            <w:shd w:val="clear" w:color="auto" w:fill="BFBFBF" w:themeFill="background1" w:themeFillShade="BF"/>
          </w:tcPr>
          <w:p w14:paraId="42F592A1" w14:textId="15B784CE" w:rsidR="005A2C54" w:rsidRPr="005A2C54" w:rsidRDefault="005A2C54" w:rsidP="005A2C54">
            <w:pPr>
              <w:jc w:val="center"/>
              <w:rPr>
                <w:b/>
                <w:bCs/>
              </w:rPr>
            </w:pPr>
            <w:r w:rsidRPr="005A2C54">
              <w:rPr>
                <w:b/>
                <w:bCs/>
              </w:rPr>
              <w:t>2020/21</w:t>
            </w:r>
          </w:p>
        </w:tc>
        <w:tc>
          <w:tcPr>
            <w:tcW w:w="1844" w:type="dxa"/>
            <w:gridSpan w:val="2"/>
            <w:shd w:val="clear" w:color="auto" w:fill="BFBFBF" w:themeFill="background1" w:themeFillShade="BF"/>
          </w:tcPr>
          <w:p w14:paraId="6206F6C3" w14:textId="2F266821" w:rsidR="005A2C54" w:rsidRPr="005A2C54" w:rsidRDefault="005A2C54" w:rsidP="005A2C54">
            <w:pPr>
              <w:jc w:val="center"/>
              <w:rPr>
                <w:b/>
                <w:bCs/>
              </w:rPr>
            </w:pPr>
            <w:r w:rsidRPr="005A2C54">
              <w:rPr>
                <w:b/>
                <w:bCs/>
              </w:rPr>
              <w:t>2021/22</w:t>
            </w:r>
          </w:p>
        </w:tc>
        <w:tc>
          <w:tcPr>
            <w:tcW w:w="1983" w:type="dxa"/>
            <w:gridSpan w:val="2"/>
            <w:shd w:val="clear" w:color="auto" w:fill="BFBFBF" w:themeFill="background1" w:themeFillShade="BF"/>
          </w:tcPr>
          <w:p w14:paraId="40359399" w14:textId="72C525D0" w:rsidR="005A2C54" w:rsidRPr="005A2C54" w:rsidRDefault="005A2C54" w:rsidP="005A2C54">
            <w:pPr>
              <w:jc w:val="center"/>
              <w:rPr>
                <w:b/>
                <w:bCs/>
              </w:rPr>
            </w:pPr>
            <w:r w:rsidRPr="005A2C54">
              <w:rPr>
                <w:b/>
                <w:bCs/>
              </w:rPr>
              <w:t>2022/23</w:t>
            </w:r>
          </w:p>
        </w:tc>
      </w:tr>
      <w:tr w:rsidR="005A2C54" w14:paraId="73A0E3D8" w14:textId="021E244A" w:rsidTr="005A2C54">
        <w:tc>
          <w:tcPr>
            <w:tcW w:w="1044" w:type="dxa"/>
          </w:tcPr>
          <w:p w14:paraId="67F93C8A" w14:textId="0B08FDDC" w:rsidR="005A2C54" w:rsidRPr="005A2C54" w:rsidRDefault="005A2C54" w:rsidP="005A2C54">
            <w:pPr>
              <w:rPr>
                <w:b/>
                <w:bCs/>
              </w:rPr>
            </w:pPr>
            <w:r w:rsidRPr="005A2C54">
              <w:rPr>
                <w:b/>
                <w:bCs/>
              </w:rPr>
              <w:t>Officers</w:t>
            </w:r>
          </w:p>
        </w:tc>
        <w:tc>
          <w:tcPr>
            <w:tcW w:w="710" w:type="dxa"/>
          </w:tcPr>
          <w:p w14:paraId="5A1059BB" w14:textId="5D4EC8B7" w:rsidR="005A2C54" w:rsidRPr="005A2C54" w:rsidRDefault="005A2C54" w:rsidP="005A2C54">
            <w:pPr>
              <w:rPr>
                <w:b/>
                <w:bCs/>
              </w:rPr>
            </w:pPr>
            <w:r w:rsidRPr="005A2C54">
              <w:rPr>
                <w:b/>
                <w:bCs/>
              </w:rPr>
              <w:t>Staff</w:t>
            </w:r>
          </w:p>
        </w:tc>
        <w:tc>
          <w:tcPr>
            <w:tcW w:w="1043" w:type="dxa"/>
          </w:tcPr>
          <w:p w14:paraId="5F945D7C" w14:textId="6762B89A" w:rsidR="005A2C54" w:rsidRPr="005A2C54" w:rsidRDefault="005A2C54" w:rsidP="005A2C54">
            <w:pPr>
              <w:rPr>
                <w:b/>
                <w:bCs/>
              </w:rPr>
            </w:pPr>
            <w:r w:rsidRPr="005A2C54">
              <w:rPr>
                <w:b/>
                <w:bCs/>
              </w:rPr>
              <w:t>Officers</w:t>
            </w:r>
          </w:p>
        </w:tc>
        <w:tc>
          <w:tcPr>
            <w:tcW w:w="873" w:type="dxa"/>
          </w:tcPr>
          <w:p w14:paraId="46A5602F" w14:textId="2DFAF319" w:rsidR="005A2C54" w:rsidRPr="005A2C54" w:rsidRDefault="005A2C54" w:rsidP="005A2C54">
            <w:pPr>
              <w:rPr>
                <w:b/>
                <w:bCs/>
              </w:rPr>
            </w:pPr>
            <w:r w:rsidRPr="005A2C54">
              <w:rPr>
                <w:b/>
                <w:bCs/>
              </w:rPr>
              <w:t>Staff</w:t>
            </w:r>
          </w:p>
        </w:tc>
        <w:tc>
          <w:tcPr>
            <w:tcW w:w="1043" w:type="dxa"/>
          </w:tcPr>
          <w:p w14:paraId="59D358B4" w14:textId="5355313C" w:rsidR="005A2C54" w:rsidRPr="005A2C54" w:rsidRDefault="005A2C54" w:rsidP="005A2C54">
            <w:pPr>
              <w:rPr>
                <w:b/>
                <w:bCs/>
              </w:rPr>
            </w:pPr>
            <w:r w:rsidRPr="005A2C54">
              <w:rPr>
                <w:b/>
                <w:bCs/>
              </w:rPr>
              <w:t>Officers</w:t>
            </w:r>
          </w:p>
        </w:tc>
        <w:tc>
          <w:tcPr>
            <w:tcW w:w="811" w:type="dxa"/>
          </w:tcPr>
          <w:p w14:paraId="1CE88E21" w14:textId="6431023F" w:rsidR="005A2C54" w:rsidRPr="005A2C54" w:rsidRDefault="005A2C54" w:rsidP="005A2C54">
            <w:pPr>
              <w:rPr>
                <w:b/>
                <w:bCs/>
              </w:rPr>
            </w:pPr>
            <w:r w:rsidRPr="005A2C54">
              <w:rPr>
                <w:b/>
                <w:bCs/>
              </w:rPr>
              <w:t>Staff</w:t>
            </w:r>
          </w:p>
        </w:tc>
        <w:tc>
          <w:tcPr>
            <w:tcW w:w="1134" w:type="dxa"/>
          </w:tcPr>
          <w:p w14:paraId="1BFED87F" w14:textId="4EE077F1" w:rsidR="005A2C54" w:rsidRPr="005A2C54" w:rsidRDefault="005A2C54" w:rsidP="005A2C54">
            <w:pPr>
              <w:rPr>
                <w:b/>
                <w:bCs/>
              </w:rPr>
            </w:pPr>
            <w:r w:rsidRPr="005A2C54">
              <w:rPr>
                <w:b/>
                <w:bCs/>
              </w:rPr>
              <w:t>Officers</w:t>
            </w:r>
          </w:p>
        </w:tc>
        <w:tc>
          <w:tcPr>
            <w:tcW w:w="710" w:type="dxa"/>
          </w:tcPr>
          <w:p w14:paraId="37F1C7F1" w14:textId="30E95290" w:rsidR="005A2C54" w:rsidRPr="005A2C54" w:rsidRDefault="005A2C54" w:rsidP="005A2C54">
            <w:pPr>
              <w:rPr>
                <w:b/>
                <w:bCs/>
              </w:rPr>
            </w:pPr>
            <w:r w:rsidRPr="005A2C54">
              <w:rPr>
                <w:b/>
                <w:bCs/>
              </w:rPr>
              <w:t>Staff</w:t>
            </w:r>
          </w:p>
        </w:tc>
        <w:tc>
          <w:tcPr>
            <w:tcW w:w="991" w:type="dxa"/>
          </w:tcPr>
          <w:p w14:paraId="1AC43138" w14:textId="3EEEF16E" w:rsidR="005A2C54" w:rsidRPr="005A2C54" w:rsidRDefault="005A2C54" w:rsidP="005A2C54">
            <w:pPr>
              <w:rPr>
                <w:b/>
                <w:bCs/>
              </w:rPr>
            </w:pPr>
            <w:r w:rsidRPr="005A2C54">
              <w:rPr>
                <w:b/>
                <w:bCs/>
              </w:rPr>
              <w:t>Officers</w:t>
            </w:r>
          </w:p>
        </w:tc>
        <w:tc>
          <w:tcPr>
            <w:tcW w:w="992" w:type="dxa"/>
          </w:tcPr>
          <w:p w14:paraId="5962E6F9" w14:textId="0E14FBD0" w:rsidR="005A2C54" w:rsidRPr="005A2C54" w:rsidRDefault="005A2C54" w:rsidP="005A2C54">
            <w:pPr>
              <w:rPr>
                <w:b/>
                <w:bCs/>
              </w:rPr>
            </w:pPr>
            <w:r w:rsidRPr="005A2C54">
              <w:rPr>
                <w:b/>
                <w:bCs/>
              </w:rPr>
              <w:t>Staff</w:t>
            </w:r>
          </w:p>
        </w:tc>
      </w:tr>
      <w:tr w:rsidR="005A2C54" w14:paraId="37CAACF1" w14:textId="77777777" w:rsidTr="005A2C54">
        <w:tc>
          <w:tcPr>
            <w:tcW w:w="1044" w:type="dxa"/>
          </w:tcPr>
          <w:p w14:paraId="19EC91AA" w14:textId="4D7910A5" w:rsidR="005A2C54" w:rsidRPr="003E6FC9" w:rsidRDefault="003E6FC9" w:rsidP="005A2C54">
            <w:r>
              <w:t>12</w:t>
            </w:r>
          </w:p>
        </w:tc>
        <w:tc>
          <w:tcPr>
            <w:tcW w:w="710" w:type="dxa"/>
          </w:tcPr>
          <w:p w14:paraId="239CF43C" w14:textId="31DF897B" w:rsidR="005A2C54" w:rsidRPr="003E6FC9" w:rsidRDefault="00340AC2" w:rsidP="005A2C54">
            <w:r>
              <w:t>6</w:t>
            </w:r>
          </w:p>
        </w:tc>
        <w:tc>
          <w:tcPr>
            <w:tcW w:w="1043" w:type="dxa"/>
          </w:tcPr>
          <w:p w14:paraId="57527497" w14:textId="30F3BC28" w:rsidR="005A2C54" w:rsidRPr="003E6FC9" w:rsidRDefault="003E6FC9" w:rsidP="005A2C54">
            <w:r>
              <w:t>22</w:t>
            </w:r>
          </w:p>
        </w:tc>
        <w:tc>
          <w:tcPr>
            <w:tcW w:w="873" w:type="dxa"/>
          </w:tcPr>
          <w:p w14:paraId="114FBA0C" w14:textId="67AA0D4C" w:rsidR="005A2C54" w:rsidRPr="003E6FC9" w:rsidRDefault="00340AC2" w:rsidP="005A2C54">
            <w:r>
              <w:t>3</w:t>
            </w:r>
          </w:p>
        </w:tc>
        <w:tc>
          <w:tcPr>
            <w:tcW w:w="1043" w:type="dxa"/>
          </w:tcPr>
          <w:p w14:paraId="3AA11522" w14:textId="709BF45B" w:rsidR="005A2C54" w:rsidRPr="003E6FC9" w:rsidRDefault="003E6FC9" w:rsidP="005A2C54">
            <w:r>
              <w:t>25</w:t>
            </w:r>
          </w:p>
        </w:tc>
        <w:tc>
          <w:tcPr>
            <w:tcW w:w="811" w:type="dxa"/>
          </w:tcPr>
          <w:p w14:paraId="50B48AB9" w14:textId="01CCFFBE" w:rsidR="005A2C54" w:rsidRPr="003E6FC9" w:rsidRDefault="00340AC2" w:rsidP="005A2C54">
            <w:r>
              <w:t>3</w:t>
            </w:r>
          </w:p>
        </w:tc>
        <w:tc>
          <w:tcPr>
            <w:tcW w:w="1134" w:type="dxa"/>
          </w:tcPr>
          <w:p w14:paraId="393ABF16" w14:textId="7F2862B4" w:rsidR="005A2C54" w:rsidRPr="003E6FC9" w:rsidRDefault="003E6FC9" w:rsidP="005A2C54">
            <w:r>
              <w:t>28</w:t>
            </w:r>
          </w:p>
        </w:tc>
        <w:tc>
          <w:tcPr>
            <w:tcW w:w="710" w:type="dxa"/>
          </w:tcPr>
          <w:p w14:paraId="1DC18DB4" w14:textId="1A9D3E9D" w:rsidR="005A2C54" w:rsidRPr="003E6FC9" w:rsidRDefault="00340AC2" w:rsidP="005A2C54">
            <w:r>
              <w:t>10</w:t>
            </w:r>
          </w:p>
        </w:tc>
        <w:tc>
          <w:tcPr>
            <w:tcW w:w="991" w:type="dxa"/>
          </w:tcPr>
          <w:p w14:paraId="2565FCA6" w14:textId="2E0410A7" w:rsidR="005A2C54" w:rsidRPr="003E6FC9" w:rsidRDefault="003E6FC9" w:rsidP="005A2C54">
            <w:r>
              <w:t>50</w:t>
            </w:r>
          </w:p>
        </w:tc>
        <w:tc>
          <w:tcPr>
            <w:tcW w:w="992" w:type="dxa"/>
          </w:tcPr>
          <w:p w14:paraId="549A2001" w14:textId="1D77D3FF" w:rsidR="005A2C54" w:rsidRPr="003E6FC9" w:rsidRDefault="00340AC2" w:rsidP="005A2C54">
            <w:r>
              <w:t>8</w:t>
            </w:r>
          </w:p>
        </w:tc>
      </w:tr>
    </w:tbl>
    <w:p w14:paraId="06A9FD2C" w14:textId="4720CD91" w:rsidR="00CC4B02" w:rsidRPr="00CC4B02" w:rsidRDefault="00CC4B02" w:rsidP="005A2C54">
      <w:pPr>
        <w:rPr>
          <w:i/>
          <w:iCs/>
          <w:color w:val="FF0000"/>
        </w:rPr>
      </w:pPr>
    </w:p>
    <w:p w14:paraId="66EDC144" w14:textId="723CF8E6" w:rsidR="00453F54" w:rsidRDefault="00453F54" w:rsidP="003467F1">
      <w:pPr>
        <w:pStyle w:val="Heading2"/>
        <w:numPr>
          <w:ilvl w:val="0"/>
          <w:numId w:val="11"/>
        </w:numPr>
        <w:rPr>
          <w:rFonts w:eastAsia="Times New Roman"/>
        </w:rPr>
      </w:pPr>
      <w:r>
        <w:rPr>
          <w:rFonts w:eastAsia="Times New Roman"/>
        </w:rPr>
        <w:t>The total amount paid in wages to officers and staff who were suspended with full pay due to misconduct allegations during the financial years 2018-19; 2019-20; 2020-21; 2021-22; 2022-23</w:t>
      </w:r>
    </w:p>
    <w:p w14:paraId="350B7AB8" w14:textId="4FDDB160" w:rsidR="003E6FC9" w:rsidRPr="00A12591" w:rsidRDefault="003E6FC9" w:rsidP="003E6FC9">
      <w:pPr>
        <w:tabs>
          <w:tab w:val="left" w:pos="5400"/>
        </w:tabs>
      </w:pPr>
      <w:r w:rsidRPr="00A12591">
        <w:t>In response</w:t>
      </w:r>
      <w:r>
        <w:t xml:space="preserve"> to this question</w:t>
      </w:r>
      <w:r w:rsidR="00CC4B02">
        <w:t xml:space="preserve"> </w:t>
      </w:r>
      <w:r w:rsidRPr="00A12591">
        <w:t>I regret to inform you that I am unable to provide you with the information you have requested, as it would prove too costly to do so within the context of the fee regulations.</w:t>
      </w:r>
    </w:p>
    <w:p w14:paraId="146FC1C2" w14:textId="77777777" w:rsidR="003E6FC9" w:rsidRPr="00A12591" w:rsidRDefault="003E6FC9" w:rsidP="003E6FC9">
      <w:pPr>
        <w:tabs>
          <w:tab w:val="left" w:pos="5400"/>
        </w:tabs>
      </w:pPr>
      <w:r w:rsidRPr="00A12591">
        <w:t>As you may be aware the current cost threshold is £600 and I estimate that it would cost well in excess of this amount to process your request.</w:t>
      </w:r>
    </w:p>
    <w:p w14:paraId="1E68EBF2" w14:textId="77777777" w:rsidR="003E6FC9" w:rsidRPr="00A12591" w:rsidRDefault="003E6FC9" w:rsidP="003E6FC9">
      <w:pPr>
        <w:tabs>
          <w:tab w:val="left" w:pos="5400"/>
        </w:tabs>
      </w:pPr>
      <w:r w:rsidRPr="00A12591">
        <w:t>As such, and in terms of Section 16(4) of the Freedom of Information (Scotland) Act 2002 where Section 12(1) of the Act (Excessive Cost of Compliance) has been applied, this represents a refusal notice for the information sought.</w:t>
      </w:r>
    </w:p>
    <w:p w14:paraId="3A306CCB" w14:textId="77777777" w:rsidR="003E6FC9" w:rsidRDefault="003E6FC9" w:rsidP="003E6FC9">
      <w:pPr>
        <w:tabs>
          <w:tab w:val="left" w:pos="5400"/>
        </w:tabs>
        <w:rPr>
          <w:bCs/>
        </w:rPr>
      </w:pPr>
      <w:r w:rsidRPr="00A12591">
        <w:rPr>
          <w:bCs/>
        </w:rPr>
        <w:t xml:space="preserve">To first explain, payments to suspended individuals are not specifically marked and would be calculated by payroll in the normal manner and paid directly.   </w:t>
      </w:r>
    </w:p>
    <w:p w14:paraId="6ECA8554" w14:textId="77777777" w:rsidR="003E6FC9" w:rsidRPr="00A12591" w:rsidRDefault="003E6FC9" w:rsidP="003E6FC9">
      <w:pPr>
        <w:tabs>
          <w:tab w:val="left" w:pos="5400"/>
        </w:tabs>
        <w:rPr>
          <w:bCs/>
        </w:rPr>
      </w:pPr>
      <w:r w:rsidRPr="00A12591">
        <w:t xml:space="preserve">As there is no automated method of identifying the relevant expenditure, any undertaking to identify such payments would require us to interrogate our payroll system for details relating to every relevant officer in each of the time periods requested.  </w:t>
      </w:r>
    </w:p>
    <w:p w14:paraId="6A69E2B2" w14:textId="77777777" w:rsidR="003E6FC9" w:rsidRPr="00A12591" w:rsidRDefault="003E6FC9" w:rsidP="003E6FC9">
      <w:pPr>
        <w:tabs>
          <w:tab w:val="left" w:pos="5400"/>
        </w:tabs>
      </w:pPr>
      <w:r w:rsidRPr="00A12591">
        <w:t>In summary, without a largely manual exercise we would have no way of answering this question.</w:t>
      </w:r>
    </w:p>
    <w:p w14:paraId="7B2AB82D" w14:textId="77777777" w:rsidR="003E6FC9" w:rsidRDefault="003E6FC9" w:rsidP="003E6FC9">
      <w:pPr>
        <w:tabs>
          <w:tab w:val="left" w:pos="5400"/>
        </w:tabs>
      </w:pPr>
      <w:r w:rsidRPr="00A12591">
        <w:t xml:space="preserve">As the </w:t>
      </w:r>
      <w:r>
        <w:t>information</w:t>
      </w:r>
      <w:r w:rsidRPr="00A12591">
        <w:t xml:space="preserve"> requested </w:t>
      </w:r>
      <w:r>
        <w:t>is</w:t>
      </w:r>
      <w:r w:rsidRPr="00A12591">
        <w:t xml:space="preserve"> not held in a</w:t>
      </w:r>
      <w:r>
        <w:t>n easily</w:t>
      </w:r>
      <w:r w:rsidRPr="00A12591">
        <w:t xml:space="preserve"> retrievable format</w:t>
      </w:r>
      <w:r>
        <w:t>,</w:t>
      </w:r>
      <w:r w:rsidRPr="00A12591">
        <w:t xml:space="preserve"> </w:t>
      </w:r>
      <w:r>
        <w:t xml:space="preserve">the research and calculations involved </w:t>
      </w:r>
      <w:r w:rsidRPr="00A12591">
        <w:t xml:space="preserve">would </w:t>
      </w:r>
      <w:r>
        <w:t>require</w:t>
      </w:r>
      <w:r w:rsidRPr="00A12591">
        <w:t xml:space="preserve"> significant </w:t>
      </w:r>
      <w:r>
        <w:t>resource, assessed to exceed the</w:t>
      </w:r>
      <w:r w:rsidRPr="00A12591">
        <w:t xml:space="preserve"> £600 cost </w:t>
      </w:r>
      <w:r w:rsidRPr="007E51F5">
        <w:t>limit.</w:t>
      </w:r>
    </w:p>
    <w:p w14:paraId="30E89DAB" w14:textId="77777777" w:rsidR="003E6FC9" w:rsidRDefault="003E6FC9" w:rsidP="003E6FC9">
      <w:pPr>
        <w:tabs>
          <w:tab w:val="left" w:pos="5400"/>
        </w:tabs>
      </w:pPr>
      <w:r>
        <w:t xml:space="preserve">You may however be interested in police officer salary information - </w:t>
      </w:r>
      <w:hyperlink r:id="rId15" w:history="1">
        <w:r>
          <w:rPr>
            <w:rStyle w:val="Hyperlink"/>
          </w:rPr>
          <w:t>Pay and Grading Structure - Police Scotland</w:t>
        </w:r>
      </w:hyperlink>
      <w:r>
        <w:t>.</w:t>
      </w:r>
    </w:p>
    <w:p w14:paraId="7A61BF26" w14:textId="05A441DB" w:rsidR="007C0AC3" w:rsidRDefault="00340AC2" w:rsidP="003E6FC9">
      <w:pPr>
        <w:tabs>
          <w:tab w:val="left" w:pos="5400"/>
        </w:tabs>
      </w:pPr>
      <w:r>
        <w:lastRenderedPageBreak/>
        <w:t xml:space="preserve">In terms of police staff, </w:t>
      </w:r>
      <w:r w:rsidR="00257547">
        <w:t xml:space="preserve">to be of some assistance </w:t>
      </w:r>
      <w:r>
        <w:t xml:space="preserve">I can provide some limited information in respect of </w:t>
      </w:r>
      <w:r w:rsidR="00257547">
        <w:t xml:space="preserve">the relevant </w:t>
      </w:r>
      <w:r>
        <w:t>salary scales</w:t>
      </w:r>
      <w:r w:rsidR="00257547">
        <w:t xml:space="preserve"> which apply</w:t>
      </w:r>
      <w:r>
        <w:t>:</w:t>
      </w:r>
    </w:p>
    <w:tbl>
      <w:tblPr>
        <w:tblW w:w="9771" w:type="dxa"/>
        <w:tblCellMar>
          <w:left w:w="0" w:type="dxa"/>
          <w:right w:w="0" w:type="dxa"/>
        </w:tblCellMar>
        <w:tblLook w:val="04A0" w:firstRow="1" w:lastRow="0" w:firstColumn="1" w:lastColumn="0" w:noHBand="0" w:noVBand="1"/>
      </w:tblPr>
      <w:tblGrid>
        <w:gridCol w:w="1129"/>
        <w:gridCol w:w="8642"/>
      </w:tblGrid>
      <w:tr w:rsidR="00340AC2" w:rsidRPr="00340AC2" w14:paraId="694F2140" w14:textId="77777777" w:rsidTr="00251B74">
        <w:tc>
          <w:tcPr>
            <w:tcW w:w="11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6382002" w14:textId="77777777" w:rsidR="00340AC2" w:rsidRPr="00340AC2" w:rsidRDefault="00340AC2" w:rsidP="00340AC2"/>
        </w:tc>
        <w:tc>
          <w:tcPr>
            <w:tcW w:w="86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2854EF" w14:textId="77777777" w:rsidR="00340AC2" w:rsidRPr="00340AC2" w:rsidRDefault="00340AC2" w:rsidP="00340AC2">
            <w:pPr>
              <w:rPr>
                <w:b/>
                <w:bCs/>
              </w:rPr>
            </w:pPr>
            <w:r w:rsidRPr="00340AC2">
              <w:rPr>
                <w:b/>
                <w:bCs/>
                <w:color w:val="000000"/>
              </w:rPr>
              <w:t>Pay Grade</w:t>
            </w:r>
          </w:p>
        </w:tc>
      </w:tr>
      <w:tr w:rsidR="00340AC2" w:rsidRPr="00340AC2" w14:paraId="620D64AF" w14:textId="77777777" w:rsidTr="00340AC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B8F96" w14:textId="77777777" w:rsidR="00340AC2" w:rsidRPr="00340AC2" w:rsidRDefault="00340AC2" w:rsidP="00340AC2">
            <w:pPr>
              <w:rPr>
                <w:b/>
                <w:bCs/>
              </w:rPr>
            </w:pPr>
            <w:r w:rsidRPr="00340AC2">
              <w:rPr>
                <w:b/>
                <w:bCs/>
              </w:rPr>
              <w:t>2018/19</w:t>
            </w:r>
          </w:p>
        </w:tc>
        <w:tc>
          <w:tcPr>
            <w:tcW w:w="8642" w:type="dxa"/>
            <w:tcBorders>
              <w:top w:val="nil"/>
              <w:left w:val="nil"/>
              <w:bottom w:val="single" w:sz="8" w:space="0" w:color="auto"/>
              <w:right w:val="single" w:sz="8" w:space="0" w:color="auto"/>
            </w:tcBorders>
            <w:tcMar>
              <w:top w:w="0" w:type="dxa"/>
              <w:left w:w="108" w:type="dxa"/>
              <w:bottom w:w="0" w:type="dxa"/>
              <w:right w:w="108" w:type="dxa"/>
            </w:tcMar>
            <w:hideMark/>
          </w:tcPr>
          <w:p w14:paraId="1F60DD10" w14:textId="77777777" w:rsidR="00340AC2" w:rsidRPr="00340AC2" w:rsidRDefault="00340AC2" w:rsidP="00340AC2">
            <w:r w:rsidRPr="00340AC2">
              <w:t>Grades 3, 4, 5 and 10</w:t>
            </w:r>
          </w:p>
        </w:tc>
      </w:tr>
      <w:tr w:rsidR="00340AC2" w:rsidRPr="00340AC2" w14:paraId="42283EEC" w14:textId="77777777" w:rsidTr="00340AC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C7E6B" w14:textId="77777777" w:rsidR="00340AC2" w:rsidRPr="00340AC2" w:rsidRDefault="00340AC2" w:rsidP="00340AC2">
            <w:pPr>
              <w:rPr>
                <w:b/>
                <w:bCs/>
              </w:rPr>
            </w:pPr>
            <w:r w:rsidRPr="00340AC2">
              <w:rPr>
                <w:b/>
                <w:bCs/>
              </w:rPr>
              <w:t>2019/20</w:t>
            </w:r>
          </w:p>
        </w:tc>
        <w:tc>
          <w:tcPr>
            <w:tcW w:w="8642" w:type="dxa"/>
            <w:tcBorders>
              <w:top w:val="nil"/>
              <w:left w:val="nil"/>
              <w:bottom w:val="single" w:sz="8" w:space="0" w:color="auto"/>
              <w:right w:val="single" w:sz="8" w:space="0" w:color="auto"/>
            </w:tcBorders>
            <w:tcMar>
              <w:top w:w="0" w:type="dxa"/>
              <w:left w:w="108" w:type="dxa"/>
              <w:bottom w:w="0" w:type="dxa"/>
              <w:right w:w="108" w:type="dxa"/>
            </w:tcMar>
            <w:hideMark/>
          </w:tcPr>
          <w:p w14:paraId="19C1FD89" w14:textId="77777777" w:rsidR="00340AC2" w:rsidRPr="00340AC2" w:rsidRDefault="00340AC2" w:rsidP="00340AC2">
            <w:r w:rsidRPr="00340AC2">
              <w:t>Grades 4, 7 and 9</w:t>
            </w:r>
          </w:p>
        </w:tc>
      </w:tr>
      <w:tr w:rsidR="00340AC2" w:rsidRPr="00340AC2" w14:paraId="10BABE7F" w14:textId="77777777" w:rsidTr="00340AC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2A885" w14:textId="77777777" w:rsidR="00340AC2" w:rsidRPr="00340AC2" w:rsidRDefault="00340AC2" w:rsidP="00340AC2">
            <w:pPr>
              <w:rPr>
                <w:b/>
                <w:bCs/>
              </w:rPr>
            </w:pPr>
            <w:r w:rsidRPr="00340AC2">
              <w:rPr>
                <w:b/>
                <w:bCs/>
              </w:rPr>
              <w:t>2020/21</w:t>
            </w:r>
          </w:p>
        </w:tc>
        <w:tc>
          <w:tcPr>
            <w:tcW w:w="8642" w:type="dxa"/>
            <w:tcBorders>
              <w:top w:val="nil"/>
              <w:left w:val="nil"/>
              <w:bottom w:val="single" w:sz="8" w:space="0" w:color="auto"/>
              <w:right w:val="single" w:sz="8" w:space="0" w:color="auto"/>
            </w:tcBorders>
            <w:tcMar>
              <w:top w:w="0" w:type="dxa"/>
              <w:left w:w="108" w:type="dxa"/>
              <w:bottom w:w="0" w:type="dxa"/>
              <w:right w:w="108" w:type="dxa"/>
            </w:tcMar>
            <w:hideMark/>
          </w:tcPr>
          <w:p w14:paraId="6753B103" w14:textId="77777777" w:rsidR="00340AC2" w:rsidRPr="00340AC2" w:rsidRDefault="00340AC2" w:rsidP="00340AC2">
            <w:r w:rsidRPr="00340AC2">
              <w:t>Grades 3 and 9</w:t>
            </w:r>
          </w:p>
        </w:tc>
      </w:tr>
      <w:tr w:rsidR="00340AC2" w:rsidRPr="00340AC2" w14:paraId="03F54814" w14:textId="77777777" w:rsidTr="00340AC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AD205" w14:textId="77777777" w:rsidR="00340AC2" w:rsidRPr="00340AC2" w:rsidRDefault="00340AC2" w:rsidP="00340AC2">
            <w:pPr>
              <w:rPr>
                <w:b/>
                <w:bCs/>
              </w:rPr>
            </w:pPr>
            <w:r w:rsidRPr="00340AC2">
              <w:rPr>
                <w:b/>
                <w:bCs/>
              </w:rPr>
              <w:t>2021/22</w:t>
            </w:r>
          </w:p>
        </w:tc>
        <w:tc>
          <w:tcPr>
            <w:tcW w:w="8642" w:type="dxa"/>
            <w:tcBorders>
              <w:top w:val="nil"/>
              <w:left w:val="nil"/>
              <w:bottom w:val="single" w:sz="8" w:space="0" w:color="auto"/>
              <w:right w:val="single" w:sz="8" w:space="0" w:color="auto"/>
            </w:tcBorders>
            <w:tcMar>
              <w:top w:w="0" w:type="dxa"/>
              <w:left w:w="108" w:type="dxa"/>
              <w:bottom w:w="0" w:type="dxa"/>
              <w:right w:w="108" w:type="dxa"/>
            </w:tcMar>
            <w:hideMark/>
          </w:tcPr>
          <w:p w14:paraId="42B71033" w14:textId="77777777" w:rsidR="00340AC2" w:rsidRPr="00340AC2" w:rsidRDefault="00340AC2" w:rsidP="00340AC2">
            <w:r w:rsidRPr="00340AC2">
              <w:t>Grades 3, 4, 5 and 6</w:t>
            </w:r>
          </w:p>
        </w:tc>
      </w:tr>
      <w:tr w:rsidR="00340AC2" w:rsidRPr="00340AC2" w14:paraId="2C1D5051" w14:textId="77777777" w:rsidTr="00340AC2">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AC8AE" w14:textId="77777777" w:rsidR="00340AC2" w:rsidRPr="00340AC2" w:rsidRDefault="00340AC2" w:rsidP="00340AC2">
            <w:pPr>
              <w:rPr>
                <w:b/>
                <w:bCs/>
              </w:rPr>
            </w:pPr>
            <w:r w:rsidRPr="00340AC2">
              <w:rPr>
                <w:b/>
                <w:bCs/>
              </w:rPr>
              <w:t>2022/23</w:t>
            </w:r>
          </w:p>
        </w:tc>
        <w:tc>
          <w:tcPr>
            <w:tcW w:w="8642" w:type="dxa"/>
            <w:tcBorders>
              <w:top w:val="nil"/>
              <w:left w:val="nil"/>
              <w:bottom w:val="single" w:sz="8" w:space="0" w:color="auto"/>
              <w:right w:val="single" w:sz="8" w:space="0" w:color="auto"/>
            </w:tcBorders>
            <w:tcMar>
              <w:top w:w="0" w:type="dxa"/>
              <w:left w:w="108" w:type="dxa"/>
              <w:bottom w:w="0" w:type="dxa"/>
              <w:right w:w="108" w:type="dxa"/>
            </w:tcMar>
            <w:hideMark/>
          </w:tcPr>
          <w:p w14:paraId="79A0E27A" w14:textId="17A657BA" w:rsidR="00340AC2" w:rsidRPr="00340AC2" w:rsidRDefault="00340AC2" w:rsidP="00340AC2">
            <w:r w:rsidRPr="00340AC2">
              <w:t xml:space="preserve">Grade 3, 4, 5,8 and </w:t>
            </w:r>
            <w:r>
              <w:t>c</w:t>
            </w:r>
            <w:r w:rsidRPr="00340AC2">
              <w:t>ontractor</w:t>
            </w:r>
          </w:p>
        </w:tc>
      </w:tr>
    </w:tbl>
    <w:p w14:paraId="3E61DD9B" w14:textId="77777777" w:rsidR="00340AC2" w:rsidRDefault="00340AC2" w:rsidP="003E6FC9">
      <w:pPr>
        <w:tabs>
          <w:tab w:val="left" w:pos="5400"/>
        </w:tabs>
      </w:pPr>
    </w:p>
    <w:p w14:paraId="48180DF3" w14:textId="77777777" w:rsidR="003E6FC9" w:rsidRPr="00135623" w:rsidRDefault="003E6FC9" w:rsidP="003E6FC9">
      <w:pPr>
        <w:pStyle w:val="Heading2"/>
        <w:rPr>
          <w:rFonts w:eastAsia="Times New Roman"/>
        </w:rPr>
      </w:pPr>
      <w:r>
        <w:rPr>
          <w:rFonts w:eastAsia="Times New Roman"/>
        </w:rPr>
        <w:t>3. The average time it took the force to investigate and close misconduct allegations during the five-year period mentioned above, including how long it took (in days) for the lengthiest investigation to conclude.</w:t>
      </w:r>
    </w:p>
    <w:p w14:paraId="640FC268" w14:textId="62B00482" w:rsidR="00251B74" w:rsidRDefault="00251B74" w:rsidP="00251B74">
      <w:r>
        <w:t>In order to respond to this question, a manual check of all potential files held in this respect would be required in order to provide an accurate response</w:t>
      </w:r>
      <w:r w:rsidR="004F7C1A">
        <w:t>.</w:t>
      </w:r>
      <w:r>
        <w:t xml:space="preserve"> </w:t>
      </w:r>
    </w:p>
    <w:p w14:paraId="4BA20711" w14:textId="77777777" w:rsidR="00251B74" w:rsidRPr="00C707C4" w:rsidRDefault="00251B74" w:rsidP="00251B74">
      <w:pPr>
        <w:rPr>
          <w:rFonts w:cstheme="minorHAnsi"/>
        </w:rPr>
      </w:pPr>
      <w:r>
        <w:t xml:space="preserve">On this occasion it is assessed that the cost of locating, retrieving and providing the information sought would take over 40 hours and be in excess of the £600 cost limit.  </w:t>
      </w:r>
    </w:p>
    <w:p w14:paraId="1235896E" w14:textId="21CD95FB" w:rsidR="00257547" w:rsidRDefault="00251B74" w:rsidP="00251B74">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59D37B96" w14:textId="77777777" w:rsidR="002A57CE" w:rsidRDefault="002A57CE" w:rsidP="00251B74"/>
    <w:p w14:paraId="38B444A4" w14:textId="4A070B88" w:rsidR="002A57CE" w:rsidRDefault="002A57CE" w:rsidP="002A57CE">
      <w:pPr>
        <w:pStyle w:val="Heading2"/>
        <w:rPr>
          <w:rFonts w:eastAsia="Times New Roman"/>
        </w:rPr>
      </w:pPr>
      <w:r>
        <w:rPr>
          <w:rFonts w:eastAsia="Times New Roman"/>
        </w:rPr>
        <w:t xml:space="preserve">4 a) </w:t>
      </w:r>
      <w:r w:rsidR="003E6FC9">
        <w:rPr>
          <w:rFonts w:eastAsia="Times New Roman"/>
        </w:rPr>
        <w:t>The number of officers and staff who were dismissed due to misconduct during the period</w:t>
      </w:r>
      <w:r>
        <w:rPr>
          <w:rFonts w:eastAsia="Times New Roman"/>
        </w:rPr>
        <w:t xml:space="preserve">. </w:t>
      </w:r>
    </w:p>
    <w:p w14:paraId="5B6F662C" w14:textId="7EA2D0F0" w:rsidR="002A57CE" w:rsidRDefault="002A57CE" w:rsidP="002A57CE">
      <w:r w:rsidRPr="00340AC2">
        <w:t xml:space="preserve">Information relating to </w:t>
      </w:r>
      <w:r>
        <w:t xml:space="preserve">this part of </w:t>
      </w:r>
      <w:r w:rsidRPr="00340AC2">
        <w:t xml:space="preserve">your request </w:t>
      </w:r>
      <w:r>
        <w:t xml:space="preserve">was </w:t>
      </w:r>
      <w:r w:rsidRPr="00340AC2">
        <w:t xml:space="preserve">published in </w:t>
      </w:r>
      <w:r>
        <w:t>September</w:t>
      </w:r>
      <w:r w:rsidRPr="00340AC2">
        <w:t xml:space="preserve"> 2023 following a request for similar information which can be found via the link below: </w:t>
      </w:r>
    </w:p>
    <w:p w14:paraId="5BAF8B70" w14:textId="77777777" w:rsidR="002A57CE" w:rsidRDefault="00EA4882" w:rsidP="002A57CE">
      <w:hyperlink r:id="rId16" w:history="1">
        <w:r w:rsidR="002A57CE">
          <w:rPr>
            <w:rStyle w:val="Hyperlink"/>
          </w:rPr>
          <w:t>23-2093 - Professional Standards Department - Officer dismissals - 6 years - Police Scotland</w:t>
        </w:r>
      </w:hyperlink>
    </w:p>
    <w:p w14:paraId="78851F47" w14:textId="7CA01B5D" w:rsidR="002A57CE" w:rsidRPr="00340AC2" w:rsidRDefault="002A57CE" w:rsidP="002A57CE">
      <w:r w:rsidRPr="00340AC2">
        <w:t xml:space="preserve">For ease of reference, </w:t>
      </w:r>
      <w:r>
        <w:t>this information has been replicated here:</w:t>
      </w:r>
    </w:p>
    <w:p w14:paraId="260DCD99" w14:textId="3775E5EA" w:rsidR="002A57CE" w:rsidRPr="00CB583A" w:rsidRDefault="002A57CE" w:rsidP="002A57CE">
      <w:r>
        <w:lastRenderedPageBreak/>
        <w:t xml:space="preserve">There were 12 </w:t>
      </w:r>
      <w:r w:rsidRPr="00E41B35">
        <w:t xml:space="preserve">officers </w:t>
      </w:r>
      <w:r w:rsidRPr="00CB583A">
        <w:t xml:space="preserve">dismissed </w:t>
      </w:r>
      <w:r>
        <w:t>following disciplinary proceedings in the period requested (based on actual hearing date)</w:t>
      </w:r>
      <w:r w:rsidR="004F7C1A">
        <w:t xml:space="preserve"> between 01 </w:t>
      </w:r>
      <w:r w:rsidR="00BA6F87">
        <w:t>April</w:t>
      </w:r>
      <w:r w:rsidR="004F7C1A">
        <w:t xml:space="preserve"> 2018 and 31 March 2023</w:t>
      </w:r>
      <w:r>
        <w:t xml:space="preserve">.  </w:t>
      </w:r>
      <w:r w:rsidRPr="00CB583A">
        <w:t>Please note that this total excludes any officer dismissals which were overturned following appeal.</w:t>
      </w:r>
    </w:p>
    <w:p w14:paraId="27B7AF09" w14:textId="4CC2BAA5" w:rsidR="002A57CE" w:rsidRDefault="002A57CE" w:rsidP="002A57CE">
      <w:r>
        <w:t xml:space="preserve">There were three police staff dismissed in the same period. </w:t>
      </w:r>
    </w:p>
    <w:p w14:paraId="29A7BFD8" w14:textId="2E60C1B9" w:rsidR="003E6FC9" w:rsidRDefault="002A57CE" w:rsidP="002A57CE">
      <w:pPr>
        <w:pStyle w:val="Heading2"/>
        <w:rPr>
          <w:rFonts w:eastAsia="Times New Roman"/>
        </w:rPr>
      </w:pPr>
      <w:r>
        <w:rPr>
          <w:rFonts w:eastAsia="Times New Roman"/>
        </w:rPr>
        <w:t>4 b) T</w:t>
      </w:r>
      <w:r w:rsidR="003E6FC9">
        <w:rPr>
          <w:rFonts w:eastAsia="Times New Roman"/>
        </w:rPr>
        <w:t xml:space="preserve">he number of staff and officers who left the force but </w:t>
      </w:r>
      <w:r w:rsidR="003E6FC9" w:rsidRPr="002A57CE">
        <w:rPr>
          <w:rFonts w:eastAsia="Times New Roman"/>
          <w:i/>
          <w:iCs/>
        </w:rPr>
        <w:t>would have been</w:t>
      </w:r>
      <w:r w:rsidR="003E6FC9">
        <w:rPr>
          <w:rFonts w:eastAsia="Times New Roman"/>
        </w:rPr>
        <w:t xml:space="preserve"> dismissed during the period.</w:t>
      </w:r>
    </w:p>
    <w:p w14:paraId="63099C04" w14:textId="1B35FD81" w:rsidR="00510F2F" w:rsidRDefault="00510F2F" w:rsidP="00510F2F">
      <w:r>
        <w:t xml:space="preserve">In terms of whether </w:t>
      </w:r>
      <w:r w:rsidR="00251B74">
        <w:t>individuals that left during the discipline process would have been dismissed</w:t>
      </w:r>
      <w:r>
        <w:t xml:space="preserve">, </w:t>
      </w:r>
      <w:r w:rsidRPr="00C54039">
        <w:t xml:space="preserve">your request appears to be seeking hypothetical information </w:t>
      </w:r>
      <w:r w:rsidR="00EA4882">
        <w:t xml:space="preserve">which I must advise you </w:t>
      </w:r>
      <w:r w:rsidRPr="00C54039">
        <w:t xml:space="preserve">does not fall within the remit of the </w:t>
      </w:r>
      <w:r>
        <w:t xml:space="preserve">Act. </w:t>
      </w:r>
    </w:p>
    <w:p w14:paraId="02B3395F" w14:textId="77777777" w:rsidR="00510F2F" w:rsidRPr="00C54039" w:rsidRDefault="00510F2F" w:rsidP="00510F2F">
      <w:r w:rsidRPr="00C54039">
        <w:t>For this reason I must respond in terms of Section 17(1) of the Act: Information not held.</w:t>
      </w:r>
    </w:p>
    <w:p w14:paraId="7D3EE675" w14:textId="6C8C5150" w:rsidR="00583B84" w:rsidRDefault="00583B84" w:rsidP="00583B84">
      <w:pPr>
        <w:tabs>
          <w:tab w:val="left" w:pos="5400"/>
        </w:tabs>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227B6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8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3BF94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8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0ECF5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8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EC2C5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882">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C8B28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8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9E9EB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4882">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F95572"/>
    <w:multiLevelType w:val="hybridMultilevel"/>
    <w:tmpl w:val="4C0AB4F0"/>
    <w:lvl w:ilvl="0" w:tplc="0E482AA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0F57EC"/>
    <w:multiLevelType w:val="hybridMultilevel"/>
    <w:tmpl w:val="AE30DC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23EF4"/>
    <w:multiLevelType w:val="hybridMultilevel"/>
    <w:tmpl w:val="28162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9076E9"/>
    <w:multiLevelType w:val="hybridMultilevel"/>
    <w:tmpl w:val="CBA04AA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5"/>
  </w:num>
  <w:num w:numId="3" w16cid:durableId="1175532872">
    <w:abstractNumId w:val="0"/>
  </w:num>
  <w:num w:numId="4" w16cid:durableId="286279427">
    <w:abstractNumId w:val="6"/>
  </w:num>
  <w:num w:numId="5" w16cid:durableId="1878201142">
    <w:abstractNumId w:val="3"/>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2780268">
    <w:abstractNumId w:val="1"/>
  </w:num>
  <w:num w:numId="8" w16cid:durableId="620385">
    <w:abstractNumId w:val="1"/>
  </w:num>
  <w:num w:numId="9" w16cid:durableId="660741854">
    <w:abstractNumId w:val="7"/>
  </w:num>
  <w:num w:numId="10" w16cid:durableId="608663406">
    <w:abstractNumId w:val="4"/>
  </w:num>
  <w:num w:numId="11" w16cid:durableId="28863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B4546"/>
    <w:rsid w:val="000E6526"/>
    <w:rsid w:val="00113E4C"/>
    <w:rsid w:val="00135623"/>
    <w:rsid w:val="00141533"/>
    <w:rsid w:val="00167528"/>
    <w:rsid w:val="00195CC4"/>
    <w:rsid w:val="00201EA3"/>
    <w:rsid w:val="00245AEF"/>
    <w:rsid w:val="00251B74"/>
    <w:rsid w:val="00253DF6"/>
    <w:rsid w:val="00255F1E"/>
    <w:rsid w:val="00257547"/>
    <w:rsid w:val="00285081"/>
    <w:rsid w:val="002A57CE"/>
    <w:rsid w:val="002C1F1E"/>
    <w:rsid w:val="00312E3E"/>
    <w:rsid w:val="00340AC2"/>
    <w:rsid w:val="003467F1"/>
    <w:rsid w:val="0036503B"/>
    <w:rsid w:val="003D5169"/>
    <w:rsid w:val="003D6D03"/>
    <w:rsid w:val="003E12CA"/>
    <w:rsid w:val="003E6FC9"/>
    <w:rsid w:val="003F39B7"/>
    <w:rsid w:val="003F517D"/>
    <w:rsid w:val="004010DC"/>
    <w:rsid w:val="0040137A"/>
    <w:rsid w:val="004341F0"/>
    <w:rsid w:val="0043796F"/>
    <w:rsid w:val="00446DF4"/>
    <w:rsid w:val="00453F54"/>
    <w:rsid w:val="00456324"/>
    <w:rsid w:val="00475460"/>
    <w:rsid w:val="00490317"/>
    <w:rsid w:val="00491644"/>
    <w:rsid w:val="00496A08"/>
    <w:rsid w:val="004D0C2B"/>
    <w:rsid w:val="004E1605"/>
    <w:rsid w:val="004F4E24"/>
    <w:rsid w:val="004F653C"/>
    <w:rsid w:val="004F7C1A"/>
    <w:rsid w:val="00510F2F"/>
    <w:rsid w:val="00524696"/>
    <w:rsid w:val="00540A52"/>
    <w:rsid w:val="00557306"/>
    <w:rsid w:val="005816D1"/>
    <w:rsid w:val="00583B84"/>
    <w:rsid w:val="005A2C54"/>
    <w:rsid w:val="005C0D87"/>
    <w:rsid w:val="005E6A4B"/>
    <w:rsid w:val="00644027"/>
    <w:rsid w:val="00650FE6"/>
    <w:rsid w:val="00663826"/>
    <w:rsid w:val="00663D1B"/>
    <w:rsid w:val="00705EB9"/>
    <w:rsid w:val="00706E8D"/>
    <w:rsid w:val="00747352"/>
    <w:rsid w:val="00750D83"/>
    <w:rsid w:val="00793DD5"/>
    <w:rsid w:val="007C03BC"/>
    <w:rsid w:val="007C0AC3"/>
    <w:rsid w:val="007D21C9"/>
    <w:rsid w:val="007D55F6"/>
    <w:rsid w:val="007F490F"/>
    <w:rsid w:val="007F759B"/>
    <w:rsid w:val="008516BE"/>
    <w:rsid w:val="0086779C"/>
    <w:rsid w:val="00874BFD"/>
    <w:rsid w:val="008964EF"/>
    <w:rsid w:val="009363C7"/>
    <w:rsid w:val="0096318D"/>
    <w:rsid w:val="009631A4"/>
    <w:rsid w:val="00977296"/>
    <w:rsid w:val="00A141A4"/>
    <w:rsid w:val="00A25E93"/>
    <w:rsid w:val="00A320FF"/>
    <w:rsid w:val="00A70AC0"/>
    <w:rsid w:val="00AC443C"/>
    <w:rsid w:val="00B06BCD"/>
    <w:rsid w:val="00B11A55"/>
    <w:rsid w:val="00B17211"/>
    <w:rsid w:val="00B227AC"/>
    <w:rsid w:val="00B239DF"/>
    <w:rsid w:val="00B461B2"/>
    <w:rsid w:val="00B71B3C"/>
    <w:rsid w:val="00B834DC"/>
    <w:rsid w:val="00BA2F48"/>
    <w:rsid w:val="00BA6F87"/>
    <w:rsid w:val="00BC389E"/>
    <w:rsid w:val="00BE60AF"/>
    <w:rsid w:val="00BF6B81"/>
    <w:rsid w:val="00C077A8"/>
    <w:rsid w:val="00C56BF3"/>
    <w:rsid w:val="00C606A2"/>
    <w:rsid w:val="00C63872"/>
    <w:rsid w:val="00C84948"/>
    <w:rsid w:val="00CC4B02"/>
    <w:rsid w:val="00CF1111"/>
    <w:rsid w:val="00D05706"/>
    <w:rsid w:val="00D15491"/>
    <w:rsid w:val="00D2226F"/>
    <w:rsid w:val="00D27DC5"/>
    <w:rsid w:val="00D47E36"/>
    <w:rsid w:val="00D64D6B"/>
    <w:rsid w:val="00DA19D7"/>
    <w:rsid w:val="00E448C2"/>
    <w:rsid w:val="00E55D79"/>
    <w:rsid w:val="00E805DC"/>
    <w:rsid w:val="00EA4882"/>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D6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80586434">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39799627">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5436932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s://www.scotland.police.uk/spa-media/kqeo5ogi/disciplinary-sop.docx" TargetMode="External"/><Relationship Id="rId18" Type="http://schemas.openxmlformats.org/officeDocument/2006/relationships/hyperlink" Target="http://www.itspublicknowledge.info/Appea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scotland.police.uk/spa-media/3mbmetbo/suspension-from-duty-sop.pdf" TargetMode="External"/><Relationship Id="rId17" Type="http://schemas.openxmlformats.org/officeDocument/2006/relationships/hyperlink" Target="mailto:foi@scotland.police.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otland.police.uk/access-to-information/freedom-of-information/disclosure-log/disclosure-log-2023/september/23-2093-professional-standards-department-officer-dismissals-6-years/" TargetMode="External"/><Relationship Id="rId20" Type="http://schemas.openxmlformats.org/officeDocument/2006/relationships/hyperlink" Target="http://www.scotland.police.uk/access-to-information/freedom-of-information/disclosure-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lgyddvsi/complaints-about-the-police-sop.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otland.police.uk/about-us/finance/pay-and-grading-structur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yperlink" Target="mailto:enquiries@itspublicknowledge.info" TargetMode="Externa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s://www.scotland.police.uk/access-to-information/freedom-of-information/disclosure-log/disclosure-log-2023/september/23-2222-professional-standards-department-officer-suspensions-dismissals-with-without-pay-5-year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7092</Characters>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2024-04-08T14:10:00Z</dcterms:created>
  <dcterms:modified xsi:type="dcterms:W3CDTF">2024-04-08T14:10:00Z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