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299AA0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F5A04">
              <w:t>2414</w:t>
            </w:r>
          </w:p>
          <w:p w14:paraId="34BDABA6" w14:textId="3475BCF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1602E">
              <w:t>2</w:t>
            </w:r>
            <w:r w:rsidR="00D64E2A">
              <w:t>2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30DB57C" w14:textId="77777777" w:rsidR="000F5A04" w:rsidRPr="000F5A04" w:rsidRDefault="000F5A04" w:rsidP="000F5A0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F5A04">
        <w:rPr>
          <w:rFonts w:eastAsiaTheme="majorEastAsia" w:cstheme="majorBidi"/>
          <w:b/>
          <w:color w:val="000000" w:themeColor="text1"/>
          <w:szCs w:val="26"/>
        </w:rPr>
        <w:t>This request relates to growing public concern over headlight glare and road safety, including reports of dazzling headlights and possible misuse of over-bright or misaligned lighting (such as LED conversions).</w:t>
      </w:r>
    </w:p>
    <w:p w14:paraId="3910D12C" w14:textId="77777777" w:rsidR="000F5A04" w:rsidRPr="000F5A04" w:rsidRDefault="000F5A04" w:rsidP="000F5A0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F5A04">
        <w:rPr>
          <w:rFonts w:eastAsiaTheme="majorEastAsia" w:cstheme="majorBidi"/>
          <w:b/>
          <w:color w:val="000000" w:themeColor="text1"/>
          <w:szCs w:val="26"/>
        </w:rPr>
        <w:t>For each calendar year from 2020 through to the most recent available data in 2025, please provide:</w:t>
      </w:r>
    </w:p>
    <w:p w14:paraId="7A7E0217" w14:textId="1301D2F0" w:rsidR="000F5A04" w:rsidRPr="00BD6BD4" w:rsidRDefault="000F5A04" w:rsidP="00BD6BD4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D6BD4">
        <w:rPr>
          <w:rFonts w:eastAsiaTheme="majorEastAsia" w:cstheme="majorBidi"/>
          <w:b/>
          <w:color w:val="000000" w:themeColor="text1"/>
          <w:szCs w:val="26"/>
        </w:rPr>
        <w:t>The number of road traffic collisions recorded where the contributing factor was:</w:t>
      </w:r>
    </w:p>
    <w:p w14:paraId="1B699F60" w14:textId="77777777" w:rsidR="00BD6BD4" w:rsidRPr="00BD6BD4" w:rsidRDefault="000F5A04" w:rsidP="00BD6BD4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D6BD4">
        <w:rPr>
          <w:rFonts w:eastAsiaTheme="majorEastAsia" w:cstheme="majorBidi"/>
          <w:b/>
          <w:color w:val="000000" w:themeColor="text1"/>
          <w:szCs w:val="26"/>
        </w:rPr>
        <w:t xml:space="preserve">"Dazzling headlights", </w:t>
      </w:r>
    </w:p>
    <w:p w14:paraId="1EC4B27C" w14:textId="77777777" w:rsidR="00BD6BD4" w:rsidRPr="00BD6BD4" w:rsidRDefault="000F5A04" w:rsidP="00BD6BD4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D6BD4">
        <w:rPr>
          <w:rFonts w:eastAsiaTheme="majorEastAsia" w:cstheme="majorBidi"/>
          <w:b/>
          <w:color w:val="000000" w:themeColor="text1"/>
          <w:szCs w:val="26"/>
        </w:rPr>
        <w:t xml:space="preserve">"Headlight glare", </w:t>
      </w:r>
    </w:p>
    <w:p w14:paraId="62C34873" w14:textId="3E13F5AD" w:rsidR="000F5A04" w:rsidRDefault="000F5A04" w:rsidP="00BD6BD4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D6BD4">
        <w:rPr>
          <w:rFonts w:eastAsiaTheme="majorEastAsia" w:cstheme="majorBidi"/>
          <w:b/>
          <w:color w:val="000000" w:themeColor="text1"/>
          <w:szCs w:val="26"/>
        </w:rPr>
        <w:t>Or any similar wording used in your reporting system</w:t>
      </w:r>
    </w:p>
    <w:p w14:paraId="7E7289FA" w14:textId="72BDBA00" w:rsidR="00657135" w:rsidRDefault="00657135" w:rsidP="00776E5F">
      <w:r>
        <w:t xml:space="preserve">Please note that a reportable collision is defined at </w:t>
      </w:r>
      <w:hyperlink r:id="rId11" w:history="1">
        <w:r w:rsidRPr="005524DB">
          <w:rPr>
            <w:rStyle w:val="Hyperlink"/>
          </w:rPr>
          <w:t>section 170 of the Road Traffic Act 1988</w:t>
        </w:r>
      </w:hyperlink>
      <w:r>
        <w:t xml:space="preserve"> and describes the legal responsibility on those drivers involved to report the matter to the police.  Where those involved exchange personal details, there is no legal requirement to report a collision to the police, and this applies particularly to non-injury collisions.</w:t>
      </w:r>
    </w:p>
    <w:p w14:paraId="437FE8F1" w14:textId="7CB87A07" w:rsidR="00657135" w:rsidRDefault="00657135" w:rsidP="009D6A6A">
      <w:r>
        <w:t>As such, there may have been other collisions at the location specified in your request, which were not reported to Police Scotland, or which were reported, but did not require a collision report to be created.  Any such incidents will therefore not be included within the data.</w:t>
      </w:r>
    </w:p>
    <w:p w14:paraId="697D4959" w14:textId="6E19C574" w:rsidR="009D1974" w:rsidRDefault="009D6A6A" w:rsidP="009D6A6A">
      <w:r>
        <w:t xml:space="preserve">In response to your </w:t>
      </w:r>
      <w:r w:rsidR="0060483A">
        <w:t>request,</w:t>
      </w:r>
      <w:r>
        <w:t xml:space="preserve"> I must advise you that there are two data sets to be</w:t>
      </w:r>
      <w:r w:rsidR="0060483A">
        <w:t xml:space="preserve"> </w:t>
      </w:r>
      <w:r>
        <w:t>considered</w:t>
      </w:r>
      <w:r w:rsidR="009D1974">
        <w:t>: Contributory Factors and Road Safety Factors.</w:t>
      </w:r>
    </w:p>
    <w:p w14:paraId="67099A94" w14:textId="30E2FD2D" w:rsidR="0060483A" w:rsidRDefault="009D6A6A" w:rsidP="009D6A6A">
      <w:r>
        <w:t>To explain</w:t>
      </w:r>
      <w:r w:rsidR="0060483A">
        <w:t xml:space="preserve">, </w:t>
      </w:r>
      <w:r w:rsidR="00657135">
        <w:t>in</w:t>
      </w:r>
      <w:r>
        <w:t xml:space="preserve"> March 2025 the Department of Transport moved to using Road Safety Factors (RSF) which replaced Contributory Factor</w:t>
      </w:r>
      <w:r w:rsidR="009D1974">
        <w:t>s on the record</w:t>
      </w:r>
      <w:r w:rsidR="00657135">
        <w:t>ing</w:t>
      </w:r>
      <w:r w:rsidR="009D1974">
        <w:t xml:space="preserve"> system.</w:t>
      </w:r>
      <w:r w:rsidR="00E96706">
        <w:t xml:space="preserve"> </w:t>
      </w:r>
    </w:p>
    <w:p w14:paraId="0F6FFC29" w14:textId="23EF4DF8" w:rsidR="0021602E" w:rsidRDefault="00E96706" w:rsidP="009D6A6A">
      <w:r>
        <w:t xml:space="preserve">RSF’s reduce the number of categories. The </w:t>
      </w:r>
      <w:r w:rsidR="0060483A">
        <w:t>C</w:t>
      </w:r>
      <w:r>
        <w:t xml:space="preserve">ontributory </w:t>
      </w:r>
      <w:r w:rsidR="0060483A">
        <w:t>F</w:t>
      </w:r>
      <w:r>
        <w:t xml:space="preserve">actor ‘Dazzling Headlights’ </w:t>
      </w:r>
      <w:r w:rsidR="0021602E">
        <w:t>is now recorded</w:t>
      </w:r>
      <w:r>
        <w:t xml:space="preserve"> </w:t>
      </w:r>
      <w:r w:rsidR="0060483A">
        <w:t xml:space="preserve">under RSF – ‘Distraction to driver/ rider from inside/ outside or on vehicle’ </w:t>
      </w:r>
      <w:r w:rsidR="0060483A">
        <w:lastRenderedPageBreak/>
        <w:t>however</w:t>
      </w:r>
      <w:r w:rsidR="000515AA">
        <w:t xml:space="preserve"> </w:t>
      </w:r>
      <w:r w:rsidR="0060483A">
        <w:t xml:space="preserve">this category </w:t>
      </w:r>
      <w:r w:rsidR="0021602E">
        <w:t>i</w:t>
      </w:r>
      <w:r w:rsidR="0060483A">
        <w:t>n</w:t>
      </w:r>
      <w:r w:rsidR="00EC66C7">
        <w:t>corporates</w:t>
      </w:r>
      <w:r w:rsidR="0060483A">
        <w:t xml:space="preserve"> two other Contributory Factors – ‘Distraction in vehicle’ &amp; ‘Distraction outside vehicle’ and it is not possible to refine between them. </w:t>
      </w:r>
    </w:p>
    <w:p w14:paraId="7251976A" w14:textId="1251B664" w:rsidR="009D1974" w:rsidRDefault="0060483A" w:rsidP="009D6A6A">
      <w:r>
        <w:t xml:space="preserve">As such we have provided the data </w:t>
      </w:r>
      <w:r w:rsidR="0021602E">
        <w:t xml:space="preserve">requested </w:t>
      </w:r>
      <w:r>
        <w:t>in two separate tables</w:t>
      </w:r>
      <w:r w:rsidR="0021602E">
        <w:t>. I</w:t>
      </w:r>
      <w:r>
        <w:t xml:space="preserve">t is important to note that the data </w:t>
      </w:r>
      <w:r w:rsidR="00C96461">
        <w:t>cannot</w:t>
      </w:r>
      <w:r>
        <w:t xml:space="preserve"> be compared directly due to the differences in recording. </w:t>
      </w:r>
    </w:p>
    <w:p w14:paraId="31EE497F" w14:textId="77777777" w:rsidR="0060483A" w:rsidRDefault="0060483A" w:rsidP="00776E5F"/>
    <w:p w14:paraId="31B88BC5" w14:textId="77777777" w:rsidR="0006392B" w:rsidRDefault="006D7DA0" w:rsidP="00776E5F">
      <w:pPr>
        <w:rPr>
          <w:b/>
          <w:bCs/>
        </w:rPr>
      </w:pPr>
      <w:r w:rsidRPr="0060483A">
        <w:rPr>
          <w:b/>
          <w:bCs/>
        </w:rPr>
        <w:t>Road Traffic Collisions which include</w:t>
      </w:r>
      <w:r w:rsidR="009D6A6A" w:rsidRPr="0060483A">
        <w:rPr>
          <w:b/>
          <w:bCs/>
        </w:rPr>
        <w:t xml:space="preserve"> ‘Dazzling headlights’ selected as the Contributory Factor</w:t>
      </w:r>
      <w:r w:rsidR="00DD7B60" w:rsidRPr="0060483A">
        <w:rPr>
          <w:b/>
          <w:bCs/>
        </w:rPr>
        <w:t xml:space="preserve"> </w:t>
      </w:r>
    </w:p>
    <w:p w14:paraId="56FFCB7F" w14:textId="25378C24" w:rsidR="00E24F69" w:rsidRPr="0006392B" w:rsidRDefault="0006392B" w:rsidP="00776E5F">
      <w:r w:rsidRPr="0006392B">
        <w:t>P</w:t>
      </w:r>
      <w:r w:rsidR="009D6A6A" w:rsidRPr="0006392B">
        <w:t>eriod</w:t>
      </w:r>
      <w:r>
        <w:t>:</w:t>
      </w:r>
      <w:r w:rsidR="009D6A6A" w:rsidRPr="0006392B">
        <w:t xml:space="preserve"> 01/01/2020</w:t>
      </w:r>
      <w:r>
        <w:t xml:space="preserve"> </w:t>
      </w:r>
      <w:r w:rsidR="009D6A6A" w:rsidRPr="0006392B">
        <w:t>-</w:t>
      </w:r>
      <w:r>
        <w:t xml:space="preserve"> </w:t>
      </w:r>
      <w:r w:rsidR="009D6A6A" w:rsidRPr="0006392B">
        <w:t>30/04/2025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230"/>
        <w:gridCol w:w="750"/>
        <w:gridCol w:w="750"/>
        <w:gridCol w:w="750"/>
        <w:gridCol w:w="750"/>
        <w:gridCol w:w="750"/>
        <w:gridCol w:w="2471"/>
      </w:tblGrid>
      <w:tr w:rsidR="009D6A6A" w:rsidRPr="00557306" w14:paraId="612A49F2" w14:textId="77777777" w:rsidTr="009D6A6A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5D16B06A" w14:textId="574192EE" w:rsidR="009D6A6A" w:rsidRPr="00557306" w:rsidRDefault="009D6A6A" w:rsidP="00266888">
            <w:pPr>
              <w:spacing w:line="240" w:lineRule="auto"/>
              <w:rPr>
                <w:b/>
              </w:rPr>
            </w:pPr>
            <w:r>
              <w:rPr>
                <w:b/>
              </w:rPr>
              <w:t>Collision Severity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C8BD4B" w14:textId="251204DD" w:rsidR="009D6A6A" w:rsidRDefault="009D6A6A" w:rsidP="0026688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6CC67E" w14:textId="078929BE" w:rsidR="009D6A6A" w:rsidRDefault="009D6A6A" w:rsidP="0026688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D00ED9" w14:textId="2E1D9615" w:rsidR="009D6A6A" w:rsidRPr="00557306" w:rsidRDefault="009D6A6A" w:rsidP="0026688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D694D1" w14:textId="396E4DB8" w:rsidR="009D6A6A" w:rsidRPr="00557306" w:rsidRDefault="009D6A6A" w:rsidP="0026688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17E4AD" w14:textId="2BC0DF81" w:rsidR="009D6A6A" w:rsidRPr="00557306" w:rsidRDefault="009D6A6A" w:rsidP="0026688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AC9703" w14:textId="5C9CFF99" w:rsidR="009D6A6A" w:rsidRDefault="009D6A6A" w:rsidP="0026688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 (to 30/04/2025)</w:t>
            </w:r>
          </w:p>
        </w:tc>
      </w:tr>
      <w:tr w:rsidR="009D6A6A" w14:paraId="029C310C" w14:textId="77777777" w:rsidTr="009D6A6A">
        <w:tc>
          <w:tcPr>
            <w:tcW w:w="0" w:type="auto"/>
          </w:tcPr>
          <w:p w14:paraId="2E63AC7F" w14:textId="2639ED97" w:rsidR="009D6A6A" w:rsidRDefault="009D6A6A" w:rsidP="00266888">
            <w:pPr>
              <w:tabs>
                <w:tab w:val="left" w:pos="5400"/>
              </w:tabs>
              <w:spacing w:line="240" w:lineRule="auto"/>
            </w:pPr>
            <w:r>
              <w:t>Fatal</w:t>
            </w:r>
          </w:p>
        </w:tc>
        <w:tc>
          <w:tcPr>
            <w:tcW w:w="0" w:type="auto"/>
          </w:tcPr>
          <w:p w14:paraId="0589F6AB" w14:textId="73E76C19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B4F5B1" w14:textId="5AB53465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3F89933" w14:textId="5707376F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7319EBBA" w14:textId="75440CE0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475333C" w14:textId="5C485C5E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F3B5797" w14:textId="2F1AD5A7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D6A6A" w14:paraId="4D1CB2A8" w14:textId="77777777" w:rsidTr="009D6A6A">
        <w:tc>
          <w:tcPr>
            <w:tcW w:w="0" w:type="auto"/>
          </w:tcPr>
          <w:p w14:paraId="3D125022" w14:textId="79B9FAAD" w:rsidR="009D6A6A" w:rsidRDefault="009D6A6A" w:rsidP="00266888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  <w:tc>
          <w:tcPr>
            <w:tcW w:w="0" w:type="auto"/>
          </w:tcPr>
          <w:p w14:paraId="66662B59" w14:textId="102AE555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EB8A03D" w14:textId="74A7F5A8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B12917" w14:textId="4AE693C9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4822D00" w14:textId="4EAEDCF1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1053B15" w14:textId="663C1C50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0B8658D" w14:textId="33833A51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D6A6A" w14:paraId="5A0FF5B6" w14:textId="77777777" w:rsidTr="009D6A6A">
        <w:tc>
          <w:tcPr>
            <w:tcW w:w="0" w:type="auto"/>
          </w:tcPr>
          <w:p w14:paraId="60FEA81A" w14:textId="27E8C4A6" w:rsidR="009D6A6A" w:rsidRDefault="009D6A6A" w:rsidP="00266888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  <w:tc>
          <w:tcPr>
            <w:tcW w:w="0" w:type="auto"/>
          </w:tcPr>
          <w:p w14:paraId="41096D02" w14:textId="58ACB73C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27D7B8E" w14:textId="6A882E9B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194A9C1" w14:textId="0AC06688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F41403B" w14:textId="255EF53A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549FFA9" w14:textId="2B1721C6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2E1C358" w14:textId="53FDFB56" w:rsidR="009D6A6A" w:rsidRDefault="009D6A6A" w:rsidP="00266888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D6A6A" w14:paraId="765C753D" w14:textId="77777777" w:rsidTr="009D6A6A">
        <w:tc>
          <w:tcPr>
            <w:tcW w:w="0" w:type="auto"/>
          </w:tcPr>
          <w:p w14:paraId="315232F1" w14:textId="63828CD1" w:rsidR="009D6A6A" w:rsidRPr="00FB058C" w:rsidRDefault="009D6A6A" w:rsidP="0026688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B058C"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3B616FDE" w14:textId="74FE4BF7" w:rsidR="009D6A6A" w:rsidRPr="00FB058C" w:rsidRDefault="009D6A6A" w:rsidP="0026688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10346B85" w14:textId="0570E4D3" w:rsidR="009D6A6A" w:rsidRPr="00FB058C" w:rsidRDefault="009D6A6A" w:rsidP="0026688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737393FE" w14:textId="122A2116" w:rsidR="009D6A6A" w:rsidRPr="00FB058C" w:rsidRDefault="009D6A6A" w:rsidP="0026688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3401790D" w14:textId="46F26638" w:rsidR="009D6A6A" w:rsidRPr="00FB058C" w:rsidRDefault="009D6A6A" w:rsidP="0026688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378DB247" w14:textId="4EB5CA33" w:rsidR="009D6A6A" w:rsidRPr="00FB058C" w:rsidRDefault="009D6A6A" w:rsidP="0026688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51FD1D5E" w14:textId="519FFF1D" w:rsidR="009D6A6A" w:rsidRPr="00FB058C" w:rsidRDefault="009D6A6A" w:rsidP="0026688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601C24BD" w14:textId="77777777" w:rsidR="005D2F05" w:rsidRPr="00CB66EF" w:rsidRDefault="009D6A6A" w:rsidP="009D6A6A">
      <w:pPr>
        <w:rPr>
          <w:i/>
          <w:iCs/>
        </w:rPr>
      </w:pPr>
      <w:r w:rsidRPr="00CB66EF">
        <w:rPr>
          <w:i/>
          <w:iCs/>
        </w:rPr>
        <w:t xml:space="preserve">All statistics are provisional and should be treated as management information. </w:t>
      </w:r>
    </w:p>
    <w:p w14:paraId="79AF5E69" w14:textId="0B066432" w:rsidR="009D6A6A" w:rsidRPr="00CB66EF" w:rsidRDefault="005D2F05" w:rsidP="009D6A6A">
      <w:pPr>
        <w:rPr>
          <w:i/>
          <w:iCs/>
        </w:rPr>
      </w:pPr>
      <w:r w:rsidRPr="00CB66EF">
        <w:rPr>
          <w:i/>
          <w:iCs/>
        </w:rPr>
        <w:t>D</w:t>
      </w:r>
      <w:r w:rsidR="009D6A6A" w:rsidRPr="00CB66EF">
        <w:rPr>
          <w:i/>
          <w:iCs/>
        </w:rPr>
        <w:t xml:space="preserve">ata </w:t>
      </w:r>
      <w:r w:rsidRPr="00CB66EF">
        <w:rPr>
          <w:i/>
          <w:iCs/>
        </w:rPr>
        <w:t xml:space="preserve">was </w:t>
      </w:r>
      <w:r w:rsidR="009D6A6A" w:rsidRPr="00CB66EF">
        <w:rPr>
          <w:i/>
          <w:iCs/>
        </w:rPr>
        <w:t>extracted from Police Scotland internal systems and are correct as at 15/10/2025.</w:t>
      </w:r>
    </w:p>
    <w:p w14:paraId="0491CC72" w14:textId="55FE46AC" w:rsidR="009D6A6A" w:rsidRPr="00CB66EF" w:rsidRDefault="009D6A6A" w:rsidP="009D6A6A">
      <w:pPr>
        <w:rPr>
          <w:i/>
          <w:iCs/>
        </w:rPr>
      </w:pPr>
      <w:r w:rsidRPr="00CB66EF">
        <w:rPr>
          <w:i/>
          <w:iCs/>
        </w:rPr>
        <w:t>Data excludes non-injury collisions as per standard operating procedure.</w:t>
      </w:r>
    </w:p>
    <w:p w14:paraId="62F3F7FD" w14:textId="271BCF98" w:rsidR="009D6A6A" w:rsidRPr="00CB66EF" w:rsidRDefault="005D2F05" w:rsidP="009D6A6A">
      <w:pPr>
        <w:rPr>
          <w:i/>
          <w:iCs/>
        </w:rPr>
      </w:pPr>
      <w:r w:rsidRPr="00CB66EF">
        <w:rPr>
          <w:i/>
          <w:iCs/>
        </w:rPr>
        <w:t>D</w:t>
      </w:r>
      <w:r w:rsidR="009D6A6A" w:rsidRPr="00CB66EF">
        <w:rPr>
          <w:i/>
          <w:iCs/>
        </w:rPr>
        <w:t xml:space="preserve">ata is subject to change and will be updated on the next extract of data from CRaSH on </w:t>
      </w:r>
      <w:r w:rsidRPr="00CB66EF">
        <w:rPr>
          <w:i/>
          <w:iCs/>
        </w:rPr>
        <w:t>03/11/2025</w:t>
      </w:r>
      <w:r w:rsidR="009D6A6A" w:rsidRPr="00CB66EF">
        <w:rPr>
          <w:i/>
          <w:iCs/>
        </w:rPr>
        <w:t>.</w:t>
      </w:r>
    </w:p>
    <w:p w14:paraId="2070FB06" w14:textId="77777777" w:rsidR="009D6A6A" w:rsidRPr="00CB66EF" w:rsidRDefault="009D6A6A" w:rsidP="009D6A6A">
      <w:pPr>
        <w:rPr>
          <w:i/>
          <w:iCs/>
        </w:rPr>
      </w:pPr>
      <w:r w:rsidRPr="00CB66EF">
        <w:rPr>
          <w:i/>
          <w:iCs/>
        </w:rPr>
        <w:t>Records with a Contributory Factor of "Dazzling Headlights" have been selected. Please Note - other Contributory Factors could apply.</w:t>
      </w:r>
      <w:r w:rsidRPr="00CB66EF">
        <w:rPr>
          <w:i/>
          <w:iCs/>
        </w:rPr>
        <w:tab/>
      </w:r>
    </w:p>
    <w:p w14:paraId="5E3B3C09" w14:textId="77777777" w:rsidR="009D1974" w:rsidRDefault="009D1974" w:rsidP="009D6A6A"/>
    <w:p w14:paraId="68593B05" w14:textId="334F5CDF" w:rsidR="0006392B" w:rsidRDefault="0006392B" w:rsidP="0006392B">
      <w:pPr>
        <w:rPr>
          <w:b/>
          <w:bCs/>
        </w:rPr>
      </w:pPr>
      <w:r w:rsidRPr="0060483A">
        <w:rPr>
          <w:b/>
          <w:bCs/>
        </w:rPr>
        <w:t xml:space="preserve">Road Traffic Collisions which include </w:t>
      </w:r>
      <w:r w:rsidRPr="0006392B">
        <w:rPr>
          <w:b/>
          <w:bCs/>
        </w:rPr>
        <w:t>‘Distraction to driver/rider from inside/outside or on vehicle (e.g. headlight dazzle, passengers)</w:t>
      </w:r>
      <w:r>
        <w:rPr>
          <w:b/>
          <w:bCs/>
        </w:rPr>
        <w:t>’</w:t>
      </w:r>
      <w:r w:rsidRPr="0006392B">
        <w:rPr>
          <w:b/>
          <w:bCs/>
        </w:rPr>
        <w:t xml:space="preserve"> </w:t>
      </w:r>
      <w:r w:rsidRPr="0060483A">
        <w:rPr>
          <w:b/>
          <w:bCs/>
        </w:rPr>
        <w:t xml:space="preserve">selected as the </w:t>
      </w:r>
      <w:r>
        <w:rPr>
          <w:b/>
          <w:bCs/>
        </w:rPr>
        <w:t>Road Safety</w:t>
      </w:r>
      <w:r w:rsidRPr="0060483A">
        <w:rPr>
          <w:b/>
          <w:bCs/>
        </w:rPr>
        <w:t xml:space="preserve"> Factor </w:t>
      </w:r>
    </w:p>
    <w:p w14:paraId="423A0FEC" w14:textId="0EA11703" w:rsidR="0006392B" w:rsidRPr="0006392B" w:rsidRDefault="0006392B" w:rsidP="0006392B">
      <w:r w:rsidRPr="0006392B">
        <w:t>Period</w:t>
      </w:r>
      <w:r>
        <w:t>:</w:t>
      </w:r>
      <w:r w:rsidRPr="0006392B">
        <w:t xml:space="preserve"> 01/0</w:t>
      </w:r>
      <w:r>
        <w:t>3</w:t>
      </w:r>
      <w:r w:rsidRPr="0006392B">
        <w:t>/202</w:t>
      </w:r>
      <w:r>
        <w:t xml:space="preserve">5 </w:t>
      </w:r>
      <w:r w:rsidRPr="0006392B">
        <w:t>-</w:t>
      </w:r>
      <w:r>
        <w:t xml:space="preserve"> </w:t>
      </w:r>
      <w:r w:rsidRPr="0006392B">
        <w:t>30/0</w:t>
      </w:r>
      <w:r>
        <w:t>9</w:t>
      </w:r>
      <w:r w:rsidRPr="0006392B">
        <w:t>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230"/>
        <w:gridCol w:w="923"/>
        <w:gridCol w:w="763"/>
        <w:gridCol w:w="683"/>
        <w:gridCol w:w="777"/>
        <w:gridCol w:w="697"/>
        <w:gridCol w:w="1043"/>
        <w:gridCol w:w="1457"/>
      </w:tblGrid>
      <w:tr w:rsidR="0006392B" w:rsidRPr="00557306" w14:paraId="50D1C6BF" w14:textId="04F16CB7" w:rsidTr="0090609C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524E7B4F" w14:textId="77777777" w:rsidR="0006392B" w:rsidRPr="00557306" w:rsidRDefault="0006392B" w:rsidP="00263B3C">
            <w:pPr>
              <w:spacing w:line="240" w:lineRule="auto"/>
              <w:rPr>
                <w:b/>
              </w:rPr>
            </w:pPr>
            <w:r>
              <w:rPr>
                <w:b/>
              </w:rPr>
              <w:t>Collision Severity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DD5C8B" w14:textId="4D94D8BD" w:rsidR="0006392B" w:rsidRDefault="0006392B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3407FA" w14:textId="30C90426" w:rsidR="0006392B" w:rsidRDefault="0006392B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2E699" w14:textId="5BF29A04" w:rsidR="0006392B" w:rsidRPr="00557306" w:rsidRDefault="0006392B" w:rsidP="0006392B">
            <w:pPr>
              <w:spacing w:line="240" w:lineRule="auto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F56143" w14:textId="5028BCBE" w:rsidR="0006392B" w:rsidRPr="00557306" w:rsidRDefault="0006392B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A10D79" w14:textId="32D3025A" w:rsidR="0006392B" w:rsidRPr="00557306" w:rsidRDefault="0006392B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8EB565" w14:textId="680F2826" w:rsidR="0006392B" w:rsidRDefault="0006392B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E44D6C" w14:textId="278C3F75" w:rsidR="0006392B" w:rsidRDefault="0006392B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</w:tr>
      <w:tr w:rsidR="0006392B" w14:paraId="60E779EF" w14:textId="1D7AF0C4" w:rsidTr="0090609C">
        <w:tc>
          <w:tcPr>
            <w:tcW w:w="0" w:type="auto"/>
          </w:tcPr>
          <w:p w14:paraId="1AC26C53" w14:textId="77777777" w:rsidR="0006392B" w:rsidRDefault="0006392B" w:rsidP="00263B3C">
            <w:pPr>
              <w:tabs>
                <w:tab w:val="left" w:pos="5400"/>
              </w:tabs>
              <w:spacing w:line="240" w:lineRule="auto"/>
            </w:pPr>
            <w:r>
              <w:t>Fatal</w:t>
            </w:r>
          </w:p>
        </w:tc>
        <w:tc>
          <w:tcPr>
            <w:tcW w:w="0" w:type="auto"/>
          </w:tcPr>
          <w:p w14:paraId="2FC264F3" w14:textId="1FDEE851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FA78BFA" w14:textId="03FCD9FF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B1DD85" w14:textId="6C1C7CFA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78C2024" w14:textId="4FE6F76E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05B9E358" w14:textId="366F4B89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53476A" w14:textId="68491645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736274" w14:textId="35ACC7D8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06392B" w14:paraId="0C7724F5" w14:textId="3594A80D" w:rsidTr="0090609C">
        <w:tc>
          <w:tcPr>
            <w:tcW w:w="0" w:type="auto"/>
          </w:tcPr>
          <w:p w14:paraId="2B3DAA28" w14:textId="77777777" w:rsidR="0006392B" w:rsidRDefault="0006392B" w:rsidP="00263B3C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  <w:tc>
          <w:tcPr>
            <w:tcW w:w="0" w:type="auto"/>
          </w:tcPr>
          <w:p w14:paraId="77B57C52" w14:textId="5461BD47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86F540C" w14:textId="3FA8B17A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31F80662" w14:textId="6801CE68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1319B605" w14:textId="6AAF1A9D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C689E2E" w14:textId="45014E26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48925AD" w14:textId="277B6801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FFBF22" w14:textId="592D9020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06392B" w14:paraId="4ABA8F64" w14:textId="48544EF9" w:rsidTr="0090609C">
        <w:tc>
          <w:tcPr>
            <w:tcW w:w="0" w:type="auto"/>
          </w:tcPr>
          <w:p w14:paraId="51D18CF1" w14:textId="77777777" w:rsidR="0006392B" w:rsidRDefault="0006392B" w:rsidP="00263B3C">
            <w:pPr>
              <w:tabs>
                <w:tab w:val="left" w:pos="5400"/>
              </w:tabs>
              <w:spacing w:line="240" w:lineRule="auto"/>
            </w:pPr>
            <w:r>
              <w:lastRenderedPageBreak/>
              <w:t>Slight</w:t>
            </w:r>
          </w:p>
        </w:tc>
        <w:tc>
          <w:tcPr>
            <w:tcW w:w="0" w:type="auto"/>
          </w:tcPr>
          <w:p w14:paraId="6F18CD65" w14:textId="5A51343B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58C7F59" w14:textId="26DF487A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19FE434A" w14:textId="61B5256B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A682C13" w14:textId="50AB4682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96FA59A" w14:textId="089BE30E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B30D079" w14:textId="0B727E81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65667534" w14:textId="29E767B4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06392B" w14:paraId="7CCA82A4" w14:textId="26AB486C" w:rsidTr="0090609C">
        <w:tc>
          <w:tcPr>
            <w:tcW w:w="0" w:type="auto"/>
          </w:tcPr>
          <w:p w14:paraId="721BDCA5" w14:textId="77777777" w:rsidR="0006392B" w:rsidRPr="00FB058C" w:rsidRDefault="0006392B" w:rsidP="00263B3C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B058C"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31ECA6AB" w14:textId="558C5745" w:rsidR="0006392B" w:rsidRPr="00FB058C" w:rsidRDefault="0006392B" w:rsidP="00263B3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5EC2CA5B" w14:textId="27F48EF1" w:rsidR="0006392B" w:rsidRPr="00FB058C" w:rsidRDefault="0006392B" w:rsidP="00263B3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71D9F5E6" w14:textId="4E528C8E" w:rsidR="0006392B" w:rsidRPr="00FB058C" w:rsidRDefault="0006392B" w:rsidP="00263B3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0" w:type="auto"/>
          </w:tcPr>
          <w:p w14:paraId="51BB6786" w14:textId="4571B666" w:rsidR="0006392B" w:rsidRPr="00FB058C" w:rsidRDefault="0006392B" w:rsidP="00263B3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14:paraId="1D7F59F9" w14:textId="59E6048A" w:rsidR="0006392B" w:rsidRPr="00FB058C" w:rsidRDefault="0006392B" w:rsidP="00263B3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14:paraId="39AB5437" w14:textId="3D7E69C7" w:rsidR="0006392B" w:rsidRPr="00FB058C" w:rsidRDefault="0006392B" w:rsidP="00263B3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14062CBB" w14:textId="743C0169" w:rsidR="0006392B" w:rsidRDefault="0006392B" w:rsidP="00263B3C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</w:tbl>
    <w:p w14:paraId="1578AEDB" w14:textId="77777777" w:rsidR="005D2F05" w:rsidRPr="00CB66EF" w:rsidRDefault="00657135" w:rsidP="00657135">
      <w:pPr>
        <w:rPr>
          <w:i/>
          <w:iCs/>
        </w:rPr>
      </w:pPr>
      <w:r w:rsidRPr="00CB66EF">
        <w:rPr>
          <w:i/>
          <w:iCs/>
        </w:rPr>
        <w:t xml:space="preserve">All statistics are provisional and should be treated as management information. </w:t>
      </w:r>
    </w:p>
    <w:p w14:paraId="69E98999" w14:textId="7B284521" w:rsidR="00657135" w:rsidRPr="00CB66EF" w:rsidRDefault="005D2F05" w:rsidP="00657135">
      <w:pPr>
        <w:rPr>
          <w:i/>
          <w:iCs/>
        </w:rPr>
      </w:pPr>
      <w:r w:rsidRPr="00CB66EF">
        <w:rPr>
          <w:i/>
          <w:iCs/>
        </w:rPr>
        <w:t>D</w:t>
      </w:r>
      <w:r w:rsidR="00657135" w:rsidRPr="00CB66EF">
        <w:rPr>
          <w:i/>
          <w:iCs/>
        </w:rPr>
        <w:t xml:space="preserve">ata </w:t>
      </w:r>
      <w:r w:rsidRPr="00CB66EF">
        <w:rPr>
          <w:i/>
          <w:iCs/>
        </w:rPr>
        <w:t>was</w:t>
      </w:r>
      <w:r w:rsidR="00657135" w:rsidRPr="00CB66EF">
        <w:rPr>
          <w:i/>
          <w:iCs/>
        </w:rPr>
        <w:t xml:space="preserve"> extracted from Police Scotland internal systems and are correct as at 15/10/2025.</w:t>
      </w:r>
    </w:p>
    <w:p w14:paraId="10980056" w14:textId="77777777" w:rsidR="00657135" w:rsidRPr="00CB66EF" w:rsidRDefault="00657135" w:rsidP="00657135">
      <w:pPr>
        <w:rPr>
          <w:i/>
          <w:iCs/>
        </w:rPr>
      </w:pPr>
      <w:r w:rsidRPr="00CB66EF">
        <w:rPr>
          <w:i/>
          <w:iCs/>
        </w:rPr>
        <w:t>Data excludes non-injury collisions as per standard operating procedure.</w:t>
      </w:r>
    </w:p>
    <w:p w14:paraId="1A788760" w14:textId="0B240C3A" w:rsidR="00657135" w:rsidRPr="00CB66EF" w:rsidRDefault="005D2F05" w:rsidP="00657135">
      <w:pPr>
        <w:rPr>
          <w:i/>
          <w:iCs/>
        </w:rPr>
      </w:pPr>
      <w:r w:rsidRPr="00CB66EF">
        <w:rPr>
          <w:i/>
          <w:iCs/>
        </w:rPr>
        <w:t>Data</w:t>
      </w:r>
      <w:r w:rsidR="00657135" w:rsidRPr="00CB66EF">
        <w:rPr>
          <w:i/>
          <w:iCs/>
        </w:rPr>
        <w:t xml:space="preserve"> is subject to change and will be updated on the next extract of data from CRaSH on </w:t>
      </w:r>
      <w:r w:rsidRPr="00CB66EF">
        <w:rPr>
          <w:i/>
          <w:iCs/>
        </w:rPr>
        <w:t>03/11/2025</w:t>
      </w:r>
      <w:r w:rsidR="00657135" w:rsidRPr="00CB66EF">
        <w:rPr>
          <w:i/>
          <w:iCs/>
        </w:rPr>
        <w:t>.</w:t>
      </w:r>
    </w:p>
    <w:p w14:paraId="706DA28D" w14:textId="69FFA4AC" w:rsidR="000515AA" w:rsidRDefault="00657135" w:rsidP="00657135">
      <w:pPr>
        <w:rPr>
          <w:i/>
          <w:iCs/>
        </w:rPr>
      </w:pPr>
      <w:r w:rsidRPr="00CB66EF">
        <w:rPr>
          <w:i/>
          <w:iCs/>
        </w:rPr>
        <w:t>After March 2025, the Department of Transport moved to using 'Road Safety Factors' (RSF) - records with a RSF of 'Distraction to driver/rider from inside/outside or on vehicle (e.g. headlight dazzle, passengers)' have been selected. Please Note - other RSFs could apply.</w:t>
      </w:r>
      <w:r w:rsidRPr="00CB66EF">
        <w:rPr>
          <w:i/>
          <w:iCs/>
        </w:rPr>
        <w:tab/>
      </w:r>
    </w:p>
    <w:p w14:paraId="57D4A779" w14:textId="77777777" w:rsidR="00CB66EF" w:rsidRPr="00CB66EF" w:rsidRDefault="00CB66EF" w:rsidP="00657135">
      <w:pPr>
        <w:rPr>
          <w:i/>
          <w:iCs/>
        </w:rPr>
      </w:pPr>
    </w:p>
    <w:p w14:paraId="062E1C6A" w14:textId="77777777" w:rsidR="000515AA" w:rsidRDefault="000515AA" w:rsidP="00776E5F">
      <w:r>
        <w:t xml:space="preserve">Unfortunately, to determine which from the RSF table above relate specifically to Contributory Factor – ‘Dazzling Headlights’, </w:t>
      </w:r>
      <w:r w:rsidRPr="00453F0A">
        <w:t>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this part of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  <w:r>
        <w:t xml:space="preserve"> </w:t>
      </w:r>
    </w:p>
    <w:p w14:paraId="0D538F21" w14:textId="70DFE17A" w:rsidR="00EC66C7" w:rsidRDefault="000515AA" w:rsidP="00EC66C7">
      <w:r>
        <w:t>To explain, each record from March 2025 onwards would need to be manually checked for relevance to establish whether ‘Dazzling Headlights’ was a direct factor – an exercise which I estimate would exceed the cost limit set out in the Fees Regulations.</w:t>
      </w:r>
    </w:p>
    <w:p w14:paraId="5F01FACE" w14:textId="77777777" w:rsidR="000515AA" w:rsidRDefault="000515AA" w:rsidP="00EC66C7"/>
    <w:p w14:paraId="019B929D" w14:textId="628F1396" w:rsidR="00EC66C7" w:rsidRDefault="00EC66C7" w:rsidP="006A0F72">
      <w:pPr>
        <w:pStyle w:val="ListParagraph"/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6A0F72">
        <w:rPr>
          <w:rFonts w:eastAsiaTheme="majorEastAsia" w:cstheme="majorBidi"/>
          <w:b/>
          <w:color w:val="000000" w:themeColor="text1"/>
          <w:szCs w:val="26"/>
        </w:rPr>
        <w:t>Involving</w:t>
      </w:r>
      <w:r w:rsidR="006A0F72">
        <w:rPr>
          <w:rFonts w:eastAsiaTheme="majorEastAsia" w:cstheme="majorBidi"/>
          <w:b/>
          <w:color w:val="000000" w:themeColor="text1"/>
          <w:szCs w:val="26"/>
        </w:rPr>
        <w:t xml:space="preserve">: </w:t>
      </w:r>
      <w:r w:rsidRPr="006A0F72">
        <w:rPr>
          <w:rFonts w:eastAsiaTheme="majorEastAsia" w:cstheme="majorBidi"/>
          <w:b/>
          <w:color w:val="000000" w:themeColor="text1"/>
          <w:szCs w:val="26"/>
        </w:rPr>
        <w:t>Headlights being too bright or dazzling</w:t>
      </w:r>
      <w:r w:rsidR="006A0F72">
        <w:rPr>
          <w:rFonts w:eastAsiaTheme="majorEastAsia" w:cstheme="majorBidi"/>
          <w:b/>
          <w:color w:val="000000" w:themeColor="text1"/>
          <w:szCs w:val="26"/>
        </w:rPr>
        <w:t xml:space="preserve"> &amp; </w:t>
      </w:r>
      <w:r w:rsidRPr="006A0F72">
        <w:rPr>
          <w:rFonts w:eastAsiaTheme="majorEastAsia" w:cstheme="majorBidi"/>
          <w:b/>
          <w:color w:val="000000" w:themeColor="text1"/>
          <w:szCs w:val="26"/>
        </w:rPr>
        <w:t>Use of non-compliant, aftermarket, or misaligned headlights</w:t>
      </w:r>
      <w:r w:rsidR="006A0F72">
        <w:rPr>
          <w:rFonts w:eastAsiaTheme="majorEastAsia" w:cstheme="majorBidi"/>
          <w:b/>
          <w:color w:val="000000" w:themeColor="text1"/>
          <w:szCs w:val="26"/>
        </w:rPr>
        <w:t xml:space="preserve">. The total number of: </w:t>
      </w:r>
    </w:p>
    <w:p w14:paraId="1EFE0472" w14:textId="13358473" w:rsidR="000F5A04" w:rsidRPr="006A0F72" w:rsidRDefault="000F5A04" w:rsidP="006A0F72">
      <w:pPr>
        <w:pStyle w:val="ListParagraph"/>
        <w:numPr>
          <w:ilvl w:val="0"/>
          <w:numId w:val="7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A0F72">
        <w:rPr>
          <w:rFonts w:eastAsiaTheme="majorEastAsia" w:cstheme="majorBidi"/>
          <w:b/>
          <w:color w:val="000000" w:themeColor="text1"/>
          <w:szCs w:val="26"/>
        </w:rPr>
        <w:t>Fixed Penalty Notices (FPNs)</w:t>
      </w:r>
    </w:p>
    <w:p w14:paraId="51DE69A4" w14:textId="77777777" w:rsidR="00740862" w:rsidRDefault="00740862" w:rsidP="00740862">
      <w:pPr>
        <w:tabs>
          <w:tab w:val="left" w:pos="5400"/>
        </w:tabs>
      </w:pPr>
      <w:r>
        <w:t>In terms of Section 17 of the Act, I can confirm that some of the information you seek is not held by Police Scotland.</w:t>
      </w:r>
    </w:p>
    <w:p w14:paraId="72B29806" w14:textId="1A53E72B" w:rsidR="00740862" w:rsidRDefault="00740862" w:rsidP="00740862">
      <w:r>
        <w:t xml:space="preserve">By way of explanation, the information prior to 1st January 2022 is no longer held. This is due to Police Scotland’s record retention policy which can be viewed here: </w:t>
      </w:r>
      <w:hyperlink r:id="rId12" w:history="1">
        <w:r>
          <w:rPr>
            <w:rStyle w:val="Hyperlink"/>
          </w:rPr>
          <w:t xml:space="preserve">Record </w:t>
        </w:r>
        <w:r>
          <w:rPr>
            <w:rStyle w:val="Hyperlink"/>
          </w:rPr>
          <w:lastRenderedPageBreak/>
          <w:t>Retention SOP - Police Scotland</w:t>
        </w:r>
      </w:hyperlink>
      <w:r>
        <w:t>.</w:t>
      </w:r>
      <w:r w:rsidR="00E24F69">
        <w:t xml:space="preserve"> These records are held for 3 years plus current year only.</w:t>
      </w:r>
    </w:p>
    <w:p w14:paraId="76A8FFBB" w14:textId="1A3BBFEB" w:rsidR="002D62CC" w:rsidRDefault="00740862" w:rsidP="00740862">
      <w:pPr>
        <w:tabs>
          <w:tab w:val="left" w:pos="5400"/>
        </w:tabs>
      </w:pPr>
      <w:r>
        <w:t>With respect to the data requested from 1st January 2022 onwards, please see the table provided</w:t>
      </w:r>
      <w:r w:rsidR="006A0F72">
        <w:t>, up to and including 31</w:t>
      </w:r>
      <w:r w:rsidR="006A0F72">
        <w:rPr>
          <w:vertAlign w:val="superscript"/>
        </w:rPr>
        <w:t xml:space="preserve">th </w:t>
      </w:r>
      <w:r w:rsidR="006A0F72">
        <w:t>July 2025.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305"/>
        <w:gridCol w:w="2323"/>
        <w:gridCol w:w="750"/>
        <w:gridCol w:w="750"/>
        <w:gridCol w:w="750"/>
        <w:gridCol w:w="750"/>
      </w:tblGrid>
      <w:tr w:rsidR="00D14BC1" w:rsidRPr="00557306" w14:paraId="5FA8CA97" w14:textId="4F222E49" w:rsidTr="000515AA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4C679820" w14:textId="58A858C1" w:rsidR="00D14BC1" w:rsidRPr="00557306" w:rsidRDefault="00D14BC1" w:rsidP="00266888">
            <w:pPr>
              <w:spacing w:line="240" w:lineRule="auto"/>
              <w:rPr>
                <w:b/>
              </w:rPr>
            </w:pPr>
            <w:r>
              <w:rPr>
                <w:b/>
              </w:rPr>
              <w:t>Charge Code Description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43F2BF" w14:textId="64A2A058" w:rsidR="00D14BC1" w:rsidRPr="00557306" w:rsidRDefault="00D14BC1" w:rsidP="00266888">
            <w:pPr>
              <w:spacing w:line="240" w:lineRule="auto"/>
              <w:rPr>
                <w:b/>
              </w:rPr>
            </w:pPr>
            <w:r>
              <w:rPr>
                <w:b/>
              </w:rPr>
              <w:t>Legislation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C44B2C" w14:textId="5DF24D00" w:rsidR="00D14BC1" w:rsidRPr="00557306" w:rsidRDefault="00D14BC1" w:rsidP="00D14BC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84C341" w14:textId="717AFEB3" w:rsidR="00D14BC1" w:rsidRPr="00557306" w:rsidRDefault="00D14BC1" w:rsidP="00D14BC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3438096" w14:textId="5E444E4F" w:rsidR="00D14BC1" w:rsidRPr="00557306" w:rsidRDefault="00D14BC1" w:rsidP="00D14BC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D569782" w14:textId="1B712332" w:rsidR="00D14BC1" w:rsidRDefault="00D14BC1" w:rsidP="00D14BC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</w:p>
        </w:tc>
      </w:tr>
      <w:tr w:rsidR="006F36F0" w14:paraId="3B77206A" w14:textId="2DFF5322" w:rsidTr="000515AA">
        <w:tc>
          <w:tcPr>
            <w:tcW w:w="0" w:type="auto"/>
          </w:tcPr>
          <w:p w14:paraId="6970E35C" w14:textId="48784D8A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Showing red light to front</w:t>
            </w:r>
          </w:p>
        </w:tc>
        <w:tc>
          <w:tcPr>
            <w:tcW w:w="0" w:type="auto"/>
          </w:tcPr>
          <w:p w14:paraId="2ACF3ED4" w14:textId="6BCEFB5C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060540">
              <w:t>RV LIGHTING REGS 1989 Reg 11(1)</w:t>
            </w:r>
          </w:p>
        </w:tc>
        <w:tc>
          <w:tcPr>
            <w:tcW w:w="0" w:type="auto"/>
          </w:tcPr>
          <w:p w14:paraId="6BAA0EE6" w14:textId="27380B5D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 w:rsidRPr="00022448">
              <w:t>5</w:t>
            </w:r>
          </w:p>
        </w:tc>
        <w:tc>
          <w:tcPr>
            <w:tcW w:w="0" w:type="auto"/>
          </w:tcPr>
          <w:p w14:paraId="760A7D1F" w14:textId="5433C992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 w:rsidRPr="008148C3">
              <w:t>17</w:t>
            </w:r>
          </w:p>
        </w:tc>
        <w:tc>
          <w:tcPr>
            <w:tcW w:w="0" w:type="auto"/>
          </w:tcPr>
          <w:p w14:paraId="0B6EF9F0" w14:textId="6EC07D89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 w:rsidRPr="008148C3">
              <w:t>13</w:t>
            </w:r>
          </w:p>
        </w:tc>
        <w:tc>
          <w:tcPr>
            <w:tcW w:w="0" w:type="auto"/>
          </w:tcPr>
          <w:p w14:paraId="37251166" w14:textId="42BBCA50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 w:rsidRPr="008148C3">
              <w:t>5</w:t>
            </w:r>
          </w:p>
        </w:tc>
      </w:tr>
      <w:tr w:rsidR="006F36F0" w14:paraId="6C3B7E98" w14:textId="77777777" w:rsidTr="000515AA">
        <w:tc>
          <w:tcPr>
            <w:tcW w:w="0" w:type="auto"/>
          </w:tcPr>
          <w:p w14:paraId="7A0B8D80" w14:textId="4A438385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Lamp moveable while in motion</w:t>
            </w:r>
          </w:p>
        </w:tc>
        <w:tc>
          <w:tcPr>
            <w:tcW w:w="0" w:type="auto"/>
          </w:tcPr>
          <w:p w14:paraId="28405738" w14:textId="28179D68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060540">
              <w:t>RV LIGHTING REGS 1989 Reg 12</w:t>
            </w:r>
          </w:p>
        </w:tc>
        <w:tc>
          <w:tcPr>
            <w:tcW w:w="0" w:type="auto"/>
          </w:tcPr>
          <w:p w14:paraId="475ED297" w14:textId="6CA80587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C1BD21" w14:textId="04E9037C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815F65" w14:textId="7A374DD6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68359FAC" w14:textId="36B207E0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F36F0" w14:paraId="0F065869" w14:textId="77777777" w:rsidTr="000515AA">
        <w:tc>
          <w:tcPr>
            <w:tcW w:w="0" w:type="auto"/>
          </w:tcPr>
          <w:p w14:paraId="4E0C5609" w14:textId="1B195DBC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Light not steady</w:t>
            </w:r>
          </w:p>
        </w:tc>
        <w:tc>
          <w:tcPr>
            <w:tcW w:w="0" w:type="auto"/>
          </w:tcPr>
          <w:p w14:paraId="4A4D8257" w14:textId="38410AA0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060540">
              <w:t>RV LIGHTING REGS 1989 Reg 13</w:t>
            </w:r>
          </w:p>
        </w:tc>
        <w:tc>
          <w:tcPr>
            <w:tcW w:w="0" w:type="auto"/>
          </w:tcPr>
          <w:p w14:paraId="1A8E331A" w14:textId="66E4DD09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C4B2AB6" w14:textId="7500991A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B25FC8" w14:textId="32FE7DCC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811696D" w14:textId="682CBE9E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6F36F0" w14:paraId="26402203" w14:textId="77777777" w:rsidTr="000515AA">
        <w:tc>
          <w:tcPr>
            <w:tcW w:w="0" w:type="auto"/>
          </w:tcPr>
          <w:p w14:paraId="345E668B" w14:textId="372DB5A9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Lamps not fixed/ not correctly fixed</w:t>
            </w:r>
          </w:p>
        </w:tc>
        <w:tc>
          <w:tcPr>
            <w:tcW w:w="0" w:type="auto"/>
          </w:tcPr>
          <w:p w14:paraId="2490A99B" w14:textId="1406DA07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060540">
              <w:t>RV LIGHTING REGS 1989 Reg 23</w:t>
            </w:r>
          </w:p>
        </w:tc>
        <w:tc>
          <w:tcPr>
            <w:tcW w:w="0" w:type="auto"/>
          </w:tcPr>
          <w:p w14:paraId="5CC7613E" w14:textId="7C94E33F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67EA81BB" w14:textId="5F413A46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2A7FC697" w14:textId="64656BAA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2F258AA" w14:textId="21E0499A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6F36F0" w14:paraId="3E1F59A9" w14:textId="77777777" w:rsidTr="000515AA">
        <w:tc>
          <w:tcPr>
            <w:tcW w:w="0" w:type="auto"/>
          </w:tcPr>
          <w:p w14:paraId="39B0EFEA" w14:textId="6F9EEF5B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Lamps/ reflectors obscured</w:t>
            </w:r>
          </w:p>
        </w:tc>
        <w:tc>
          <w:tcPr>
            <w:tcW w:w="0" w:type="auto"/>
          </w:tcPr>
          <w:p w14:paraId="53F0A545" w14:textId="67D9BBBF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060540">
              <w:t>RV LIGHTING REGS 1989 Reg 19</w:t>
            </w:r>
          </w:p>
        </w:tc>
        <w:tc>
          <w:tcPr>
            <w:tcW w:w="0" w:type="auto"/>
          </w:tcPr>
          <w:p w14:paraId="520129EC" w14:textId="56B79A26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1B2251E" w14:textId="5CA1850F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A46B654" w14:textId="3B7A87D0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5CDAAD5" w14:textId="66B8F799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F36F0" w14:paraId="7166F6E9" w14:textId="77777777" w:rsidTr="000515AA">
        <w:tc>
          <w:tcPr>
            <w:tcW w:w="0" w:type="auto"/>
          </w:tcPr>
          <w:p w14:paraId="6A4C45A4" w14:textId="3F516387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Unauthorised lamps fitted</w:t>
            </w:r>
          </w:p>
        </w:tc>
        <w:tc>
          <w:tcPr>
            <w:tcW w:w="0" w:type="auto"/>
          </w:tcPr>
          <w:p w14:paraId="0B1899C5" w14:textId="704A3D4A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060540">
              <w:t>RV LIGHTING REGS 1989 Reg 16</w:t>
            </w:r>
          </w:p>
        </w:tc>
        <w:tc>
          <w:tcPr>
            <w:tcW w:w="0" w:type="auto"/>
          </w:tcPr>
          <w:p w14:paraId="49CFD157" w14:textId="490C8EEF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49EC7FA" w14:textId="496DACA6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1A6AA5B4" w14:textId="06E7F630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0863A2BE" w14:textId="0BDC319C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6F36F0" w14:paraId="75EC1C03" w14:textId="77777777" w:rsidTr="000515AA">
        <w:tc>
          <w:tcPr>
            <w:tcW w:w="0" w:type="auto"/>
          </w:tcPr>
          <w:p w14:paraId="46753BB7" w14:textId="30641A6B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Lamps/ reflectors/ rear markings/ hazard warning devices/ headlights/ fog lamps not maintained</w:t>
            </w:r>
          </w:p>
        </w:tc>
        <w:tc>
          <w:tcPr>
            <w:tcW w:w="0" w:type="auto"/>
          </w:tcPr>
          <w:p w14:paraId="1A80A54A" w14:textId="5F954831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6F36F0">
              <w:t>RV LIGHTING REGS 1989 Reg 23</w:t>
            </w:r>
          </w:p>
        </w:tc>
        <w:tc>
          <w:tcPr>
            <w:tcW w:w="0" w:type="auto"/>
          </w:tcPr>
          <w:p w14:paraId="5451B823" w14:textId="40384BDC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74</w:t>
            </w:r>
          </w:p>
        </w:tc>
        <w:tc>
          <w:tcPr>
            <w:tcW w:w="0" w:type="auto"/>
          </w:tcPr>
          <w:p w14:paraId="5E11EFA7" w14:textId="2A2F6040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102</w:t>
            </w:r>
          </w:p>
        </w:tc>
        <w:tc>
          <w:tcPr>
            <w:tcW w:w="0" w:type="auto"/>
          </w:tcPr>
          <w:p w14:paraId="7123CACF" w14:textId="7F82D75C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99</w:t>
            </w:r>
          </w:p>
        </w:tc>
        <w:tc>
          <w:tcPr>
            <w:tcW w:w="0" w:type="auto"/>
          </w:tcPr>
          <w:p w14:paraId="05284BAF" w14:textId="0EA14F10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57</w:t>
            </w:r>
          </w:p>
        </w:tc>
      </w:tr>
      <w:tr w:rsidR="006F36F0" w14:paraId="7ACFE879" w14:textId="77777777" w:rsidTr="000515AA">
        <w:tc>
          <w:tcPr>
            <w:tcW w:w="0" w:type="auto"/>
          </w:tcPr>
          <w:p w14:paraId="4AEE174C" w14:textId="0B5655B0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4125D4">
              <w:t>Head lamps/ rear fog lamps/ hazard warning device/ optional lamps misused</w:t>
            </w:r>
          </w:p>
        </w:tc>
        <w:tc>
          <w:tcPr>
            <w:tcW w:w="0" w:type="auto"/>
          </w:tcPr>
          <w:p w14:paraId="2B009AD9" w14:textId="539BC9E1" w:rsidR="006F36F0" w:rsidRDefault="006F36F0" w:rsidP="006F36F0">
            <w:pPr>
              <w:tabs>
                <w:tab w:val="left" w:pos="5400"/>
              </w:tabs>
              <w:spacing w:line="240" w:lineRule="auto"/>
            </w:pPr>
            <w:r w:rsidRPr="006F36F0">
              <w:t>RV LIGHTING REGS 1989 Reg 27</w:t>
            </w:r>
          </w:p>
        </w:tc>
        <w:tc>
          <w:tcPr>
            <w:tcW w:w="0" w:type="auto"/>
          </w:tcPr>
          <w:p w14:paraId="5141414F" w14:textId="3371D6FA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4F7362AB" w14:textId="3151037F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189D1456" w14:textId="746732DB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5D21F564" w14:textId="2669EBC4" w:rsidR="006F36F0" w:rsidRDefault="006F36F0" w:rsidP="006F36F0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</w:tr>
    </w:tbl>
    <w:p w14:paraId="5AE40DFA" w14:textId="77777777" w:rsidR="000515AA" w:rsidRDefault="000515AA" w:rsidP="006A0F72"/>
    <w:p w14:paraId="4AFA9727" w14:textId="6D89CF56" w:rsidR="006A0F72" w:rsidRDefault="006A0F72" w:rsidP="006A0F72">
      <w:r>
        <w:t xml:space="preserve">To be of assistance, we have also provided the total </w:t>
      </w:r>
      <w:r w:rsidRPr="006A0F72">
        <w:t>Vehicle Defect Rectification Scheme</w:t>
      </w:r>
      <w:r>
        <w:t xml:space="preserve"> (VDRS) issued for all lighting related offences for period 01/01/2022-31/07/2025. This cannot be broken down into type of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750"/>
        <w:gridCol w:w="750"/>
        <w:gridCol w:w="750"/>
        <w:gridCol w:w="750"/>
      </w:tblGrid>
      <w:tr w:rsidR="006A0F72" w14:paraId="5289B20F" w14:textId="77777777" w:rsidTr="000515AA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BA21764" w14:textId="77777777" w:rsidR="006A0F72" w:rsidRPr="00557306" w:rsidRDefault="006A0F72" w:rsidP="00263B3C">
            <w:pPr>
              <w:spacing w:line="240" w:lineRule="auto"/>
              <w:rPr>
                <w:b/>
              </w:rPr>
            </w:pPr>
            <w:r>
              <w:rPr>
                <w:b/>
              </w:rPr>
              <w:t>Charge Code Description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D94642" w14:textId="77777777" w:rsidR="006A0F72" w:rsidRPr="00557306" w:rsidRDefault="006A0F72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695519" w14:textId="77777777" w:rsidR="006A0F72" w:rsidRPr="00557306" w:rsidRDefault="006A0F72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F29B7D" w14:textId="77777777" w:rsidR="006A0F72" w:rsidRPr="00557306" w:rsidRDefault="006A0F72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43EA8C" w14:textId="77777777" w:rsidR="006A0F72" w:rsidRDefault="006A0F72" w:rsidP="00263B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</w:p>
        </w:tc>
      </w:tr>
      <w:tr w:rsidR="006A0F72" w14:paraId="4F5B07E5" w14:textId="77777777" w:rsidTr="000515AA">
        <w:tc>
          <w:tcPr>
            <w:tcW w:w="0" w:type="auto"/>
          </w:tcPr>
          <w:p w14:paraId="0780C1F1" w14:textId="01707487" w:rsidR="006A0F72" w:rsidRDefault="006A0F72" w:rsidP="00263B3C">
            <w:pPr>
              <w:tabs>
                <w:tab w:val="left" w:pos="5400"/>
              </w:tabs>
              <w:spacing w:line="240" w:lineRule="auto"/>
            </w:pPr>
            <w:r>
              <w:t>Lighting Offences</w:t>
            </w:r>
          </w:p>
        </w:tc>
        <w:tc>
          <w:tcPr>
            <w:tcW w:w="0" w:type="auto"/>
          </w:tcPr>
          <w:p w14:paraId="2F5E11F2" w14:textId="6E35251C" w:rsidR="006A0F72" w:rsidRDefault="006A0F72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1184</w:t>
            </w:r>
          </w:p>
        </w:tc>
        <w:tc>
          <w:tcPr>
            <w:tcW w:w="0" w:type="auto"/>
          </w:tcPr>
          <w:p w14:paraId="46E33878" w14:textId="7F3215AF" w:rsidR="006A0F72" w:rsidRDefault="006A0F72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1537</w:t>
            </w:r>
          </w:p>
        </w:tc>
        <w:tc>
          <w:tcPr>
            <w:tcW w:w="0" w:type="auto"/>
          </w:tcPr>
          <w:p w14:paraId="15FA3F58" w14:textId="3EAF7442" w:rsidR="006A0F72" w:rsidRDefault="006A0F72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1483</w:t>
            </w:r>
          </w:p>
        </w:tc>
        <w:tc>
          <w:tcPr>
            <w:tcW w:w="0" w:type="auto"/>
          </w:tcPr>
          <w:p w14:paraId="3C5CCE16" w14:textId="7EAE62E9" w:rsidR="006A0F72" w:rsidRDefault="006A0F72" w:rsidP="00263B3C">
            <w:pPr>
              <w:tabs>
                <w:tab w:val="left" w:pos="5400"/>
              </w:tabs>
              <w:spacing w:line="240" w:lineRule="auto"/>
              <w:jc w:val="center"/>
            </w:pPr>
            <w:r>
              <w:t>885</w:t>
            </w:r>
          </w:p>
        </w:tc>
      </w:tr>
    </w:tbl>
    <w:p w14:paraId="19492F34" w14:textId="77777777" w:rsidR="00F65FAE" w:rsidRPr="00BD6BD4" w:rsidRDefault="00F65FAE" w:rsidP="00F65FAE">
      <w:pPr>
        <w:pStyle w:val="ListParagraph"/>
        <w:numPr>
          <w:ilvl w:val="0"/>
          <w:numId w:val="6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D6BD4">
        <w:rPr>
          <w:rFonts w:eastAsiaTheme="majorEastAsia" w:cstheme="majorBidi"/>
          <w:b/>
          <w:color w:val="000000" w:themeColor="text1"/>
          <w:szCs w:val="26"/>
        </w:rPr>
        <w:lastRenderedPageBreak/>
        <w:t>Verbal warnings</w:t>
      </w:r>
    </w:p>
    <w:p w14:paraId="65B76136" w14:textId="77777777" w:rsidR="00EC66C7" w:rsidRPr="00EC66C7" w:rsidRDefault="00F65FAE" w:rsidP="00EC66C7">
      <w:pPr>
        <w:pStyle w:val="ListParagraph"/>
        <w:numPr>
          <w:ilvl w:val="0"/>
          <w:numId w:val="6"/>
        </w:numPr>
        <w:tabs>
          <w:tab w:val="left" w:pos="5400"/>
        </w:tabs>
      </w:pPr>
      <w:r w:rsidRPr="00BD6BD4">
        <w:rPr>
          <w:rFonts w:eastAsiaTheme="majorEastAsia" w:cstheme="majorBidi"/>
          <w:b/>
          <w:color w:val="000000" w:themeColor="text1"/>
          <w:szCs w:val="26"/>
        </w:rPr>
        <w:t xml:space="preserve">Or other enforcement actions issued for offences </w:t>
      </w:r>
    </w:p>
    <w:p w14:paraId="0E71F2A7" w14:textId="707C257F" w:rsidR="00F65FAE" w:rsidRDefault="00F65FAE" w:rsidP="000515AA">
      <w:pPr>
        <w:tabs>
          <w:tab w:val="left" w:pos="5400"/>
        </w:tabs>
      </w:pPr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011838D7" w14:textId="5134742D" w:rsidR="00F65FAE" w:rsidRDefault="00BB6998" w:rsidP="00BB6998">
      <w:pPr>
        <w:rPr>
          <w:rFonts w:eastAsiaTheme="majorEastAsia" w:cstheme="majorBidi"/>
          <w:b/>
          <w:color w:val="000000" w:themeColor="text1"/>
          <w:szCs w:val="26"/>
        </w:rPr>
      </w:pPr>
      <w:r>
        <w:t xml:space="preserve">To </w:t>
      </w:r>
      <w:r w:rsidRPr="00BC652D">
        <w:t xml:space="preserve">identify </w:t>
      </w:r>
      <w:r>
        <w:t xml:space="preserve">this level of information, </w:t>
      </w:r>
      <w:r w:rsidRPr="00BC652D">
        <w:t>a manual assessment of officer notebooks would need to take place</w:t>
      </w:r>
      <w:r>
        <w:t xml:space="preserve"> to determine if any information was held -</w:t>
      </w:r>
      <w:r w:rsidRPr="00BC652D">
        <w:t xml:space="preserve"> an undertaking that would exceed the cost threshold set out within the Act. </w:t>
      </w:r>
    </w:p>
    <w:p w14:paraId="38360031" w14:textId="77777777" w:rsidR="00F65FAE" w:rsidRPr="00BD6BD4" w:rsidRDefault="00F65FAE" w:rsidP="00BD6BD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83284C7" w14:textId="4F4FE690" w:rsidR="000F5A04" w:rsidRPr="00BD6BD4" w:rsidRDefault="000F5A04" w:rsidP="00BD6BD4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D6BD4">
        <w:rPr>
          <w:rFonts w:eastAsiaTheme="majorEastAsia" w:cstheme="majorBidi"/>
          <w:b/>
          <w:color w:val="000000" w:themeColor="text1"/>
          <w:szCs w:val="26"/>
        </w:rPr>
        <w:t>If available, the number of formal public complaints or reports relating to headlight glare or dangerously bright headlights.</w:t>
      </w:r>
    </w:p>
    <w:p w14:paraId="52740379" w14:textId="77777777" w:rsidR="00BD6BD4" w:rsidRDefault="00BD6BD4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7CC966C9" w14:textId="353751DA" w:rsidR="00BD6BD4" w:rsidRDefault="00BD6BD4" w:rsidP="00BD6BD4">
      <w:pPr>
        <w:tabs>
          <w:tab w:val="left" w:pos="5400"/>
        </w:tabs>
      </w:pPr>
      <w:r>
        <w:t>To explain, there is no incident</w:t>
      </w:r>
      <w:r w:rsidR="002D62CC">
        <w:t xml:space="preserve"> or </w:t>
      </w:r>
      <w:r>
        <w:t xml:space="preserve">crime classification that directly aligns with your request. </w:t>
      </w:r>
      <w:r w:rsidRPr="00BD6BD4">
        <w:t xml:space="preserve">Crimes in Scotland are recorded in accordance with the </w:t>
      </w:r>
      <w:hyperlink r:id="rId13" w:history="1">
        <w:r w:rsidR="002D62CC">
          <w:rPr>
            <w:rStyle w:val="Hyperlink"/>
          </w:rPr>
          <w:t>Scottish Government Justice Department (SGJD)</w:t>
        </w:r>
      </w:hyperlink>
      <w:r w:rsidR="002D62CC">
        <w:t xml:space="preserve"> </w:t>
      </w:r>
      <w:r w:rsidRPr="00BD6BD4">
        <w:t>crime classifications, and are not thereafter sub-categorised. There is no Scottish crime classification relevant to your request. In this instance, such crimes would likely be recorded under the general classification '</w:t>
      </w:r>
      <w:r w:rsidR="002D62CC" w:rsidRPr="002D62CC">
        <w:t>'Lighting Offences, Motor Vehicle</w:t>
      </w:r>
      <w:r w:rsidRPr="00BD6BD4">
        <w:t>' and all would need to be reviewed for relevance.</w:t>
      </w:r>
    </w:p>
    <w:p w14:paraId="3DCDA469" w14:textId="17719E0F" w:rsidR="00BD6BD4" w:rsidRDefault="00BD6BD4" w:rsidP="00BD6BD4">
      <w:pPr>
        <w:tabs>
          <w:tab w:val="left" w:pos="5400"/>
        </w:tabs>
      </w:pPr>
      <w:r>
        <w:t xml:space="preserve">To be of assistance, crime data can be accessed online - </w:t>
      </w:r>
      <w:hyperlink r:id="rId14" w:history="1">
        <w:r>
          <w:rPr>
            <w:rStyle w:val="Hyperlink"/>
          </w:rPr>
          <w:t>Crime data - Police Scotland</w:t>
        </w:r>
      </w:hyperlink>
      <w:r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0E13A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E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F9376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E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DD46B3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E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F1E5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E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60A46F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E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571571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4E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5D4"/>
    <w:multiLevelType w:val="hybridMultilevel"/>
    <w:tmpl w:val="84009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8074A"/>
    <w:multiLevelType w:val="hybridMultilevel"/>
    <w:tmpl w:val="B9C661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E47B9"/>
    <w:multiLevelType w:val="hybridMultilevel"/>
    <w:tmpl w:val="AB0676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C2CD6"/>
    <w:multiLevelType w:val="hybridMultilevel"/>
    <w:tmpl w:val="B5A2B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214"/>
    <w:multiLevelType w:val="hybridMultilevel"/>
    <w:tmpl w:val="77AC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90BFC"/>
    <w:multiLevelType w:val="hybridMultilevel"/>
    <w:tmpl w:val="694E7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6"/>
  </w:num>
  <w:num w:numId="2" w16cid:durableId="2064134910">
    <w:abstractNumId w:val="4"/>
  </w:num>
  <w:num w:numId="3" w16cid:durableId="140464108">
    <w:abstractNumId w:val="2"/>
  </w:num>
  <w:num w:numId="4" w16cid:durableId="1741100396">
    <w:abstractNumId w:val="1"/>
  </w:num>
  <w:num w:numId="5" w16cid:durableId="1703044544">
    <w:abstractNumId w:val="3"/>
  </w:num>
  <w:num w:numId="6" w16cid:durableId="1744833198">
    <w:abstractNumId w:val="5"/>
  </w:num>
  <w:num w:numId="7" w16cid:durableId="197460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15AA"/>
    <w:rsid w:val="0006392B"/>
    <w:rsid w:val="00090F3B"/>
    <w:rsid w:val="000E2F19"/>
    <w:rsid w:val="000E43FF"/>
    <w:rsid w:val="000E6526"/>
    <w:rsid w:val="000F5A04"/>
    <w:rsid w:val="00141533"/>
    <w:rsid w:val="00167528"/>
    <w:rsid w:val="00184727"/>
    <w:rsid w:val="00195CC4"/>
    <w:rsid w:val="001E30C9"/>
    <w:rsid w:val="001F2261"/>
    <w:rsid w:val="00207326"/>
    <w:rsid w:val="0021602E"/>
    <w:rsid w:val="00253DF6"/>
    <w:rsid w:val="00255F1E"/>
    <w:rsid w:val="00260FBC"/>
    <w:rsid w:val="002D62C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D2F05"/>
    <w:rsid w:val="006029D9"/>
    <w:rsid w:val="0060390B"/>
    <w:rsid w:val="0060483A"/>
    <w:rsid w:val="006312F3"/>
    <w:rsid w:val="00645CFA"/>
    <w:rsid w:val="00657135"/>
    <w:rsid w:val="00685219"/>
    <w:rsid w:val="006A0F72"/>
    <w:rsid w:val="006D5799"/>
    <w:rsid w:val="006D7DA0"/>
    <w:rsid w:val="006F36F0"/>
    <w:rsid w:val="00740862"/>
    <w:rsid w:val="007440EA"/>
    <w:rsid w:val="00750D83"/>
    <w:rsid w:val="00785DBC"/>
    <w:rsid w:val="00793DD5"/>
    <w:rsid w:val="007D55F6"/>
    <w:rsid w:val="007E5CB4"/>
    <w:rsid w:val="007F490F"/>
    <w:rsid w:val="008666AC"/>
    <w:rsid w:val="0086779C"/>
    <w:rsid w:val="00874BFD"/>
    <w:rsid w:val="008873E6"/>
    <w:rsid w:val="008964EF"/>
    <w:rsid w:val="00904ED7"/>
    <w:rsid w:val="00915E01"/>
    <w:rsid w:val="0093207F"/>
    <w:rsid w:val="009631A4"/>
    <w:rsid w:val="00977296"/>
    <w:rsid w:val="00993797"/>
    <w:rsid w:val="009B2208"/>
    <w:rsid w:val="009D1974"/>
    <w:rsid w:val="009D2AA5"/>
    <w:rsid w:val="009D6A6A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6998"/>
    <w:rsid w:val="00BC389E"/>
    <w:rsid w:val="00BD0588"/>
    <w:rsid w:val="00BD6BD4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96461"/>
    <w:rsid w:val="00CB66EF"/>
    <w:rsid w:val="00CE09FA"/>
    <w:rsid w:val="00CF1111"/>
    <w:rsid w:val="00D05706"/>
    <w:rsid w:val="00D14BC1"/>
    <w:rsid w:val="00D27DC5"/>
    <w:rsid w:val="00D47E36"/>
    <w:rsid w:val="00D64E2A"/>
    <w:rsid w:val="00DD7B60"/>
    <w:rsid w:val="00E24F69"/>
    <w:rsid w:val="00E55D79"/>
    <w:rsid w:val="00E96706"/>
    <w:rsid w:val="00EC66C7"/>
    <w:rsid w:val="00EE2373"/>
    <w:rsid w:val="00EF0FBB"/>
    <w:rsid w:val="00EF4761"/>
    <w:rsid w:val="00F65FAE"/>
    <w:rsid w:val="00FB058C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user-guide-recorded-crime-statistics-scotland-3/documents/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88/52/section/170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about-us/how-we-do-it/crime-data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1394</Words>
  <Characters>7947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2025-10-16T09:20:00Z</dcterms:created>
  <dcterms:modified xsi:type="dcterms:W3CDTF">2025-10-22T20:04:00Z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