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C5A612" w:rsidR="00B17211" w:rsidRPr="00B17211" w:rsidRDefault="00B17211" w:rsidP="007F490F">
            <w:r w:rsidRPr="007F490F">
              <w:rPr>
                <w:rStyle w:val="Heading2Char"/>
              </w:rPr>
              <w:t>Our reference:</w:t>
            </w:r>
            <w:r>
              <w:t xml:space="preserve">  FOI 2</w:t>
            </w:r>
            <w:r w:rsidR="00EF0FBB">
              <w:t>5</w:t>
            </w:r>
            <w:r>
              <w:t>-</w:t>
            </w:r>
            <w:r w:rsidR="00CB6E93">
              <w:t>1643</w:t>
            </w:r>
          </w:p>
          <w:p w14:paraId="34BDABA6" w14:textId="0421E154" w:rsidR="00B17211" w:rsidRDefault="00456324" w:rsidP="00EE2373">
            <w:r w:rsidRPr="007F490F">
              <w:rPr>
                <w:rStyle w:val="Heading2Char"/>
              </w:rPr>
              <w:t>Respon</w:t>
            </w:r>
            <w:r w:rsidR="007D55F6">
              <w:rPr>
                <w:rStyle w:val="Heading2Char"/>
              </w:rPr>
              <w:t>ded to:</w:t>
            </w:r>
            <w:r w:rsidR="007F490F">
              <w:t xml:space="preserve">  </w:t>
            </w:r>
            <w:r w:rsidR="003F00F9">
              <w:t>20</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3597CFC" w14:textId="72C5A0BE" w:rsidR="00CB6E93" w:rsidRDefault="00CB6E93" w:rsidP="00CB6E93">
      <w:pPr>
        <w:pStyle w:val="ListParagraph"/>
        <w:numPr>
          <w:ilvl w:val="0"/>
          <w:numId w:val="2"/>
        </w:numPr>
        <w:tabs>
          <w:tab w:val="left" w:pos="5400"/>
        </w:tabs>
        <w:rPr>
          <w:rFonts w:eastAsiaTheme="majorEastAsia" w:cstheme="majorBidi"/>
          <w:b/>
          <w:color w:val="000000" w:themeColor="text1"/>
          <w:szCs w:val="26"/>
        </w:rPr>
      </w:pPr>
      <w:r w:rsidRPr="00CB6E93">
        <w:rPr>
          <w:rFonts w:eastAsiaTheme="majorEastAsia" w:cstheme="majorBidi"/>
          <w:b/>
          <w:color w:val="000000" w:themeColor="text1"/>
          <w:szCs w:val="26"/>
        </w:rPr>
        <w:t>In what year did your force start recording non-crime hate incidents?</w:t>
      </w:r>
    </w:p>
    <w:p w14:paraId="5AD6BE1A" w14:textId="77777777" w:rsidR="00CB6E93" w:rsidRDefault="00CB6E93" w:rsidP="00CB6E93">
      <w:pPr>
        <w:tabs>
          <w:tab w:val="left" w:pos="5400"/>
        </w:tabs>
      </w:pPr>
      <w:r w:rsidRPr="00CB6E93">
        <w:t>Police Scotland has recorded non-crime hate incidents since its inception in 2013. Many of Scotland’s legacy forces and other UK forces have followed this procedure following recommendations from the Stephen Lawrence Inquiry (formally known as the Macpherson Report) which was published in 1999. We do not hold the information as to when legacy forces adopted this procedure.</w:t>
      </w:r>
    </w:p>
    <w:p w14:paraId="6A23D957" w14:textId="593A7D32" w:rsidR="00CB6E93" w:rsidRDefault="00CB6E93" w:rsidP="00CB6E93">
      <w:pPr>
        <w:pStyle w:val="ListParagraph"/>
        <w:numPr>
          <w:ilvl w:val="0"/>
          <w:numId w:val="2"/>
        </w:numPr>
        <w:tabs>
          <w:tab w:val="left" w:pos="5400"/>
        </w:tabs>
        <w:rPr>
          <w:rFonts w:eastAsiaTheme="majorEastAsia" w:cstheme="majorBidi"/>
          <w:b/>
          <w:color w:val="000000" w:themeColor="text1"/>
          <w:szCs w:val="26"/>
        </w:rPr>
      </w:pPr>
      <w:r w:rsidRPr="00CB6E93">
        <w:rPr>
          <w:rFonts w:eastAsiaTheme="majorEastAsia" w:cstheme="majorBidi"/>
          <w:b/>
          <w:color w:val="000000" w:themeColor="text1"/>
          <w:szCs w:val="26"/>
        </w:rPr>
        <w:t>Please provide any document laying out the policy for recording such incidents.</w:t>
      </w:r>
    </w:p>
    <w:p w14:paraId="5A9DADB5" w14:textId="77777777" w:rsidR="00CB6E93" w:rsidRDefault="00CB6E93" w:rsidP="00776E5F">
      <w:r>
        <w:t>The information sought is held by Police Scotland, but I am refusing to provide it in terms of s</w:t>
      </w:r>
      <w:r w:rsidRPr="00453F0A">
        <w:t>ection 16</w:t>
      </w:r>
      <w:r>
        <w:t>(1) of the Act on the basis that the section 25(1) exemption applies:</w:t>
      </w:r>
    </w:p>
    <w:p w14:paraId="6E1DCCE5" w14:textId="77777777" w:rsidR="00CB6E93" w:rsidRDefault="00CB6E93" w:rsidP="00776E5F">
      <w:r>
        <w:t>“Information which the applicant can reasonably obtain other than by requesting it […] is exempt information”.</w:t>
      </w:r>
    </w:p>
    <w:p w14:paraId="084A6CB9" w14:textId="77777777" w:rsidR="00CB6E93" w:rsidRDefault="00CB6E93" w:rsidP="00776E5F">
      <w:r>
        <w:t>The information sought is publicly available:</w:t>
      </w:r>
    </w:p>
    <w:p w14:paraId="53BEA26E" w14:textId="77777777" w:rsidR="00CB6E93" w:rsidRDefault="00CB6E93" w:rsidP="00CB6E93">
      <w:hyperlink r:id="rId11" w:history="1">
        <w:r>
          <w:rPr>
            <w:rStyle w:val="Hyperlink"/>
          </w:rPr>
          <w:t>Responding to Hate Standard Operating Procedure - Police Scotland</w:t>
        </w:r>
      </w:hyperlink>
      <w:r>
        <w:t xml:space="preserve"> - d</w:t>
      </w:r>
      <w:r w:rsidRPr="00CB6E93">
        <w:t xml:space="preserve">ocuments our policy for recording such incidents. </w:t>
      </w:r>
    </w:p>
    <w:p w14:paraId="01C7143F" w14:textId="49C633D1" w:rsidR="00CB6E93" w:rsidRDefault="00CB6E93" w:rsidP="00CB6E93">
      <w:pPr>
        <w:pStyle w:val="ListParagraph"/>
        <w:numPr>
          <w:ilvl w:val="0"/>
          <w:numId w:val="2"/>
        </w:numPr>
        <w:rPr>
          <w:rFonts w:eastAsiaTheme="majorEastAsia" w:cstheme="majorBidi"/>
          <w:b/>
          <w:color w:val="000000" w:themeColor="text1"/>
          <w:szCs w:val="26"/>
        </w:rPr>
      </w:pPr>
      <w:r w:rsidRPr="00CB6E93">
        <w:rPr>
          <w:rFonts w:eastAsiaTheme="majorEastAsia" w:cstheme="majorBidi"/>
          <w:b/>
          <w:color w:val="000000" w:themeColor="text1"/>
          <w:szCs w:val="26"/>
        </w:rPr>
        <w:t>Please provide any email or document instructing your force to record such incidents, from for example the Home Office, Association of Chief Police Officers etc?</w:t>
      </w:r>
    </w:p>
    <w:p w14:paraId="26F88951" w14:textId="76A5359C" w:rsidR="00CB6E93" w:rsidRDefault="00CB6E93" w:rsidP="00D7709E">
      <w:pPr>
        <w:tabs>
          <w:tab w:val="left" w:pos="5400"/>
        </w:tabs>
      </w:pPr>
      <w:r w:rsidRPr="00CB6E93">
        <w:t>Police Scotland is not a Home Office force nor are we part of A</w:t>
      </w:r>
      <w:r>
        <w:t>ssociation of Chief Police Officers (A</w:t>
      </w:r>
      <w:r w:rsidRPr="00CB6E93">
        <w:t>CPO</w:t>
      </w:r>
      <w:r>
        <w:t>)</w:t>
      </w:r>
      <w:r w:rsidRPr="00CB6E93">
        <w:t xml:space="preserve">. </w:t>
      </w:r>
    </w:p>
    <w:p w14:paraId="5338AB89" w14:textId="77777777" w:rsidR="00D7709E" w:rsidRDefault="00CB6E93" w:rsidP="00D7709E">
      <w:pPr>
        <w:tabs>
          <w:tab w:val="left" w:pos="5400"/>
        </w:tabs>
      </w:pPr>
      <w:r w:rsidRPr="00CB6E93">
        <w:t>There was previously an Association of Chief Police Officers in Scotland (ACPOS)</w:t>
      </w:r>
      <w:r w:rsidR="00D7709E">
        <w:t xml:space="preserve"> </w:t>
      </w:r>
      <w:r w:rsidRPr="00CB6E93">
        <w:t xml:space="preserve">however this merged into Police Scotland when the single national force was launched on 1st April 2013. </w:t>
      </w:r>
    </w:p>
    <w:p w14:paraId="188ED42D" w14:textId="30FCA917" w:rsidR="00CB6E93" w:rsidRPr="00CB6E93" w:rsidRDefault="00CB6E93" w:rsidP="00D7709E">
      <w:pPr>
        <w:tabs>
          <w:tab w:val="left" w:pos="5400"/>
        </w:tabs>
      </w:pPr>
      <w:r w:rsidRPr="00CB6E93">
        <w:lastRenderedPageBreak/>
        <w:t>We are not aware of any external body instructing Police Scotland to record such incidents</w:t>
      </w:r>
      <w:r w:rsidR="00D7709E">
        <w:t xml:space="preserve"> and as such, </w:t>
      </w:r>
      <w:r w:rsidR="00D7709E">
        <w:rPr>
          <w:rFonts w:eastAsiaTheme="majorEastAsia" w:cstheme="majorBidi"/>
          <w:bCs/>
          <w:color w:val="000000" w:themeColor="text1"/>
          <w:szCs w:val="26"/>
        </w:rPr>
        <w:t xml:space="preserve">the information sought is not held by </w:t>
      </w:r>
      <w:r w:rsidR="00D7709E" w:rsidRPr="00646E3D">
        <w:rPr>
          <w:rFonts w:eastAsiaTheme="majorEastAsia" w:cstheme="majorBidi"/>
          <w:bCs/>
          <w:color w:val="000000" w:themeColor="text1"/>
          <w:szCs w:val="26"/>
        </w:rPr>
        <w:t xml:space="preserve">Police Scotland </w:t>
      </w:r>
      <w:r w:rsidR="00D7709E">
        <w:rPr>
          <w:rFonts w:eastAsiaTheme="majorEastAsia" w:cstheme="majorBidi"/>
          <w:bCs/>
          <w:color w:val="000000" w:themeColor="text1"/>
          <w:szCs w:val="26"/>
        </w:rPr>
        <w:t>and section 17 of the Act therefore applies.</w:t>
      </w:r>
    </w:p>
    <w:p w14:paraId="052939A1" w14:textId="77777777" w:rsidR="00CB6E93" w:rsidRDefault="00CB6E93" w:rsidP="00CB6E93">
      <w:pPr>
        <w:pStyle w:val="ListParagraph"/>
        <w:numPr>
          <w:ilvl w:val="0"/>
          <w:numId w:val="2"/>
        </w:numPr>
        <w:tabs>
          <w:tab w:val="left" w:pos="5400"/>
        </w:tabs>
        <w:rPr>
          <w:rFonts w:eastAsiaTheme="majorEastAsia" w:cstheme="majorBidi"/>
          <w:b/>
          <w:color w:val="000000" w:themeColor="text1"/>
          <w:szCs w:val="26"/>
        </w:rPr>
      </w:pPr>
      <w:r w:rsidRPr="00CB6E93">
        <w:rPr>
          <w:rFonts w:eastAsiaTheme="majorEastAsia" w:cstheme="majorBidi"/>
          <w:b/>
          <w:color w:val="000000" w:themeColor="text1"/>
          <w:szCs w:val="26"/>
        </w:rPr>
        <w:t>In each of the years your force has recorded such incidents, how many have been recorded in each year?</w:t>
      </w:r>
    </w:p>
    <w:p w14:paraId="1F35443E" w14:textId="6CE4326B" w:rsidR="00EF0FBB" w:rsidRDefault="00D7709E" w:rsidP="009D2AA5">
      <w:pPr>
        <w:tabs>
          <w:tab w:val="left" w:pos="5400"/>
        </w:tabs>
      </w:pPr>
      <w:r>
        <w:t xml:space="preserve">The table below details non-crime hate incidents recorded for period 01/04/2014-31/07/2025 (inclusive), by year. </w:t>
      </w:r>
    </w:p>
    <w:tbl>
      <w:tblPr>
        <w:tblStyle w:val="TableGrid"/>
        <w:tblW w:w="0" w:type="auto"/>
        <w:tblLook w:val="04A0" w:firstRow="1" w:lastRow="0" w:firstColumn="1" w:lastColumn="0" w:noHBand="0" w:noVBand="1"/>
        <w:tblCaption w:val="Example table"/>
        <w:tblDescription w:val="Example table"/>
      </w:tblPr>
      <w:tblGrid>
        <w:gridCol w:w="750"/>
        <w:gridCol w:w="1697"/>
      </w:tblGrid>
      <w:tr w:rsidR="00D7709E" w:rsidRPr="00557306" w14:paraId="34BDABB1" w14:textId="77777777" w:rsidTr="00D7709E">
        <w:trPr>
          <w:tblHeader/>
        </w:trPr>
        <w:tc>
          <w:tcPr>
            <w:tcW w:w="0" w:type="auto"/>
            <w:shd w:val="clear" w:color="auto" w:fill="D9D9D9" w:themeFill="background1" w:themeFillShade="D9"/>
          </w:tcPr>
          <w:p w14:paraId="34BDABAC" w14:textId="7BAE7E09" w:rsidR="00D7709E" w:rsidRPr="00557306" w:rsidRDefault="00D7709E" w:rsidP="00D7709E">
            <w:pPr>
              <w:spacing w:line="240" w:lineRule="auto"/>
              <w:jc w:val="center"/>
              <w:rPr>
                <w:b/>
              </w:rPr>
            </w:pPr>
            <w:r>
              <w:rPr>
                <w:b/>
              </w:rPr>
              <w:t>Year</w:t>
            </w:r>
          </w:p>
        </w:tc>
        <w:tc>
          <w:tcPr>
            <w:tcW w:w="0" w:type="auto"/>
            <w:shd w:val="clear" w:color="auto" w:fill="D9D9D9" w:themeFill="background1" w:themeFillShade="D9"/>
          </w:tcPr>
          <w:p w14:paraId="34BDABAD" w14:textId="706056B6" w:rsidR="00D7709E" w:rsidRPr="00557306" w:rsidRDefault="00D7709E" w:rsidP="00D7709E">
            <w:pPr>
              <w:spacing w:line="240" w:lineRule="auto"/>
              <w:jc w:val="center"/>
              <w:rPr>
                <w:b/>
              </w:rPr>
            </w:pPr>
            <w:r>
              <w:rPr>
                <w:b/>
              </w:rPr>
              <w:t>No. recorded</w:t>
            </w:r>
          </w:p>
        </w:tc>
      </w:tr>
      <w:tr w:rsidR="00D7709E" w14:paraId="34BDABB7" w14:textId="77777777" w:rsidTr="00D7709E">
        <w:tc>
          <w:tcPr>
            <w:tcW w:w="0" w:type="auto"/>
          </w:tcPr>
          <w:p w14:paraId="34BDABB2" w14:textId="0A9EE9DB" w:rsidR="00D7709E" w:rsidRDefault="00D7709E" w:rsidP="00D7709E">
            <w:pPr>
              <w:tabs>
                <w:tab w:val="left" w:pos="5400"/>
              </w:tabs>
              <w:spacing w:line="240" w:lineRule="auto"/>
              <w:jc w:val="center"/>
            </w:pPr>
            <w:r>
              <w:t>2014</w:t>
            </w:r>
          </w:p>
        </w:tc>
        <w:tc>
          <w:tcPr>
            <w:tcW w:w="0" w:type="auto"/>
          </w:tcPr>
          <w:p w14:paraId="34BDABB3" w14:textId="38B9806D" w:rsidR="00D7709E" w:rsidRDefault="00D7709E" w:rsidP="00D7709E">
            <w:pPr>
              <w:tabs>
                <w:tab w:val="left" w:pos="5400"/>
              </w:tabs>
              <w:spacing w:line="240" w:lineRule="auto"/>
              <w:jc w:val="right"/>
            </w:pPr>
            <w:r>
              <w:t>162</w:t>
            </w:r>
          </w:p>
        </w:tc>
      </w:tr>
      <w:tr w:rsidR="00D7709E" w14:paraId="5AC8BBDD" w14:textId="77777777" w:rsidTr="00D7709E">
        <w:tc>
          <w:tcPr>
            <w:tcW w:w="0" w:type="auto"/>
          </w:tcPr>
          <w:p w14:paraId="786C6D89" w14:textId="71201843" w:rsidR="00D7709E" w:rsidRDefault="00D7709E" w:rsidP="00D7709E">
            <w:pPr>
              <w:tabs>
                <w:tab w:val="left" w:pos="5400"/>
              </w:tabs>
              <w:spacing w:line="240" w:lineRule="auto"/>
              <w:jc w:val="center"/>
            </w:pPr>
            <w:r>
              <w:t>2015</w:t>
            </w:r>
          </w:p>
        </w:tc>
        <w:tc>
          <w:tcPr>
            <w:tcW w:w="0" w:type="auto"/>
          </w:tcPr>
          <w:p w14:paraId="72B3120F" w14:textId="4A57544D" w:rsidR="00D7709E" w:rsidRDefault="00D7709E" w:rsidP="00D7709E">
            <w:pPr>
              <w:tabs>
                <w:tab w:val="left" w:pos="5400"/>
              </w:tabs>
              <w:spacing w:line="240" w:lineRule="auto"/>
              <w:jc w:val="right"/>
            </w:pPr>
            <w:r>
              <w:t>263</w:t>
            </w:r>
          </w:p>
        </w:tc>
      </w:tr>
      <w:tr w:rsidR="00D7709E" w14:paraId="50F80931" w14:textId="77777777" w:rsidTr="00D7709E">
        <w:tc>
          <w:tcPr>
            <w:tcW w:w="0" w:type="auto"/>
          </w:tcPr>
          <w:p w14:paraId="11B56872" w14:textId="5C0478DE" w:rsidR="00D7709E" w:rsidRDefault="00D7709E" w:rsidP="00D7709E">
            <w:pPr>
              <w:tabs>
                <w:tab w:val="left" w:pos="5400"/>
              </w:tabs>
              <w:spacing w:line="240" w:lineRule="auto"/>
              <w:jc w:val="center"/>
            </w:pPr>
            <w:r>
              <w:t>2016</w:t>
            </w:r>
          </w:p>
        </w:tc>
        <w:tc>
          <w:tcPr>
            <w:tcW w:w="0" w:type="auto"/>
          </w:tcPr>
          <w:p w14:paraId="7774A558" w14:textId="7CFA14A5" w:rsidR="00D7709E" w:rsidRDefault="00D7709E" w:rsidP="00D7709E">
            <w:pPr>
              <w:tabs>
                <w:tab w:val="left" w:pos="5400"/>
              </w:tabs>
              <w:spacing w:line="240" w:lineRule="auto"/>
              <w:jc w:val="right"/>
            </w:pPr>
            <w:r>
              <w:t>266</w:t>
            </w:r>
          </w:p>
        </w:tc>
      </w:tr>
      <w:tr w:rsidR="00D7709E" w14:paraId="7633565E" w14:textId="77777777" w:rsidTr="00D7709E">
        <w:tc>
          <w:tcPr>
            <w:tcW w:w="0" w:type="auto"/>
          </w:tcPr>
          <w:p w14:paraId="7DE5BB5F" w14:textId="595F9C8E" w:rsidR="00D7709E" w:rsidRDefault="00D7709E" w:rsidP="00D7709E">
            <w:pPr>
              <w:tabs>
                <w:tab w:val="left" w:pos="5400"/>
              </w:tabs>
              <w:spacing w:line="240" w:lineRule="auto"/>
              <w:jc w:val="center"/>
            </w:pPr>
            <w:r>
              <w:t>2017</w:t>
            </w:r>
          </w:p>
        </w:tc>
        <w:tc>
          <w:tcPr>
            <w:tcW w:w="0" w:type="auto"/>
          </w:tcPr>
          <w:p w14:paraId="71521D1A" w14:textId="2EA96705" w:rsidR="00D7709E" w:rsidRDefault="00D7709E" w:rsidP="00D7709E">
            <w:pPr>
              <w:tabs>
                <w:tab w:val="left" w:pos="5400"/>
              </w:tabs>
              <w:spacing w:line="240" w:lineRule="auto"/>
              <w:jc w:val="right"/>
            </w:pPr>
            <w:r>
              <w:t>283</w:t>
            </w:r>
          </w:p>
        </w:tc>
      </w:tr>
      <w:tr w:rsidR="00D7709E" w14:paraId="538FC692" w14:textId="77777777" w:rsidTr="00D7709E">
        <w:tc>
          <w:tcPr>
            <w:tcW w:w="0" w:type="auto"/>
          </w:tcPr>
          <w:p w14:paraId="1025DCE9" w14:textId="75A933AD" w:rsidR="00D7709E" w:rsidRDefault="00D7709E" w:rsidP="00D7709E">
            <w:pPr>
              <w:tabs>
                <w:tab w:val="left" w:pos="5400"/>
              </w:tabs>
              <w:spacing w:line="240" w:lineRule="auto"/>
              <w:jc w:val="center"/>
            </w:pPr>
            <w:r>
              <w:t>2018</w:t>
            </w:r>
          </w:p>
        </w:tc>
        <w:tc>
          <w:tcPr>
            <w:tcW w:w="0" w:type="auto"/>
          </w:tcPr>
          <w:p w14:paraId="179894C3" w14:textId="0FC42ED8" w:rsidR="00D7709E" w:rsidRDefault="00D7709E" w:rsidP="00D7709E">
            <w:pPr>
              <w:tabs>
                <w:tab w:val="left" w:pos="5400"/>
              </w:tabs>
              <w:spacing w:line="240" w:lineRule="auto"/>
              <w:jc w:val="right"/>
            </w:pPr>
            <w:r>
              <w:t>296</w:t>
            </w:r>
          </w:p>
        </w:tc>
      </w:tr>
      <w:tr w:rsidR="00D7709E" w14:paraId="258F4B35" w14:textId="77777777" w:rsidTr="00D7709E">
        <w:tc>
          <w:tcPr>
            <w:tcW w:w="0" w:type="auto"/>
          </w:tcPr>
          <w:p w14:paraId="2C070168" w14:textId="2F5C89E0" w:rsidR="00D7709E" w:rsidRDefault="00D7709E" w:rsidP="00D7709E">
            <w:pPr>
              <w:tabs>
                <w:tab w:val="left" w:pos="5400"/>
              </w:tabs>
              <w:spacing w:line="240" w:lineRule="auto"/>
              <w:jc w:val="center"/>
            </w:pPr>
            <w:r>
              <w:t>2019</w:t>
            </w:r>
          </w:p>
        </w:tc>
        <w:tc>
          <w:tcPr>
            <w:tcW w:w="0" w:type="auto"/>
          </w:tcPr>
          <w:p w14:paraId="23CDB46C" w14:textId="1CBC0309" w:rsidR="00D7709E" w:rsidRDefault="00D7709E" w:rsidP="00D7709E">
            <w:pPr>
              <w:tabs>
                <w:tab w:val="left" w:pos="5400"/>
              </w:tabs>
              <w:spacing w:line="240" w:lineRule="auto"/>
              <w:jc w:val="right"/>
            </w:pPr>
            <w:r>
              <w:t>490</w:t>
            </w:r>
          </w:p>
        </w:tc>
      </w:tr>
      <w:tr w:rsidR="00D7709E" w14:paraId="63B23464" w14:textId="77777777" w:rsidTr="00D7709E">
        <w:tc>
          <w:tcPr>
            <w:tcW w:w="0" w:type="auto"/>
          </w:tcPr>
          <w:p w14:paraId="69512EB6" w14:textId="7BB4539A" w:rsidR="00D7709E" w:rsidRDefault="00D7709E" w:rsidP="00D7709E">
            <w:pPr>
              <w:tabs>
                <w:tab w:val="left" w:pos="5400"/>
              </w:tabs>
              <w:spacing w:line="240" w:lineRule="auto"/>
              <w:jc w:val="center"/>
            </w:pPr>
            <w:r>
              <w:t>2020</w:t>
            </w:r>
          </w:p>
        </w:tc>
        <w:tc>
          <w:tcPr>
            <w:tcW w:w="0" w:type="auto"/>
          </w:tcPr>
          <w:p w14:paraId="6A79F4D3" w14:textId="40891FA9" w:rsidR="00D7709E" w:rsidRDefault="00D7709E" w:rsidP="00D7709E">
            <w:pPr>
              <w:tabs>
                <w:tab w:val="left" w:pos="5400"/>
              </w:tabs>
              <w:spacing w:line="240" w:lineRule="auto"/>
              <w:jc w:val="right"/>
            </w:pPr>
            <w:r>
              <w:t>638</w:t>
            </w:r>
          </w:p>
        </w:tc>
      </w:tr>
      <w:tr w:rsidR="00D7709E" w14:paraId="093E3CF6" w14:textId="77777777" w:rsidTr="00D7709E">
        <w:tc>
          <w:tcPr>
            <w:tcW w:w="0" w:type="auto"/>
          </w:tcPr>
          <w:p w14:paraId="6EDC2ABE" w14:textId="49940D6B" w:rsidR="00D7709E" w:rsidRDefault="00D7709E" w:rsidP="00D7709E">
            <w:pPr>
              <w:tabs>
                <w:tab w:val="left" w:pos="5400"/>
              </w:tabs>
              <w:spacing w:line="240" w:lineRule="auto"/>
              <w:jc w:val="center"/>
            </w:pPr>
            <w:r>
              <w:t>2021</w:t>
            </w:r>
          </w:p>
        </w:tc>
        <w:tc>
          <w:tcPr>
            <w:tcW w:w="0" w:type="auto"/>
          </w:tcPr>
          <w:p w14:paraId="0F60A247" w14:textId="0E0C7472" w:rsidR="00D7709E" w:rsidRDefault="00D7709E" w:rsidP="00D7709E">
            <w:pPr>
              <w:tabs>
                <w:tab w:val="left" w:pos="5400"/>
              </w:tabs>
              <w:spacing w:line="240" w:lineRule="auto"/>
              <w:jc w:val="right"/>
            </w:pPr>
            <w:r>
              <w:t>661</w:t>
            </w:r>
          </w:p>
        </w:tc>
      </w:tr>
      <w:tr w:rsidR="00D7709E" w14:paraId="3855035D" w14:textId="77777777" w:rsidTr="00D7709E">
        <w:tc>
          <w:tcPr>
            <w:tcW w:w="0" w:type="auto"/>
          </w:tcPr>
          <w:p w14:paraId="7541F994" w14:textId="4217F89B" w:rsidR="00D7709E" w:rsidRDefault="00D7709E" w:rsidP="00D7709E">
            <w:pPr>
              <w:tabs>
                <w:tab w:val="left" w:pos="5400"/>
              </w:tabs>
              <w:spacing w:line="240" w:lineRule="auto"/>
              <w:jc w:val="center"/>
            </w:pPr>
            <w:r>
              <w:t>2022</w:t>
            </w:r>
          </w:p>
        </w:tc>
        <w:tc>
          <w:tcPr>
            <w:tcW w:w="0" w:type="auto"/>
          </w:tcPr>
          <w:p w14:paraId="7F108897" w14:textId="0BF96920" w:rsidR="00D7709E" w:rsidRDefault="00D7709E" w:rsidP="00D7709E">
            <w:pPr>
              <w:tabs>
                <w:tab w:val="left" w:pos="5400"/>
              </w:tabs>
              <w:spacing w:line="240" w:lineRule="auto"/>
              <w:jc w:val="right"/>
            </w:pPr>
            <w:r>
              <w:t>933</w:t>
            </w:r>
          </w:p>
        </w:tc>
      </w:tr>
      <w:tr w:rsidR="00D7709E" w14:paraId="4A24300C" w14:textId="77777777" w:rsidTr="00D7709E">
        <w:tc>
          <w:tcPr>
            <w:tcW w:w="0" w:type="auto"/>
          </w:tcPr>
          <w:p w14:paraId="7B166A76" w14:textId="62EB9556" w:rsidR="00D7709E" w:rsidRDefault="00D7709E" w:rsidP="00D7709E">
            <w:pPr>
              <w:tabs>
                <w:tab w:val="left" w:pos="5400"/>
              </w:tabs>
              <w:spacing w:line="240" w:lineRule="auto"/>
              <w:jc w:val="center"/>
            </w:pPr>
            <w:r>
              <w:t>2023</w:t>
            </w:r>
          </w:p>
        </w:tc>
        <w:tc>
          <w:tcPr>
            <w:tcW w:w="0" w:type="auto"/>
          </w:tcPr>
          <w:p w14:paraId="25FF31BF" w14:textId="7603FB7F" w:rsidR="00D7709E" w:rsidRDefault="00D7709E" w:rsidP="00D7709E">
            <w:pPr>
              <w:tabs>
                <w:tab w:val="left" w:pos="5400"/>
              </w:tabs>
              <w:spacing w:line="240" w:lineRule="auto"/>
              <w:jc w:val="right"/>
            </w:pPr>
            <w:r>
              <w:t>1297</w:t>
            </w:r>
          </w:p>
        </w:tc>
      </w:tr>
      <w:tr w:rsidR="00D7709E" w14:paraId="543C11D9" w14:textId="77777777" w:rsidTr="00D7709E">
        <w:tc>
          <w:tcPr>
            <w:tcW w:w="0" w:type="auto"/>
          </w:tcPr>
          <w:p w14:paraId="748C8E0B" w14:textId="06E87729" w:rsidR="00D7709E" w:rsidRDefault="00D7709E" w:rsidP="00D7709E">
            <w:pPr>
              <w:tabs>
                <w:tab w:val="left" w:pos="5400"/>
              </w:tabs>
              <w:spacing w:line="240" w:lineRule="auto"/>
              <w:jc w:val="center"/>
            </w:pPr>
            <w:r>
              <w:t>2024</w:t>
            </w:r>
          </w:p>
        </w:tc>
        <w:tc>
          <w:tcPr>
            <w:tcW w:w="0" w:type="auto"/>
          </w:tcPr>
          <w:p w14:paraId="4F323585" w14:textId="42891D1A" w:rsidR="00D7709E" w:rsidRDefault="00D7709E" w:rsidP="00D7709E">
            <w:pPr>
              <w:tabs>
                <w:tab w:val="left" w:pos="5400"/>
              </w:tabs>
              <w:spacing w:line="240" w:lineRule="auto"/>
              <w:jc w:val="right"/>
            </w:pPr>
            <w:r>
              <w:t>1050</w:t>
            </w:r>
          </w:p>
        </w:tc>
      </w:tr>
      <w:tr w:rsidR="00D7709E" w14:paraId="5F2F345A" w14:textId="77777777" w:rsidTr="00D7709E">
        <w:tc>
          <w:tcPr>
            <w:tcW w:w="0" w:type="auto"/>
          </w:tcPr>
          <w:p w14:paraId="48CAA0C4" w14:textId="1EB39A9A" w:rsidR="00D7709E" w:rsidRDefault="00D7709E" w:rsidP="00D7709E">
            <w:pPr>
              <w:tabs>
                <w:tab w:val="left" w:pos="5400"/>
              </w:tabs>
              <w:spacing w:line="240" w:lineRule="auto"/>
              <w:jc w:val="center"/>
            </w:pPr>
            <w:r>
              <w:t>2025</w:t>
            </w:r>
          </w:p>
        </w:tc>
        <w:tc>
          <w:tcPr>
            <w:tcW w:w="0" w:type="auto"/>
          </w:tcPr>
          <w:p w14:paraId="20866722" w14:textId="32AE5296" w:rsidR="00D7709E" w:rsidRDefault="00D7709E" w:rsidP="00D7709E">
            <w:pPr>
              <w:tabs>
                <w:tab w:val="left" w:pos="5400"/>
              </w:tabs>
              <w:spacing w:line="240" w:lineRule="auto"/>
              <w:jc w:val="right"/>
            </w:pPr>
            <w:r>
              <w:t>427</w:t>
            </w:r>
          </w:p>
        </w:tc>
      </w:tr>
    </w:tbl>
    <w:p w14:paraId="22ABF91D" w14:textId="77777777" w:rsidR="00D7709E" w:rsidRDefault="00D7709E" w:rsidP="00D7709E">
      <w:r>
        <w:t>All statistics are provisional and should be treated as management information. All data has been extracted from Police Scotland internal systems and correct as at 12/08/2025.</w:t>
      </w:r>
    </w:p>
    <w:p w14:paraId="20BA452C" w14:textId="77777777" w:rsidR="00D7709E" w:rsidRDefault="00D7709E" w:rsidP="00D7709E">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5F8EAE55" w14:textId="152CC5DA" w:rsidR="00D7709E" w:rsidRDefault="00D7709E" w:rsidP="009D2AA5">
      <w:r>
        <w:lastRenderedPageBreak/>
        <w:t>Data collated from the Police Scotland iVPD system, which has an automated weeding and retention policy built on to it. A copy of the retention policy is available on the Police Scotland internet site (</w:t>
      </w:r>
      <w:hyperlink r:id="rId12" w:history="1">
        <w:r>
          <w:rPr>
            <w:rStyle w:val="Hyperlink"/>
          </w:rPr>
          <w:t>Record Retention Standard Operating Procedure - Police Scotland</w:t>
        </w:r>
      </w:hyperlink>
      <w:r>
        <w:t>).</w:t>
      </w:r>
    </w:p>
    <w:p w14:paraId="7190255B" w14:textId="77777777" w:rsidR="00D7709E" w:rsidRDefault="00D7709E" w:rsidP="009D2AA5"/>
    <w:p w14:paraId="34BDABBE" w14:textId="7FC2DC7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A56F1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0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9532B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0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6C1F7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0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688FB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00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3C5E46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00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C4ED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00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F1C5E"/>
    <w:multiLevelType w:val="hybridMultilevel"/>
    <w:tmpl w:val="513E30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7020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2A6CB9"/>
    <w:rsid w:val="0036503B"/>
    <w:rsid w:val="00376A4A"/>
    <w:rsid w:val="00381234"/>
    <w:rsid w:val="003D6D03"/>
    <w:rsid w:val="003E12CA"/>
    <w:rsid w:val="003F00F9"/>
    <w:rsid w:val="004010DC"/>
    <w:rsid w:val="004341F0"/>
    <w:rsid w:val="00456324"/>
    <w:rsid w:val="00475460"/>
    <w:rsid w:val="00490317"/>
    <w:rsid w:val="00491644"/>
    <w:rsid w:val="00496A08"/>
    <w:rsid w:val="004E1605"/>
    <w:rsid w:val="004F653C"/>
    <w:rsid w:val="00540A52"/>
    <w:rsid w:val="00557306"/>
    <w:rsid w:val="006029D9"/>
    <w:rsid w:val="00623470"/>
    <w:rsid w:val="00643CE5"/>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B6E93"/>
    <w:rsid w:val="00CE09FA"/>
    <w:rsid w:val="00CF1111"/>
    <w:rsid w:val="00D05706"/>
    <w:rsid w:val="00D27DC5"/>
    <w:rsid w:val="00D47E36"/>
    <w:rsid w:val="00D7709E"/>
    <w:rsid w:val="00E55D79"/>
    <w:rsid w:val="00EE2373"/>
    <w:rsid w:val="00EF0FBB"/>
    <w:rsid w:val="00EF4761"/>
    <w:rsid w:val="00FC2DA7"/>
    <w:rsid w:val="00FE44E2"/>
    <w:rsid w:val="00FE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B6E93"/>
    <w:rPr>
      <w:color w:val="605E5C"/>
      <w:shd w:val="clear" w:color="auto" w:fill="E1DFDD"/>
    </w:rPr>
  </w:style>
  <w:style w:type="character" w:styleId="FollowedHyperlink">
    <w:name w:val="FollowedHyperlink"/>
    <w:basedOn w:val="DefaultParagraphFont"/>
    <w:uiPriority w:val="99"/>
    <w:semiHidden/>
    <w:unhideWhenUsed/>
    <w:rsid w:val="00CB6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policies-and-procedures/standard-operating-procedures/standard-operating-procedures-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671</Words>
  <Characters>3830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2025-08-19T15:42:00Z</dcterms:created>
  <dcterms:modified xsi:type="dcterms:W3CDTF">2025-08-20T16:02:00Z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