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A0CE09E" w:rsidR="00B17211" w:rsidRPr="00B17211" w:rsidRDefault="00B17211" w:rsidP="007F490F">
            <w:r w:rsidRPr="007F490F">
              <w:rPr>
                <w:rStyle w:val="Heading2Char"/>
              </w:rPr>
              <w:t>Our reference:</w:t>
            </w:r>
            <w:r>
              <w:t xml:space="preserve">  FOI 2</w:t>
            </w:r>
            <w:r w:rsidR="00EF0FBB">
              <w:t>5</w:t>
            </w:r>
            <w:r>
              <w:t>-</w:t>
            </w:r>
            <w:r w:rsidR="003E1DB9">
              <w:t>2045</w:t>
            </w:r>
          </w:p>
          <w:p w14:paraId="34BDABA6" w14:textId="64D38604" w:rsidR="00B17211" w:rsidRDefault="00456324" w:rsidP="00EE2373">
            <w:r w:rsidRPr="007F490F">
              <w:rPr>
                <w:rStyle w:val="Heading2Char"/>
              </w:rPr>
              <w:t>Respon</w:t>
            </w:r>
            <w:r w:rsidR="007D55F6">
              <w:rPr>
                <w:rStyle w:val="Heading2Char"/>
              </w:rPr>
              <w:t>ded to:</w:t>
            </w:r>
            <w:r w:rsidR="007F490F">
              <w:t xml:space="preserve">  </w:t>
            </w:r>
            <w:r w:rsidR="0073604B">
              <w:t>14</w:t>
            </w:r>
            <w:r w:rsidR="0073604B" w:rsidRPr="0073604B">
              <w:rPr>
                <w:vertAlign w:val="superscript"/>
              </w:rPr>
              <w:t>th</w:t>
            </w:r>
            <w:r w:rsidR="006D5799">
              <w:t xml:space="preserve"> </w:t>
            </w:r>
            <w:r w:rsidR="00151B48">
              <w:t>August</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2107620" w14:textId="00E802D1" w:rsidR="003E1DB9" w:rsidRPr="0034444D" w:rsidRDefault="003E1DB9" w:rsidP="0034444D">
      <w:pPr>
        <w:pStyle w:val="Heading2"/>
      </w:pPr>
      <w:r w:rsidRPr="0034444D">
        <w:t>I am requesting the following information held by Police Scotland regarding alleged or confirmed incidents of child abuse associated with Rangers Football Club or Ibrox Stadium:</w:t>
      </w:r>
    </w:p>
    <w:p w14:paraId="7A4BF499" w14:textId="77777777" w:rsidR="00477651" w:rsidRDefault="003E1DB9" w:rsidP="00477651">
      <w:pPr>
        <w:pStyle w:val="Heading2"/>
        <w:numPr>
          <w:ilvl w:val="0"/>
          <w:numId w:val="3"/>
        </w:numPr>
      </w:pPr>
      <w:r w:rsidRPr="0034444D">
        <w:t>Details of any investigations, whether ongoing or concluded, into allegations of historical or recent child abuse (sexual, physical, or otherwise) that took place at Ibrox Stadium or involved individuals affiliated with Rangers Football Club (e.g., employees, coaches, scouts, or volunteers) from 1970 to the present day. This should include:</w:t>
      </w:r>
    </w:p>
    <w:p w14:paraId="683BD9F4" w14:textId="77777777" w:rsidR="00477651" w:rsidRDefault="003E1DB9" w:rsidP="0034444D">
      <w:pPr>
        <w:pStyle w:val="Heading2"/>
        <w:numPr>
          <w:ilvl w:val="0"/>
          <w:numId w:val="4"/>
        </w:numPr>
      </w:pPr>
      <w:r w:rsidRPr="0034444D">
        <w:t>The number of such investigations.</w:t>
      </w:r>
    </w:p>
    <w:p w14:paraId="23738661" w14:textId="77777777" w:rsidR="00477651" w:rsidRDefault="003E1DB9" w:rsidP="0034444D">
      <w:pPr>
        <w:pStyle w:val="Heading2"/>
        <w:numPr>
          <w:ilvl w:val="0"/>
          <w:numId w:val="4"/>
        </w:numPr>
      </w:pPr>
      <w:r w:rsidRPr="0034444D">
        <w:t>The dates or time periods covered by these investigations.</w:t>
      </w:r>
    </w:p>
    <w:p w14:paraId="210345EA" w14:textId="77777777" w:rsidR="00477651" w:rsidRDefault="003E1DB9" w:rsidP="0034444D">
      <w:pPr>
        <w:pStyle w:val="Heading2"/>
        <w:numPr>
          <w:ilvl w:val="0"/>
          <w:numId w:val="4"/>
        </w:numPr>
      </w:pPr>
      <w:r w:rsidRPr="0034444D">
        <w:t>The status of each investigation (e.g., ongoing, concluded, referred to the Crown Office and Procurator Fiscal Service).</w:t>
      </w:r>
    </w:p>
    <w:p w14:paraId="0116DD1D" w14:textId="66032084" w:rsidR="003E1DB9" w:rsidRPr="0034444D" w:rsidRDefault="003E1DB9" w:rsidP="0034444D">
      <w:pPr>
        <w:pStyle w:val="Heading2"/>
        <w:numPr>
          <w:ilvl w:val="0"/>
          <w:numId w:val="4"/>
        </w:numPr>
      </w:pPr>
      <w:r w:rsidRPr="0034444D">
        <w:t>Any outcomes, such as arrests, charges, or convictions, where applicable.</w:t>
      </w:r>
    </w:p>
    <w:p w14:paraId="0F5C17B4" w14:textId="77777777" w:rsidR="00477651" w:rsidRDefault="0034444D" w:rsidP="0034444D">
      <w:pPr>
        <w:pStyle w:val="Heading2"/>
        <w:numPr>
          <w:ilvl w:val="0"/>
          <w:numId w:val="3"/>
        </w:numPr>
      </w:pPr>
      <w:r w:rsidRPr="0034444D">
        <w:t>Copies of any reports, summaries, or correspondence held by Police Scotland related to allegations or confirmed incidents of child abuse linked to Rangers Football Club or Ibrox Stadium, including but not limited to investigations involving former youth coach Gordon Neely or other named individuals associated with the club.</w:t>
      </w:r>
    </w:p>
    <w:p w14:paraId="169D0FAC" w14:textId="5B060099" w:rsidR="0034444D" w:rsidRDefault="0034444D" w:rsidP="0034444D">
      <w:pPr>
        <w:pStyle w:val="Heading2"/>
        <w:numPr>
          <w:ilvl w:val="0"/>
          <w:numId w:val="3"/>
        </w:numPr>
      </w:pPr>
      <w:r>
        <w:t>Information on whether Police Scotland received formal complaints or reports from Rangers Football Club or third parties regarding alleged child abuse incidents at Ibrox Stadium or involving club personnel, and if so, the dates and nature of those reports.</w:t>
      </w:r>
    </w:p>
    <w:p w14:paraId="2D5380C9" w14:textId="2D0C950F" w:rsidR="00477651" w:rsidRDefault="003E1DB9" w:rsidP="00106034">
      <w:pPr>
        <w:tabs>
          <w:tab w:val="left" w:pos="5400"/>
        </w:tabs>
        <w:jc w:val="both"/>
      </w:pPr>
      <w:r>
        <w:t xml:space="preserve">On the </w:t>
      </w:r>
      <w:r w:rsidR="00A229E1">
        <w:t>24</w:t>
      </w:r>
      <w:r w:rsidR="00A229E1" w:rsidRPr="003E1DB9">
        <w:rPr>
          <w:vertAlign w:val="superscript"/>
        </w:rPr>
        <w:t xml:space="preserve">th </w:t>
      </w:r>
      <w:r w:rsidR="00A229E1">
        <w:t>of N</w:t>
      </w:r>
      <w:r>
        <w:t>ovember 2016, Police Scotland began to receive reports of information relating to child sexual abuse within football</w:t>
      </w:r>
      <w:r w:rsidR="00477651">
        <w:t>,</w:t>
      </w:r>
      <w:r>
        <w:t xml:space="preserve"> following national media coverage.</w:t>
      </w:r>
    </w:p>
    <w:p w14:paraId="34BDABAA" w14:textId="56BF30B2" w:rsidR="00496A08" w:rsidRDefault="003E1DB9" w:rsidP="00106034">
      <w:pPr>
        <w:tabs>
          <w:tab w:val="left" w:pos="5400"/>
        </w:tabs>
        <w:jc w:val="both"/>
      </w:pPr>
      <w:r>
        <w:lastRenderedPageBreak/>
        <w:t>As a result, the National Child Abuse Investigation Unit was appointed to co-ordinate the reports made.</w:t>
      </w:r>
    </w:p>
    <w:p w14:paraId="3411F8C8" w14:textId="7FBC0B1B" w:rsidR="00151B48" w:rsidRPr="00151B48" w:rsidRDefault="00151B48" w:rsidP="00106034">
      <w:pPr>
        <w:jc w:val="both"/>
        <w:rPr>
          <w:lang w:val="en"/>
        </w:rPr>
      </w:pPr>
      <w:r w:rsidRPr="0003176F">
        <w:rPr>
          <w:lang w:val="en"/>
        </w:rPr>
        <w:t>Police Scotland has</w:t>
      </w:r>
      <w:r w:rsidR="00477651">
        <w:rPr>
          <w:lang w:val="en"/>
        </w:rPr>
        <w:t>,</w:t>
      </w:r>
      <w:r w:rsidRPr="0003176F">
        <w:rPr>
          <w:lang w:val="en"/>
        </w:rPr>
        <w:t xml:space="preserve"> since that date</w:t>
      </w:r>
      <w:r w:rsidR="00477651">
        <w:rPr>
          <w:lang w:val="en"/>
        </w:rPr>
        <w:t>,</w:t>
      </w:r>
      <w:r w:rsidRPr="0003176F">
        <w:rPr>
          <w:lang w:val="en"/>
        </w:rPr>
        <w:t xml:space="preserve"> held meetings with both the National Society for the Prevention of Cruelty to Children (NSPCC) and the Scottish Football Association (SFA) to ensure the coordination of these reports are undertaken in the correct and timely manner to enable Police Scotland to fully investigate reports of child sexual abuse.</w:t>
      </w:r>
    </w:p>
    <w:p w14:paraId="58571C0B" w14:textId="6C0300F8" w:rsidR="0034444D" w:rsidRDefault="003E1DB9" w:rsidP="00106034">
      <w:pPr>
        <w:tabs>
          <w:tab w:val="left" w:pos="5400"/>
        </w:tabs>
        <w:jc w:val="both"/>
      </w:pPr>
      <w:r>
        <w:t xml:space="preserve">A Major Investigation commenced in January 2017 led by the National Child Abuse Investigation Unit to ensure the investigative response was victim </w:t>
      </w:r>
      <w:r w:rsidR="00A229E1">
        <w:t>centred,</w:t>
      </w:r>
      <w:r>
        <w:t xml:space="preserve"> and perpetrator focused. This</w:t>
      </w:r>
      <w:r w:rsidR="000F0212">
        <w:t xml:space="preserve"> investigation was resourced by staff from the National Child Abuse Investigation Unit, supported by resources from across Local Policing.</w:t>
      </w:r>
    </w:p>
    <w:p w14:paraId="392FF0F2" w14:textId="727836A6" w:rsidR="00E11983" w:rsidRDefault="00E11983" w:rsidP="00106034">
      <w:pPr>
        <w:tabs>
          <w:tab w:val="left" w:pos="5400"/>
        </w:tabs>
        <w:jc w:val="both"/>
      </w:pPr>
      <w:r>
        <w:t xml:space="preserve">I can confirm that Police Scotland </w:t>
      </w:r>
      <w:r w:rsidR="00477651">
        <w:t>holds information of relevance to your request,</w:t>
      </w:r>
      <w:r>
        <w:t xml:space="preserve"> but I am refusing to provide it in terms of Section 16(1) of the Act, on the basis that the following exemptions apply:</w:t>
      </w:r>
    </w:p>
    <w:p w14:paraId="76B4CFEA" w14:textId="77777777" w:rsidR="00477651" w:rsidRPr="00477651" w:rsidRDefault="00477651" w:rsidP="00106034">
      <w:pPr>
        <w:pStyle w:val="ListParagraph"/>
        <w:numPr>
          <w:ilvl w:val="0"/>
          <w:numId w:val="5"/>
        </w:numPr>
        <w:tabs>
          <w:tab w:val="left" w:pos="5400"/>
        </w:tabs>
        <w:jc w:val="both"/>
        <w:rPr>
          <w:i/>
          <w:iCs/>
        </w:rPr>
      </w:pPr>
      <w:r w:rsidRPr="00477651">
        <w:rPr>
          <w:i/>
          <w:iCs/>
        </w:rPr>
        <w:t>Section 34(1)(b) – Investigations</w:t>
      </w:r>
    </w:p>
    <w:p w14:paraId="119938F9" w14:textId="2F063CB4" w:rsidR="00477651" w:rsidRPr="00E676B3" w:rsidRDefault="00477651" w:rsidP="00106034">
      <w:pPr>
        <w:jc w:val="both"/>
      </w:pPr>
      <w:r w:rsidRPr="00E676B3">
        <w:t xml:space="preserve">Information is exempt if it </w:t>
      </w:r>
      <w:r>
        <w:t xml:space="preserve">is held </w:t>
      </w:r>
      <w:r w:rsidRPr="00E676B3">
        <w:t>for the purposes of an investigation which may lead to a decision to report the circumstances to the Crown Office and Procurator Fiscal Service to enable a determination on whether criminal proceedings should be instigated.</w:t>
      </w:r>
    </w:p>
    <w:p w14:paraId="3E2B70C3" w14:textId="77777777" w:rsidR="00477651" w:rsidRPr="00477651" w:rsidRDefault="00477651" w:rsidP="00106034">
      <w:pPr>
        <w:pStyle w:val="ListParagraph"/>
        <w:numPr>
          <w:ilvl w:val="0"/>
          <w:numId w:val="5"/>
        </w:numPr>
        <w:tabs>
          <w:tab w:val="left" w:pos="5400"/>
        </w:tabs>
        <w:jc w:val="both"/>
        <w:rPr>
          <w:i/>
          <w:iCs/>
        </w:rPr>
      </w:pPr>
      <w:r w:rsidRPr="00477651">
        <w:rPr>
          <w:i/>
          <w:iCs/>
        </w:rPr>
        <w:t>Section 35(1)(a)&amp;(b) – Law Enforcement</w:t>
      </w:r>
    </w:p>
    <w:p w14:paraId="2391CD8C" w14:textId="54CA75EA" w:rsidR="00477651" w:rsidRDefault="00477651" w:rsidP="00106034">
      <w:pPr>
        <w:tabs>
          <w:tab w:val="left" w:pos="5400"/>
        </w:tabs>
        <w:jc w:val="both"/>
      </w:pPr>
      <w:r>
        <w:t>Disclosure would</w:t>
      </w:r>
      <w:r w:rsidRPr="00121711">
        <w:t xml:space="preserve"> prejudice substantially the ability of the police to investigate and detect crime and would have a similar detrimental impact on the apprehension or prosecution of offenders.</w:t>
      </w:r>
    </w:p>
    <w:p w14:paraId="7BB4D7A2" w14:textId="77777777" w:rsidR="00477651" w:rsidRPr="00477651" w:rsidRDefault="00477651" w:rsidP="00106034">
      <w:pPr>
        <w:pStyle w:val="ListParagraph"/>
        <w:numPr>
          <w:ilvl w:val="0"/>
          <w:numId w:val="5"/>
        </w:numPr>
        <w:tabs>
          <w:tab w:val="left" w:pos="5400"/>
        </w:tabs>
        <w:jc w:val="both"/>
        <w:rPr>
          <w:i/>
          <w:iCs/>
        </w:rPr>
      </w:pPr>
      <w:r w:rsidRPr="00477651">
        <w:rPr>
          <w:i/>
          <w:iCs/>
        </w:rPr>
        <w:t>Section 39(1) – Health, Safety and the Environment</w:t>
      </w:r>
    </w:p>
    <w:p w14:paraId="4D28CD60" w14:textId="0DE27C19" w:rsidR="00477651" w:rsidRDefault="00477651" w:rsidP="00106034">
      <w:pPr>
        <w:tabs>
          <w:tab w:val="left" w:pos="5400"/>
        </w:tabs>
        <w:jc w:val="both"/>
      </w:pPr>
      <w:r>
        <w:t>Disclosure would endanger the physical or mental health or the safety of an individual.</w:t>
      </w:r>
    </w:p>
    <w:p w14:paraId="0050322B" w14:textId="305FBDF0" w:rsidR="00477651" w:rsidRPr="00477651" w:rsidRDefault="00477651" w:rsidP="00106034">
      <w:pPr>
        <w:tabs>
          <w:tab w:val="left" w:pos="5400"/>
        </w:tabs>
        <w:jc w:val="both"/>
      </w:pPr>
      <w:r>
        <w:t>All of these exemptions require the application of the public interest test.</w:t>
      </w:r>
    </w:p>
    <w:p w14:paraId="7C2619BB" w14:textId="77777777" w:rsidR="00477651" w:rsidRPr="00121711" w:rsidRDefault="00477651" w:rsidP="00106034">
      <w:pPr>
        <w:tabs>
          <w:tab w:val="left" w:pos="5400"/>
        </w:tabs>
        <w:jc w:val="both"/>
      </w:pPr>
      <w:r>
        <w:t>I wholly acknowledge that p</w:t>
      </w:r>
      <w:r w:rsidRPr="00121711">
        <w:t xml:space="preserve">ublic awareness </w:t>
      </w:r>
      <w:r>
        <w:t xml:space="preserve">may </w:t>
      </w:r>
      <w:r w:rsidRPr="00121711">
        <w:t>favour disclosure as it would contribute to the public debate surrounding</w:t>
      </w:r>
      <w:r>
        <w:t xml:space="preserve"> the police handling of the </w:t>
      </w:r>
      <w:r w:rsidRPr="00121711">
        <w:t>enquiry.</w:t>
      </w:r>
    </w:p>
    <w:p w14:paraId="5CB603E8" w14:textId="77777777" w:rsidR="00477651" w:rsidRDefault="00477651" w:rsidP="00106034">
      <w:pPr>
        <w:jc w:val="both"/>
      </w:pPr>
      <w:r>
        <w:t xml:space="preserve">Nevertheless, the efficient and </w:t>
      </w:r>
      <w:r w:rsidRPr="00121711">
        <w:t>effective conduct of the service and public safety favours retention of the information as it cannot be in the public interest to release information that would prejudice law enforcement.</w:t>
      </w:r>
    </w:p>
    <w:p w14:paraId="4DC0C78D" w14:textId="77777777" w:rsidR="00477651" w:rsidRDefault="00477651" w:rsidP="00106034">
      <w:pPr>
        <w:jc w:val="both"/>
      </w:pPr>
      <w:r>
        <w:lastRenderedPageBreak/>
        <w:t>Disclosure could lead to a situation whereby the ability of Police Scotland to effectively investigate serious crime is compromised as a result of individuals being less willing to engage with the process for fear that the details will emerge publicly.</w:t>
      </w:r>
    </w:p>
    <w:p w14:paraId="77B4581E" w14:textId="77777777" w:rsidR="00477651" w:rsidRDefault="00477651" w:rsidP="00106034">
      <w:pPr>
        <w:jc w:val="both"/>
      </w:pPr>
      <w:r>
        <w:t>Disclosure generally will undoubtedly bring unwanted attention to those involved as w</w:t>
      </w:r>
      <w:r w:rsidRPr="00EF0EC9">
        <w:t xml:space="preserve">itnesses </w:t>
      </w:r>
      <w:r>
        <w:t xml:space="preserve">who </w:t>
      </w:r>
      <w:r w:rsidRPr="00EF0EC9">
        <w:t xml:space="preserve">make statements </w:t>
      </w:r>
      <w:r>
        <w:t>with an</w:t>
      </w:r>
      <w:r w:rsidRPr="00EF0EC9">
        <w:t xml:space="preserve"> </w:t>
      </w:r>
      <w:r>
        <w:t>expectation of confidentiality.</w:t>
      </w:r>
    </w:p>
    <w:p w14:paraId="5CA56651" w14:textId="77777777" w:rsidR="00477651" w:rsidRDefault="00477651" w:rsidP="00106034">
      <w:pPr>
        <w:jc w:val="both"/>
      </w:pPr>
      <w:r w:rsidRPr="008271EE">
        <w:t>Information about investigations will only ever be disclosed by Police Scotland where there are overwhelming public interest considerations favouring disclosure.</w:t>
      </w:r>
    </w:p>
    <w:p w14:paraId="048D6906" w14:textId="2DFF9FC4" w:rsidR="00106034" w:rsidRPr="00106034" w:rsidRDefault="00477651" w:rsidP="00106034">
      <w:pPr>
        <w:jc w:val="both"/>
        <w:rPr>
          <w:rFonts w:eastAsia="Times New Roman"/>
        </w:rPr>
      </w:pPr>
      <w:r>
        <w:rPr>
          <w:shd w:val="clear" w:color="auto" w:fill="FFFFFF"/>
        </w:rPr>
        <w:t xml:space="preserve">I can find no corresponding argument in favour of disclosure and accordingly </w:t>
      </w:r>
      <w:r w:rsidRPr="008271EE">
        <w:t>it is assessed that the public interest lies firmly in refusing disclosure</w:t>
      </w:r>
      <w:r w:rsidRPr="001521E4">
        <w:rPr>
          <w:rFonts w:eastAsia="Times New Roman"/>
        </w:rPr>
        <w:t>.</w:t>
      </w:r>
    </w:p>
    <w:p w14:paraId="6933C3E2" w14:textId="70BDDBD3" w:rsidR="00E11983" w:rsidRPr="00477651" w:rsidRDefault="00E11983" w:rsidP="00477651">
      <w:pPr>
        <w:pStyle w:val="ListParagraph"/>
        <w:numPr>
          <w:ilvl w:val="0"/>
          <w:numId w:val="5"/>
        </w:numPr>
        <w:tabs>
          <w:tab w:val="left" w:pos="5400"/>
        </w:tabs>
        <w:rPr>
          <w:i/>
          <w:iCs/>
        </w:rPr>
      </w:pPr>
      <w:r w:rsidRPr="00477651">
        <w:rPr>
          <w:i/>
          <w:iCs/>
        </w:rPr>
        <w:t>Section 38(1)(b) – Personal Data</w:t>
      </w:r>
    </w:p>
    <w:p w14:paraId="4218E862" w14:textId="77777777" w:rsidR="00E11983" w:rsidRDefault="00E11983" w:rsidP="00106034">
      <w:pPr>
        <w:tabs>
          <w:tab w:val="left" w:pos="5400"/>
        </w:tabs>
        <w:jc w:val="both"/>
      </w:pPr>
      <w:r>
        <w:t>Personal data is defined in Article 4 of the General Data Protection Regulation (GDPR) as:</w:t>
      </w:r>
    </w:p>
    <w:p w14:paraId="5097CB39" w14:textId="77777777" w:rsidR="00E11983" w:rsidRDefault="00E11983" w:rsidP="00106034">
      <w:pPr>
        <w:tabs>
          <w:tab w:val="left" w:pos="5400"/>
        </w:tabs>
        <w:jc w:val="both"/>
      </w:pPr>
      <w:r>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A5C1874" w14:textId="77777777" w:rsidR="00E11983" w:rsidRDefault="00E11983" w:rsidP="00106034">
      <w:pPr>
        <w:tabs>
          <w:tab w:val="left" w:pos="5400"/>
        </w:tabs>
        <w:jc w:val="both"/>
      </w:pPr>
      <w:r>
        <w:t>Section 38(2A) of the Act provides that personal data is exempt from disclosure where disclosure would contravene any of the data protection principles set out at Article 5(1) of the GDPR which states that:</w:t>
      </w:r>
    </w:p>
    <w:p w14:paraId="6A2316AB" w14:textId="77777777" w:rsidR="00E11983" w:rsidRDefault="00E11983" w:rsidP="00106034">
      <w:pPr>
        <w:tabs>
          <w:tab w:val="left" w:pos="5400"/>
        </w:tabs>
        <w:jc w:val="both"/>
      </w:pPr>
      <w:r>
        <w:rPr>
          <w:i/>
          <w:iCs/>
        </w:rPr>
        <w:t>‘Personal data shall be processed lawfully, fairly and in a transparent manner in relation to the data subject’</w:t>
      </w:r>
    </w:p>
    <w:p w14:paraId="5F2999FA" w14:textId="77777777" w:rsidR="00E11983" w:rsidRDefault="00E11983" w:rsidP="00106034">
      <w:pPr>
        <w:tabs>
          <w:tab w:val="left" w:pos="5400"/>
        </w:tabs>
        <w:jc w:val="both"/>
      </w:pPr>
      <w:r>
        <w:t>Article 6 of the GDPR goes on to state that processing shall be lawful only if certain conditions are met.</w:t>
      </w:r>
    </w:p>
    <w:p w14:paraId="5A04EF53" w14:textId="3EA71940" w:rsidR="00E11983" w:rsidRDefault="00E11983" w:rsidP="00106034">
      <w:pPr>
        <w:tabs>
          <w:tab w:val="left" w:pos="5400"/>
        </w:tabs>
        <w:jc w:val="both"/>
        <w:rPr>
          <w:i/>
          <w:iCs/>
        </w:rPr>
      </w:pPr>
      <w:r>
        <w:t xml:space="preserve">The only potentially applicable condition is set out at Article 6(1)(f) which states: </w:t>
      </w:r>
      <w:r>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w:t>
      </w:r>
    </w:p>
    <w:p w14:paraId="0A5E2563" w14:textId="2B807FCC" w:rsidR="00E11983" w:rsidRDefault="00E11983" w:rsidP="00106034">
      <w:pPr>
        <w:tabs>
          <w:tab w:val="left" w:pos="5400"/>
        </w:tabs>
        <w:jc w:val="both"/>
      </w:pPr>
      <w:r>
        <w:t>Whilst I accept that you may have a legitimate interest with regards the disclosure, I am nonetheless of the view that those interests are overridden by the interests or fundamental rights and freedoms of the data subject(s).</w:t>
      </w:r>
    </w:p>
    <w:p w14:paraId="58CCFF76" w14:textId="77777777" w:rsidR="00E11983" w:rsidRPr="0071505E" w:rsidRDefault="00E11983" w:rsidP="00106034">
      <w:pPr>
        <w:tabs>
          <w:tab w:val="left" w:pos="5400"/>
        </w:tabs>
        <w:jc w:val="both"/>
      </w:pPr>
      <w:r>
        <w:t>Accordingly, it is my view that disclosure of the requested information would be unlawful.</w:t>
      </w:r>
    </w:p>
    <w:p w14:paraId="3E8671AB" w14:textId="77777777" w:rsidR="00E11983" w:rsidRDefault="00E11983" w:rsidP="00477651">
      <w:pPr>
        <w:tabs>
          <w:tab w:val="left" w:pos="5400"/>
        </w:tabs>
      </w:pPr>
    </w:p>
    <w:p w14:paraId="60CD19B9" w14:textId="702F0EC9" w:rsidR="0034444D" w:rsidRPr="0034444D" w:rsidRDefault="0034444D" w:rsidP="00477651">
      <w:pPr>
        <w:pStyle w:val="Heading2"/>
      </w:pPr>
      <w:r>
        <w:t>4. Any communications between Police Scotland and the Scottish Football Association (SFA), the Scottish Child Abuse Inquiry, or other relevant bodies regarding child abuse allegations connected to Rangers Football Club or Ibrox Stadium.</w:t>
      </w:r>
    </w:p>
    <w:p w14:paraId="69DB9F8B" w14:textId="77777777" w:rsidR="00BD5E5A" w:rsidRDefault="00BD5E5A" w:rsidP="00106034">
      <w:pPr>
        <w:jc w:val="both"/>
      </w:pPr>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E617C2C" w14:textId="77777777" w:rsidR="00477651" w:rsidRDefault="00BD5E5A" w:rsidP="00106034">
      <w:pPr>
        <w:tabs>
          <w:tab w:val="left" w:pos="5400"/>
        </w:tabs>
        <w:jc w:val="both"/>
      </w:pPr>
      <w:r>
        <w:t xml:space="preserve">By way of explanation, there is no central recording system for all correspondence sent between Police Scotland staff and the Scottish Football Association (SFA) in relation to child abuse allegations connected to Rangers Football Club or Ibrox Stadium. </w:t>
      </w:r>
    </w:p>
    <w:p w14:paraId="24FC582C" w14:textId="14F8F87C" w:rsidR="00BD5E5A" w:rsidRDefault="00BD5E5A" w:rsidP="00106034">
      <w:pPr>
        <w:tabs>
          <w:tab w:val="left" w:pos="5400"/>
        </w:tabs>
        <w:jc w:val="both"/>
      </w:pPr>
      <w:r>
        <w:t>As explained above, this investigation was carried out by resources across Local Policing and also by staff from the National Child Abuse Investigation Unit.</w:t>
      </w:r>
    </w:p>
    <w:p w14:paraId="6DC11C0E" w14:textId="53940106" w:rsidR="00BD5E5A" w:rsidRDefault="00BD5E5A" w:rsidP="00106034">
      <w:pPr>
        <w:tabs>
          <w:tab w:val="left" w:pos="5400"/>
        </w:tabs>
        <w:jc w:val="both"/>
      </w:pPr>
      <w:r>
        <w:t>To allow us to accurately respond to this part of your request, we would need to identify all those involved in the investigation and thereafter conduct research across all emails, files, documents etc. held by each of those staff members to establish whether they held correspondence, and whether it directly related to Rangers Football Club or Ibrox Stadium.</w:t>
      </w:r>
    </w:p>
    <w:p w14:paraId="0BD684A8" w14:textId="6FF82BDA" w:rsidR="00BD5E5A" w:rsidRDefault="00BD5E5A" w:rsidP="00106034">
      <w:pPr>
        <w:tabs>
          <w:tab w:val="left" w:pos="5400"/>
        </w:tabs>
        <w:jc w:val="both"/>
      </w:pPr>
      <w:r>
        <w:t>I can confirm that Minutes of Meetings are held in which representatives from the SFA were present however following a review of these, they are not specific to Rangers Football Club or Ibrox Stadium.</w:t>
      </w:r>
    </w:p>
    <w:p w14:paraId="2AB7503D" w14:textId="77777777" w:rsidR="0034444D" w:rsidRPr="00B11A55" w:rsidRDefault="0034444D" w:rsidP="00477651">
      <w:pPr>
        <w:tabs>
          <w:tab w:val="left" w:pos="5400"/>
        </w:tabs>
      </w:pPr>
    </w:p>
    <w:p w14:paraId="34BDABBE" w14:textId="320EAA83" w:rsidR="00496A08" w:rsidRPr="00BF6B81" w:rsidRDefault="00496A08" w:rsidP="00477651">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477651">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477651">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1EB740E2" w:rsidR="00B461B2" w:rsidRDefault="00496A08" w:rsidP="00477651">
      <w:r w:rsidRPr="007C470A">
        <w:t>Following an OSIC appeal, you can appeal to the Court of Session on a point of law only.</w:t>
      </w:r>
    </w:p>
    <w:p w14:paraId="34BDABC2" w14:textId="77777777" w:rsidR="00B11A55" w:rsidRDefault="00B11A55" w:rsidP="00477651">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477651">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572BE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B282B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635AE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9A66F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99BE7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6D448B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7F8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6C1C"/>
    <w:multiLevelType w:val="hybridMultilevel"/>
    <w:tmpl w:val="60AAD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C355BB"/>
    <w:multiLevelType w:val="hybridMultilevel"/>
    <w:tmpl w:val="A97681C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375AB2"/>
    <w:multiLevelType w:val="hybridMultilevel"/>
    <w:tmpl w:val="6060BE28"/>
    <w:lvl w:ilvl="0" w:tplc="7256ABB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AD645F"/>
    <w:multiLevelType w:val="hybridMultilevel"/>
    <w:tmpl w:val="7A905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570694985">
    <w:abstractNumId w:val="0"/>
  </w:num>
  <w:num w:numId="3" w16cid:durableId="1632201314">
    <w:abstractNumId w:val="3"/>
  </w:num>
  <w:num w:numId="4" w16cid:durableId="1932353834">
    <w:abstractNumId w:val="2"/>
  </w:num>
  <w:num w:numId="5" w16cid:durableId="40430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0F0212"/>
    <w:rsid w:val="000F7F8E"/>
    <w:rsid w:val="00106034"/>
    <w:rsid w:val="00141533"/>
    <w:rsid w:val="00151B48"/>
    <w:rsid w:val="00151DD0"/>
    <w:rsid w:val="00167528"/>
    <w:rsid w:val="00195CC4"/>
    <w:rsid w:val="0020125B"/>
    <w:rsid w:val="00207326"/>
    <w:rsid w:val="00253DF6"/>
    <w:rsid w:val="00255F1E"/>
    <w:rsid w:val="002F5274"/>
    <w:rsid w:val="0034444D"/>
    <w:rsid w:val="0036503B"/>
    <w:rsid w:val="00376A4A"/>
    <w:rsid w:val="003D6D03"/>
    <w:rsid w:val="003E12CA"/>
    <w:rsid w:val="003E1DB9"/>
    <w:rsid w:val="004010DC"/>
    <w:rsid w:val="00414A1E"/>
    <w:rsid w:val="004341F0"/>
    <w:rsid w:val="00456324"/>
    <w:rsid w:val="00475460"/>
    <w:rsid w:val="00477651"/>
    <w:rsid w:val="00490317"/>
    <w:rsid w:val="00491644"/>
    <w:rsid w:val="00496A08"/>
    <w:rsid w:val="004E1605"/>
    <w:rsid w:val="004F653C"/>
    <w:rsid w:val="00540A52"/>
    <w:rsid w:val="00557306"/>
    <w:rsid w:val="00645CFA"/>
    <w:rsid w:val="00685219"/>
    <w:rsid w:val="006B55F3"/>
    <w:rsid w:val="006D5799"/>
    <w:rsid w:val="0073604B"/>
    <w:rsid w:val="007440EA"/>
    <w:rsid w:val="00750D83"/>
    <w:rsid w:val="00771D97"/>
    <w:rsid w:val="00785DBC"/>
    <w:rsid w:val="00793DD5"/>
    <w:rsid w:val="007D55F6"/>
    <w:rsid w:val="007F490F"/>
    <w:rsid w:val="0086779C"/>
    <w:rsid w:val="00874BFD"/>
    <w:rsid w:val="008964EF"/>
    <w:rsid w:val="00915E01"/>
    <w:rsid w:val="0091633B"/>
    <w:rsid w:val="009631A4"/>
    <w:rsid w:val="00977296"/>
    <w:rsid w:val="00A04A7E"/>
    <w:rsid w:val="00A1652E"/>
    <w:rsid w:val="00A229E1"/>
    <w:rsid w:val="00A25E93"/>
    <w:rsid w:val="00A320FF"/>
    <w:rsid w:val="00A70AC0"/>
    <w:rsid w:val="00A84EA9"/>
    <w:rsid w:val="00AC443C"/>
    <w:rsid w:val="00B033D6"/>
    <w:rsid w:val="00B11A55"/>
    <w:rsid w:val="00B17211"/>
    <w:rsid w:val="00B461B2"/>
    <w:rsid w:val="00B50C34"/>
    <w:rsid w:val="00B654B6"/>
    <w:rsid w:val="00B71B3C"/>
    <w:rsid w:val="00BB13B3"/>
    <w:rsid w:val="00BC389E"/>
    <w:rsid w:val="00BD5E5A"/>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11983"/>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1321</Words>
  <Characters>7535</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2025-08-14T15:39:00Z</cp:lastPrinted>
  <dcterms:created xsi:type="dcterms:W3CDTF">2025-08-14T15:36:00Z</dcterms:created>
  <dcterms:modified xsi:type="dcterms:W3CDTF">2025-08-14T15:39:00Z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