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A2DE4E" w:rsidR="00B17211" w:rsidRPr="00B17211" w:rsidRDefault="00B17211" w:rsidP="007F490F">
            <w:r w:rsidRPr="007F490F">
              <w:rPr>
                <w:rStyle w:val="Heading2Char"/>
              </w:rPr>
              <w:t>Our reference:</w:t>
            </w:r>
            <w:r>
              <w:t xml:space="preserve">  FOI 2</w:t>
            </w:r>
            <w:r w:rsidR="00EF0FBB">
              <w:t>5</w:t>
            </w:r>
            <w:r>
              <w:t>-</w:t>
            </w:r>
            <w:r w:rsidR="009B29F6">
              <w:t>1400</w:t>
            </w:r>
          </w:p>
          <w:p w14:paraId="34BDABA6" w14:textId="7F62733E" w:rsidR="00B17211" w:rsidRDefault="00456324" w:rsidP="00EE2373">
            <w:r w:rsidRPr="007F490F">
              <w:rPr>
                <w:rStyle w:val="Heading2Char"/>
              </w:rPr>
              <w:t>Respon</w:t>
            </w:r>
            <w:r w:rsidR="007D55F6">
              <w:rPr>
                <w:rStyle w:val="Heading2Char"/>
              </w:rPr>
              <w:t>ded to:</w:t>
            </w:r>
            <w:r w:rsidR="007F490F">
              <w:t xml:space="preserve">  </w:t>
            </w:r>
            <w:r w:rsidR="009803B7">
              <w:t>09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91A10F" w14:textId="77777777" w:rsidR="00BD5854" w:rsidRDefault="00BD5854" w:rsidP="00BD5854">
      <w:pPr>
        <w:pStyle w:val="Heading2"/>
        <w:rPr>
          <w:rFonts w:eastAsia="Times New Roman"/>
        </w:rPr>
      </w:pPr>
      <w:r>
        <w:rPr>
          <w:rFonts w:eastAsia="Times New Roman"/>
        </w:rPr>
        <w:t>Please provide the details of the 10 streets, roads or specific stretches of road where the highest number of traffic speeding offences have been recorded by safety cameras in the West Fife police area within the last two years (April 2023 to April 2025). </w:t>
      </w:r>
    </w:p>
    <w:p w14:paraId="47DC867A" w14:textId="77777777" w:rsidR="00BD5854" w:rsidRDefault="00BD5854" w:rsidP="00BD5854">
      <w:pPr>
        <w:pStyle w:val="Heading2"/>
        <w:rPr>
          <w:rFonts w:eastAsia="Times New Roman"/>
        </w:rPr>
      </w:pPr>
      <w:r>
        <w:rPr>
          <w:rFonts w:eastAsia="Times New Roman"/>
        </w:rPr>
        <w:t>Within the above timeframe, for each street, road or stretch of road, please provide: </w:t>
      </w:r>
    </w:p>
    <w:p w14:paraId="721FE1D7" w14:textId="77777777" w:rsidR="00BD5854" w:rsidRDefault="00BD5854" w:rsidP="00BD5854">
      <w:pPr>
        <w:pStyle w:val="Heading2"/>
        <w:rPr>
          <w:rFonts w:eastAsia="Times New Roman"/>
        </w:rPr>
      </w:pPr>
      <w:r>
        <w:rPr>
          <w:rFonts w:eastAsia="Times New Roman"/>
        </w:rPr>
        <w:t>The number of individual speeding offences that took place. </w:t>
      </w:r>
    </w:p>
    <w:p w14:paraId="4C27E80C" w14:textId="77777777" w:rsidR="00BD5854" w:rsidRDefault="00BD5854" w:rsidP="00BD5854">
      <w:pPr>
        <w:pStyle w:val="Heading2"/>
        <w:rPr>
          <w:rFonts w:eastAsia="Times New Roman"/>
        </w:rPr>
      </w:pPr>
      <w:r>
        <w:rPr>
          <w:rFonts w:eastAsia="Times New Roman"/>
        </w:rPr>
        <w:t>The speed limit.</w:t>
      </w:r>
    </w:p>
    <w:p w14:paraId="31FDE06A" w14:textId="77777777" w:rsidR="00BD5854" w:rsidRDefault="00BD5854" w:rsidP="00BD5854">
      <w:pPr>
        <w:pStyle w:val="Heading2"/>
        <w:rPr>
          <w:rFonts w:eastAsia="Times New Roman"/>
        </w:rPr>
      </w:pPr>
      <w:r>
        <w:rPr>
          <w:rFonts w:eastAsia="Times New Roman"/>
        </w:rPr>
        <w:t>The highest speed recorded from an offending motorist.</w:t>
      </w:r>
    </w:p>
    <w:p w14:paraId="739703FE" w14:textId="77777777" w:rsidR="00BD5854" w:rsidRDefault="00BD5854" w:rsidP="00BD5854">
      <w:pPr>
        <w:pStyle w:val="Heading2"/>
        <w:rPr>
          <w:rFonts w:eastAsia="Times New Roman"/>
        </w:rPr>
      </w:pPr>
      <w:r>
        <w:rPr>
          <w:rFonts w:eastAsia="Times New Roman"/>
        </w:rPr>
        <w:t>Whether any penalties were given to drivers.</w:t>
      </w:r>
    </w:p>
    <w:p w14:paraId="2E66A467" w14:textId="481EEF20" w:rsidR="007D300D" w:rsidRPr="009803B7" w:rsidRDefault="007D300D" w:rsidP="009803B7">
      <w:r>
        <w:t>The table at the end of this letter provides all the camera</w:t>
      </w:r>
      <w:r w:rsidR="009803B7">
        <w:t xml:space="preserve"> </w:t>
      </w:r>
      <w:r>
        <w:t xml:space="preserve">locations within West Fife command area. </w:t>
      </w:r>
      <w:r w:rsidR="009803B7">
        <w:t xml:space="preserve"> Please note that there are not 10 camera locations therefore some of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1EFB8779" w14:textId="77777777" w:rsidR="004F1C47" w:rsidRDefault="004F1C47" w:rsidP="00793DD5">
      <w:pPr>
        <w:sectPr w:rsidR="004F1C47"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11CDA411" w14:textId="77777777" w:rsidR="004F1C47" w:rsidRDefault="004F1C47" w:rsidP="00793DD5"/>
    <w:tbl>
      <w:tblPr>
        <w:tblStyle w:val="TableGrid"/>
        <w:tblW w:w="12611" w:type="dxa"/>
        <w:tblLayout w:type="fixed"/>
        <w:tblLook w:val="04A0" w:firstRow="1" w:lastRow="0" w:firstColumn="1" w:lastColumn="0" w:noHBand="0" w:noVBand="1"/>
      </w:tblPr>
      <w:tblGrid>
        <w:gridCol w:w="4106"/>
        <w:gridCol w:w="1418"/>
        <w:gridCol w:w="1559"/>
        <w:gridCol w:w="1417"/>
        <w:gridCol w:w="1985"/>
        <w:gridCol w:w="2126"/>
      </w:tblGrid>
      <w:tr w:rsidR="004F1C47" w:rsidRPr="00557306" w14:paraId="7228E3B0" w14:textId="3484D817" w:rsidTr="004F1C47">
        <w:trPr>
          <w:tblHeader/>
        </w:trPr>
        <w:tc>
          <w:tcPr>
            <w:tcW w:w="4106" w:type="dxa"/>
            <w:shd w:val="clear" w:color="auto" w:fill="D9D9D9" w:themeFill="background1" w:themeFillShade="D9"/>
          </w:tcPr>
          <w:p w14:paraId="5EB509DE" w14:textId="59495DDA" w:rsidR="004F1C47" w:rsidRPr="00557306" w:rsidRDefault="004F1C47" w:rsidP="00F8743D">
            <w:pPr>
              <w:spacing w:line="240" w:lineRule="auto"/>
              <w:rPr>
                <w:b/>
              </w:rPr>
            </w:pPr>
            <w:r>
              <w:rPr>
                <w:b/>
              </w:rPr>
              <w:t xml:space="preserve">Site </w:t>
            </w:r>
          </w:p>
        </w:tc>
        <w:tc>
          <w:tcPr>
            <w:tcW w:w="1418" w:type="dxa"/>
            <w:shd w:val="clear" w:color="auto" w:fill="D9D9D9" w:themeFill="background1" w:themeFillShade="D9"/>
          </w:tcPr>
          <w:p w14:paraId="624870AC" w14:textId="2C2DE64D" w:rsidR="004F1C47" w:rsidRPr="00557306" w:rsidRDefault="004F1C47" w:rsidP="00F8743D">
            <w:pPr>
              <w:spacing w:line="240" w:lineRule="auto"/>
              <w:rPr>
                <w:b/>
              </w:rPr>
            </w:pPr>
            <w:r>
              <w:rPr>
                <w:b/>
              </w:rPr>
              <w:t xml:space="preserve">Offences </w:t>
            </w:r>
          </w:p>
        </w:tc>
        <w:tc>
          <w:tcPr>
            <w:tcW w:w="1559" w:type="dxa"/>
            <w:shd w:val="clear" w:color="auto" w:fill="D9D9D9" w:themeFill="background1" w:themeFillShade="D9"/>
          </w:tcPr>
          <w:p w14:paraId="10176D53" w14:textId="2FC24FE4" w:rsidR="004F1C47" w:rsidRPr="00557306" w:rsidRDefault="004F1C47" w:rsidP="00F8743D">
            <w:pPr>
              <w:spacing w:line="240" w:lineRule="auto"/>
              <w:rPr>
                <w:b/>
              </w:rPr>
            </w:pPr>
            <w:r>
              <w:rPr>
                <w:b/>
              </w:rPr>
              <w:t xml:space="preserve">Base speed limit </w:t>
            </w:r>
          </w:p>
        </w:tc>
        <w:tc>
          <w:tcPr>
            <w:tcW w:w="1417" w:type="dxa"/>
            <w:shd w:val="clear" w:color="auto" w:fill="D9D9D9" w:themeFill="background1" w:themeFillShade="D9"/>
          </w:tcPr>
          <w:p w14:paraId="2B147E1E" w14:textId="77777777" w:rsidR="004F1C47" w:rsidRDefault="004F1C47" w:rsidP="00F8743D">
            <w:pPr>
              <w:spacing w:line="240" w:lineRule="auto"/>
              <w:rPr>
                <w:b/>
              </w:rPr>
            </w:pPr>
            <w:r>
              <w:rPr>
                <w:b/>
              </w:rPr>
              <w:t xml:space="preserve">Highest </w:t>
            </w:r>
          </w:p>
          <w:p w14:paraId="6DC9BFC6" w14:textId="565C3971" w:rsidR="004F1C47" w:rsidRPr="00557306" w:rsidRDefault="004F1C47" w:rsidP="00F8743D">
            <w:pPr>
              <w:spacing w:line="240" w:lineRule="auto"/>
              <w:rPr>
                <w:b/>
              </w:rPr>
            </w:pPr>
            <w:r>
              <w:rPr>
                <w:b/>
              </w:rPr>
              <w:t>speed</w:t>
            </w:r>
          </w:p>
        </w:tc>
        <w:tc>
          <w:tcPr>
            <w:tcW w:w="1985" w:type="dxa"/>
            <w:shd w:val="clear" w:color="auto" w:fill="D9D9D9" w:themeFill="background1" w:themeFillShade="D9"/>
          </w:tcPr>
          <w:p w14:paraId="6FCEF8BA" w14:textId="226252F5" w:rsidR="004F1C47" w:rsidRPr="00557306" w:rsidRDefault="004F1C47" w:rsidP="00F8743D">
            <w:pPr>
              <w:spacing w:line="240" w:lineRule="auto"/>
              <w:rPr>
                <w:b/>
              </w:rPr>
            </w:pPr>
            <w:r>
              <w:rPr>
                <w:b/>
              </w:rPr>
              <w:t xml:space="preserve">Conditional offer issued </w:t>
            </w:r>
          </w:p>
        </w:tc>
        <w:tc>
          <w:tcPr>
            <w:tcW w:w="2126" w:type="dxa"/>
            <w:shd w:val="clear" w:color="auto" w:fill="D9D9D9" w:themeFill="background1" w:themeFillShade="D9"/>
          </w:tcPr>
          <w:p w14:paraId="6762B4FB" w14:textId="79F584DA" w:rsidR="004F1C47" w:rsidRDefault="004F1C47" w:rsidP="00F8743D">
            <w:pPr>
              <w:spacing w:line="240" w:lineRule="auto"/>
              <w:rPr>
                <w:b/>
              </w:rPr>
            </w:pPr>
            <w:r>
              <w:rPr>
                <w:b/>
              </w:rPr>
              <w:t xml:space="preserve">Reported to court </w:t>
            </w:r>
          </w:p>
        </w:tc>
      </w:tr>
      <w:tr w:rsidR="004F1C47" w14:paraId="6EDCDF3E" w14:textId="50C5FE17" w:rsidTr="004F1C47">
        <w:tc>
          <w:tcPr>
            <w:tcW w:w="4106" w:type="dxa"/>
          </w:tcPr>
          <w:p w14:paraId="25B3DB56" w14:textId="5640473B" w:rsidR="004F1C47" w:rsidRDefault="004F1C47" w:rsidP="004F1C47">
            <w:r>
              <w:t xml:space="preserve">A985 Crombie to Kincardine west of </w:t>
            </w:r>
            <w:proofErr w:type="spellStart"/>
            <w:r>
              <w:t>Cairneyhill</w:t>
            </w:r>
            <w:proofErr w:type="spellEnd"/>
            <w:r>
              <w:t xml:space="preserve"> Roundabout</w:t>
            </w:r>
          </w:p>
        </w:tc>
        <w:tc>
          <w:tcPr>
            <w:tcW w:w="1418" w:type="dxa"/>
          </w:tcPr>
          <w:p w14:paraId="7FF24A94" w14:textId="52E63CAA" w:rsidR="004F1C47" w:rsidRDefault="004F1C47" w:rsidP="00F8743D">
            <w:pPr>
              <w:tabs>
                <w:tab w:val="left" w:pos="5400"/>
              </w:tabs>
              <w:spacing w:line="240" w:lineRule="auto"/>
            </w:pPr>
            <w:r>
              <w:t>124</w:t>
            </w:r>
          </w:p>
        </w:tc>
        <w:tc>
          <w:tcPr>
            <w:tcW w:w="1559" w:type="dxa"/>
          </w:tcPr>
          <w:p w14:paraId="0D2415E4" w14:textId="7D11C0B1" w:rsidR="004F1C47" w:rsidRDefault="004F1C47" w:rsidP="00F8743D">
            <w:pPr>
              <w:tabs>
                <w:tab w:val="left" w:pos="5400"/>
              </w:tabs>
              <w:spacing w:line="240" w:lineRule="auto"/>
            </w:pPr>
            <w:r>
              <w:t>60</w:t>
            </w:r>
          </w:p>
        </w:tc>
        <w:tc>
          <w:tcPr>
            <w:tcW w:w="1417" w:type="dxa"/>
          </w:tcPr>
          <w:p w14:paraId="3C6884B3" w14:textId="121AB84E" w:rsidR="004F1C47" w:rsidRDefault="004F1C47" w:rsidP="00F8743D">
            <w:pPr>
              <w:tabs>
                <w:tab w:val="left" w:pos="5400"/>
              </w:tabs>
              <w:spacing w:line="240" w:lineRule="auto"/>
            </w:pPr>
            <w:r>
              <w:t>85</w:t>
            </w:r>
          </w:p>
        </w:tc>
        <w:tc>
          <w:tcPr>
            <w:tcW w:w="1985" w:type="dxa"/>
          </w:tcPr>
          <w:p w14:paraId="10B79BB3" w14:textId="3B860E8F" w:rsidR="004F1C47" w:rsidRDefault="004F1C47" w:rsidP="00F8743D">
            <w:pPr>
              <w:tabs>
                <w:tab w:val="left" w:pos="5400"/>
              </w:tabs>
              <w:spacing w:line="240" w:lineRule="auto"/>
            </w:pPr>
            <w:r>
              <w:t>98</w:t>
            </w:r>
          </w:p>
        </w:tc>
        <w:tc>
          <w:tcPr>
            <w:tcW w:w="2126" w:type="dxa"/>
          </w:tcPr>
          <w:p w14:paraId="56B18A53" w14:textId="31EB5523" w:rsidR="004F1C47" w:rsidRDefault="004F1C47" w:rsidP="00F8743D">
            <w:pPr>
              <w:tabs>
                <w:tab w:val="left" w:pos="5400"/>
              </w:tabs>
              <w:spacing w:line="240" w:lineRule="auto"/>
            </w:pPr>
            <w:r>
              <w:t>17</w:t>
            </w:r>
          </w:p>
        </w:tc>
      </w:tr>
      <w:tr w:rsidR="00C67623" w14:paraId="01E9F4FB" w14:textId="77777777" w:rsidTr="004F1C47">
        <w:tc>
          <w:tcPr>
            <w:tcW w:w="4106" w:type="dxa"/>
          </w:tcPr>
          <w:p w14:paraId="70A1664A" w14:textId="01945827" w:rsidR="00C67623" w:rsidRDefault="00C67623" w:rsidP="00C67623">
            <w:r>
              <w:t xml:space="preserve">A92 Cowdenbeath to Lochgelly, Eastbound near </w:t>
            </w:r>
            <w:proofErr w:type="spellStart"/>
            <w:r>
              <w:t>Westerton</w:t>
            </w:r>
            <w:proofErr w:type="spellEnd"/>
            <w:r>
              <w:t xml:space="preserve"> Farm</w:t>
            </w:r>
          </w:p>
        </w:tc>
        <w:tc>
          <w:tcPr>
            <w:tcW w:w="1418" w:type="dxa"/>
          </w:tcPr>
          <w:p w14:paraId="7ADE0FBA" w14:textId="6095A1EE" w:rsidR="00C67623" w:rsidRDefault="00C67623" w:rsidP="00C67623">
            <w:pPr>
              <w:tabs>
                <w:tab w:val="left" w:pos="5400"/>
              </w:tabs>
              <w:spacing w:line="240" w:lineRule="auto"/>
            </w:pPr>
            <w:r>
              <w:t>265</w:t>
            </w:r>
          </w:p>
        </w:tc>
        <w:tc>
          <w:tcPr>
            <w:tcW w:w="1559" w:type="dxa"/>
          </w:tcPr>
          <w:p w14:paraId="340E53AC" w14:textId="1B60DBE1" w:rsidR="00C67623" w:rsidRDefault="00C67623" w:rsidP="00C67623">
            <w:pPr>
              <w:tabs>
                <w:tab w:val="left" w:pos="5400"/>
              </w:tabs>
              <w:spacing w:line="240" w:lineRule="auto"/>
            </w:pPr>
            <w:r>
              <w:t>70</w:t>
            </w:r>
          </w:p>
        </w:tc>
        <w:tc>
          <w:tcPr>
            <w:tcW w:w="1417" w:type="dxa"/>
          </w:tcPr>
          <w:p w14:paraId="24ACC620" w14:textId="55585169" w:rsidR="00C67623" w:rsidRDefault="00C67623" w:rsidP="00C67623">
            <w:pPr>
              <w:tabs>
                <w:tab w:val="left" w:pos="5400"/>
              </w:tabs>
              <w:spacing w:line="240" w:lineRule="auto"/>
            </w:pPr>
            <w:r>
              <w:t>109</w:t>
            </w:r>
          </w:p>
        </w:tc>
        <w:tc>
          <w:tcPr>
            <w:tcW w:w="1985" w:type="dxa"/>
          </w:tcPr>
          <w:p w14:paraId="13398EE5" w14:textId="2EF578D9" w:rsidR="00C67623" w:rsidRDefault="00C67623" w:rsidP="00C67623">
            <w:pPr>
              <w:tabs>
                <w:tab w:val="left" w:pos="5400"/>
              </w:tabs>
              <w:spacing w:line="240" w:lineRule="auto"/>
            </w:pPr>
            <w:r>
              <w:t>185</w:t>
            </w:r>
          </w:p>
        </w:tc>
        <w:tc>
          <w:tcPr>
            <w:tcW w:w="2126" w:type="dxa"/>
          </w:tcPr>
          <w:p w14:paraId="222BB5CB" w14:textId="568CFA4B" w:rsidR="00C67623" w:rsidRDefault="00C67623" w:rsidP="00C67623">
            <w:pPr>
              <w:tabs>
                <w:tab w:val="left" w:pos="5400"/>
              </w:tabs>
              <w:spacing w:line="240" w:lineRule="auto"/>
            </w:pPr>
            <w:r>
              <w:t>45</w:t>
            </w:r>
          </w:p>
        </w:tc>
      </w:tr>
      <w:tr w:rsidR="00C67623" w14:paraId="70D322F4" w14:textId="77777777" w:rsidTr="004F1C47">
        <w:tc>
          <w:tcPr>
            <w:tcW w:w="4106" w:type="dxa"/>
          </w:tcPr>
          <w:p w14:paraId="54BF4D11" w14:textId="3FE7F1A3" w:rsidR="00C67623" w:rsidRDefault="00C67623" w:rsidP="00C67623">
            <w:r>
              <w:t xml:space="preserve">A92 Lochgelly to Cowdenbeath, Westbound near </w:t>
            </w:r>
            <w:proofErr w:type="spellStart"/>
            <w:r>
              <w:t>Westerton</w:t>
            </w:r>
            <w:proofErr w:type="spellEnd"/>
            <w:r>
              <w:t xml:space="preserve"> Farm</w:t>
            </w:r>
          </w:p>
        </w:tc>
        <w:tc>
          <w:tcPr>
            <w:tcW w:w="1418" w:type="dxa"/>
          </w:tcPr>
          <w:p w14:paraId="49FC5786" w14:textId="6669BE42" w:rsidR="00C67623" w:rsidRDefault="00C67623" w:rsidP="00C67623">
            <w:pPr>
              <w:tabs>
                <w:tab w:val="left" w:pos="5400"/>
              </w:tabs>
              <w:spacing w:line="240" w:lineRule="auto"/>
            </w:pPr>
            <w:r>
              <w:t>979</w:t>
            </w:r>
          </w:p>
        </w:tc>
        <w:tc>
          <w:tcPr>
            <w:tcW w:w="1559" w:type="dxa"/>
          </w:tcPr>
          <w:p w14:paraId="70B67B0E" w14:textId="0EFCB846" w:rsidR="00C67623" w:rsidRDefault="00C67623" w:rsidP="00C67623">
            <w:pPr>
              <w:tabs>
                <w:tab w:val="left" w:pos="5400"/>
              </w:tabs>
              <w:spacing w:line="240" w:lineRule="auto"/>
            </w:pPr>
            <w:r>
              <w:t>70</w:t>
            </w:r>
          </w:p>
        </w:tc>
        <w:tc>
          <w:tcPr>
            <w:tcW w:w="1417" w:type="dxa"/>
          </w:tcPr>
          <w:p w14:paraId="239BBDF3" w14:textId="3512E044" w:rsidR="00C67623" w:rsidRDefault="00C67623" w:rsidP="00C67623">
            <w:pPr>
              <w:tabs>
                <w:tab w:val="left" w:pos="5400"/>
              </w:tabs>
              <w:spacing w:line="240" w:lineRule="auto"/>
            </w:pPr>
            <w:r>
              <w:t>114</w:t>
            </w:r>
          </w:p>
        </w:tc>
        <w:tc>
          <w:tcPr>
            <w:tcW w:w="1985" w:type="dxa"/>
          </w:tcPr>
          <w:p w14:paraId="28D2E27A" w14:textId="61AE2B72" w:rsidR="00C67623" w:rsidRDefault="00C67623" w:rsidP="00C67623">
            <w:pPr>
              <w:tabs>
                <w:tab w:val="left" w:pos="5400"/>
              </w:tabs>
              <w:spacing w:line="240" w:lineRule="auto"/>
            </w:pPr>
            <w:r>
              <w:t>771</w:t>
            </w:r>
          </w:p>
        </w:tc>
        <w:tc>
          <w:tcPr>
            <w:tcW w:w="2126" w:type="dxa"/>
          </w:tcPr>
          <w:p w14:paraId="3D473BEF" w14:textId="1627A024" w:rsidR="00C67623" w:rsidRDefault="00C67623" w:rsidP="00C67623">
            <w:pPr>
              <w:tabs>
                <w:tab w:val="left" w:pos="5400"/>
              </w:tabs>
              <w:spacing w:line="240" w:lineRule="auto"/>
            </w:pPr>
            <w:r>
              <w:t>149</w:t>
            </w:r>
          </w:p>
        </w:tc>
      </w:tr>
      <w:tr w:rsidR="00C67623" w14:paraId="39B9E714" w14:textId="77777777" w:rsidTr="004F1C47">
        <w:tc>
          <w:tcPr>
            <w:tcW w:w="4106" w:type="dxa"/>
          </w:tcPr>
          <w:p w14:paraId="4DFE3B8D" w14:textId="1EBBF883" w:rsidR="00C67623" w:rsidRDefault="00C67623" w:rsidP="00C67623">
            <w:r>
              <w:t>A985 Kincardine to Crombie Road, near Devilla Forest</w:t>
            </w:r>
          </w:p>
        </w:tc>
        <w:tc>
          <w:tcPr>
            <w:tcW w:w="1418" w:type="dxa"/>
          </w:tcPr>
          <w:p w14:paraId="2D3F675E" w14:textId="1EA3464D" w:rsidR="00C67623" w:rsidRDefault="00C67623" w:rsidP="00C67623">
            <w:pPr>
              <w:tabs>
                <w:tab w:val="left" w:pos="5400"/>
              </w:tabs>
              <w:spacing w:line="240" w:lineRule="auto"/>
            </w:pPr>
            <w:r>
              <w:t>135</w:t>
            </w:r>
          </w:p>
        </w:tc>
        <w:tc>
          <w:tcPr>
            <w:tcW w:w="1559" w:type="dxa"/>
          </w:tcPr>
          <w:p w14:paraId="746D3E23" w14:textId="600ADEBD" w:rsidR="00C67623" w:rsidRDefault="00C67623" w:rsidP="00C67623">
            <w:pPr>
              <w:tabs>
                <w:tab w:val="left" w:pos="5400"/>
              </w:tabs>
              <w:spacing w:line="240" w:lineRule="auto"/>
            </w:pPr>
            <w:r>
              <w:t>60</w:t>
            </w:r>
          </w:p>
        </w:tc>
        <w:tc>
          <w:tcPr>
            <w:tcW w:w="1417" w:type="dxa"/>
          </w:tcPr>
          <w:p w14:paraId="1DF5BF60" w14:textId="2980A257" w:rsidR="00C67623" w:rsidRDefault="00C67623" w:rsidP="00C67623">
            <w:pPr>
              <w:tabs>
                <w:tab w:val="left" w:pos="5400"/>
              </w:tabs>
              <w:spacing w:line="240" w:lineRule="auto"/>
            </w:pPr>
            <w:r>
              <w:t>85</w:t>
            </w:r>
          </w:p>
        </w:tc>
        <w:tc>
          <w:tcPr>
            <w:tcW w:w="1985" w:type="dxa"/>
          </w:tcPr>
          <w:p w14:paraId="77BB86AF" w14:textId="7073C6D9" w:rsidR="00C67623" w:rsidRDefault="00C67623" w:rsidP="00C67623">
            <w:pPr>
              <w:tabs>
                <w:tab w:val="left" w:pos="5400"/>
              </w:tabs>
              <w:spacing w:line="240" w:lineRule="auto"/>
            </w:pPr>
            <w:r>
              <w:t>101</w:t>
            </w:r>
          </w:p>
        </w:tc>
        <w:tc>
          <w:tcPr>
            <w:tcW w:w="2126" w:type="dxa"/>
          </w:tcPr>
          <w:p w14:paraId="702AEC58" w14:textId="35DDC678" w:rsidR="00C67623" w:rsidRDefault="00C67623" w:rsidP="00C67623">
            <w:pPr>
              <w:tabs>
                <w:tab w:val="left" w:pos="5400"/>
              </w:tabs>
              <w:spacing w:line="240" w:lineRule="auto"/>
            </w:pPr>
            <w:r>
              <w:t>16</w:t>
            </w:r>
          </w:p>
        </w:tc>
      </w:tr>
      <w:tr w:rsidR="00C67623" w14:paraId="344A750B" w14:textId="77777777" w:rsidTr="004F1C47">
        <w:tc>
          <w:tcPr>
            <w:tcW w:w="4106" w:type="dxa"/>
          </w:tcPr>
          <w:p w14:paraId="784B82CF" w14:textId="57D532C1" w:rsidR="00C67623" w:rsidRDefault="00C67623" w:rsidP="00C67623">
            <w:r>
              <w:t xml:space="preserve">B981 </w:t>
            </w:r>
            <w:proofErr w:type="spellStart"/>
            <w:r>
              <w:t>Crossgates</w:t>
            </w:r>
            <w:proofErr w:type="spellEnd"/>
            <w:r>
              <w:t xml:space="preserve"> to Inverkeithing south of junction with the B916</w:t>
            </w:r>
          </w:p>
        </w:tc>
        <w:tc>
          <w:tcPr>
            <w:tcW w:w="1418" w:type="dxa"/>
          </w:tcPr>
          <w:p w14:paraId="03E62721" w14:textId="7554E91B" w:rsidR="00C67623" w:rsidRDefault="00C67623" w:rsidP="00C67623">
            <w:pPr>
              <w:tabs>
                <w:tab w:val="left" w:pos="5400"/>
              </w:tabs>
              <w:spacing w:line="240" w:lineRule="auto"/>
            </w:pPr>
            <w:r>
              <w:t>45</w:t>
            </w:r>
          </w:p>
        </w:tc>
        <w:tc>
          <w:tcPr>
            <w:tcW w:w="1559" w:type="dxa"/>
          </w:tcPr>
          <w:p w14:paraId="2F77CE11" w14:textId="1CE7C6BC" w:rsidR="00C67623" w:rsidRDefault="00C67623" w:rsidP="00C67623">
            <w:pPr>
              <w:tabs>
                <w:tab w:val="left" w:pos="5400"/>
              </w:tabs>
              <w:spacing w:line="240" w:lineRule="auto"/>
            </w:pPr>
            <w:r>
              <w:t>40</w:t>
            </w:r>
          </w:p>
        </w:tc>
        <w:tc>
          <w:tcPr>
            <w:tcW w:w="1417" w:type="dxa"/>
          </w:tcPr>
          <w:p w14:paraId="22293B0B" w14:textId="16FD6BCC" w:rsidR="00C67623" w:rsidRDefault="00C67623" w:rsidP="00C67623">
            <w:pPr>
              <w:tabs>
                <w:tab w:val="left" w:pos="5400"/>
              </w:tabs>
              <w:spacing w:line="240" w:lineRule="auto"/>
            </w:pPr>
            <w:r>
              <w:t>60</w:t>
            </w:r>
          </w:p>
        </w:tc>
        <w:tc>
          <w:tcPr>
            <w:tcW w:w="1985" w:type="dxa"/>
          </w:tcPr>
          <w:p w14:paraId="22CAD8CF" w14:textId="628CBA96" w:rsidR="00C67623" w:rsidRDefault="00C67623" w:rsidP="00C67623">
            <w:pPr>
              <w:tabs>
                <w:tab w:val="left" w:pos="5400"/>
              </w:tabs>
              <w:spacing w:line="240" w:lineRule="auto"/>
            </w:pPr>
            <w:r>
              <w:t>38</w:t>
            </w:r>
          </w:p>
        </w:tc>
        <w:tc>
          <w:tcPr>
            <w:tcW w:w="2126" w:type="dxa"/>
          </w:tcPr>
          <w:p w14:paraId="5AEC3F6F" w14:textId="4BDEE6C8" w:rsidR="00C67623" w:rsidRDefault="00C67623" w:rsidP="00C67623">
            <w:pPr>
              <w:tabs>
                <w:tab w:val="left" w:pos="5400"/>
              </w:tabs>
              <w:spacing w:line="240" w:lineRule="auto"/>
            </w:pPr>
            <w:r>
              <w:t>4</w:t>
            </w:r>
          </w:p>
        </w:tc>
      </w:tr>
      <w:tr w:rsidR="00C67623" w14:paraId="75187A5D" w14:textId="77777777" w:rsidTr="004F1C47">
        <w:tc>
          <w:tcPr>
            <w:tcW w:w="4106" w:type="dxa"/>
          </w:tcPr>
          <w:p w14:paraId="662B5AEA" w14:textId="47D57AEB" w:rsidR="00C67623" w:rsidRDefault="00C67623" w:rsidP="00C67623">
            <w:r>
              <w:t xml:space="preserve">A907 </w:t>
            </w:r>
            <w:proofErr w:type="spellStart"/>
            <w:r>
              <w:t>Halbeath</w:t>
            </w:r>
            <w:proofErr w:type="spellEnd"/>
            <w:r>
              <w:t xml:space="preserve"> Road Dunfermline near to its junction with Scobie Place</w:t>
            </w:r>
          </w:p>
        </w:tc>
        <w:tc>
          <w:tcPr>
            <w:tcW w:w="1418" w:type="dxa"/>
          </w:tcPr>
          <w:p w14:paraId="284BBAD2" w14:textId="33D9184B" w:rsidR="00C67623" w:rsidRDefault="00C67623" w:rsidP="00C67623">
            <w:pPr>
              <w:tabs>
                <w:tab w:val="left" w:pos="5400"/>
              </w:tabs>
              <w:spacing w:line="240" w:lineRule="auto"/>
            </w:pPr>
            <w:r>
              <w:t>38</w:t>
            </w:r>
          </w:p>
        </w:tc>
        <w:tc>
          <w:tcPr>
            <w:tcW w:w="1559" w:type="dxa"/>
          </w:tcPr>
          <w:p w14:paraId="7C4ACEC5" w14:textId="6797B0FE" w:rsidR="00C67623" w:rsidRDefault="00C67623" w:rsidP="00C67623">
            <w:pPr>
              <w:tabs>
                <w:tab w:val="left" w:pos="5400"/>
              </w:tabs>
              <w:spacing w:line="240" w:lineRule="auto"/>
            </w:pPr>
            <w:r>
              <w:t>30</w:t>
            </w:r>
          </w:p>
        </w:tc>
        <w:tc>
          <w:tcPr>
            <w:tcW w:w="1417" w:type="dxa"/>
          </w:tcPr>
          <w:p w14:paraId="5CEB5C84" w14:textId="332F2457" w:rsidR="00C67623" w:rsidRDefault="00C67623" w:rsidP="00C67623">
            <w:pPr>
              <w:tabs>
                <w:tab w:val="left" w:pos="5400"/>
              </w:tabs>
              <w:spacing w:line="240" w:lineRule="auto"/>
            </w:pPr>
            <w:r>
              <w:t>48</w:t>
            </w:r>
          </w:p>
        </w:tc>
        <w:tc>
          <w:tcPr>
            <w:tcW w:w="1985" w:type="dxa"/>
          </w:tcPr>
          <w:p w14:paraId="4C492505" w14:textId="22677DC4" w:rsidR="00C67623" w:rsidRDefault="00C67623" w:rsidP="00C67623">
            <w:pPr>
              <w:tabs>
                <w:tab w:val="left" w:pos="5400"/>
              </w:tabs>
              <w:spacing w:line="240" w:lineRule="auto"/>
            </w:pPr>
            <w:r>
              <w:t>33</w:t>
            </w:r>
          </w:p>
        </w:tc>
        <w:tc>
          <w:tcPr>
            <w:tcW w:w="2126" w:type="dxa"/>
          </w:tcPr>
          <w:p w14:paraId="2D1E0E54" w14:textId="77507AC7" w:rsidR="00C67623" w:rsidRDefault="00C67623" w:rsidP="00C67623">
            <w:pPr>
              <w:tabs>
                <w:tab w:val="left" w:pos="5400"/>
              </w:tabs>
              <w:spacing w:line="240" w:lineRule="auto"/>
            </w:pPr>
            <w:r>
              <w:t>4</w:t>
            </w:r>
          </w:p>
        </w:tc>
      </w:tr>
    </w:tbl>
    <w:p w14:paraId="1021D578" w14:textId="77777777" w:rsidR="004F1C47" w:rsidRDefault="004F1C47" w:rsidP="00793DD5"/>
    <w:sectPr w:rsidR="004F1C47" w:rsidSect="004F1C47">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1BE87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3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C7244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3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33422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3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CDD99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3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6600A0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3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F111A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3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03C82"/>
    <w:multiLevelType w:val="multilevel"/>
    <w:tmpl w:val="148CA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3979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A3C"/>
    <w:rsid w:val="00090F3B"/>
    <w:rsid w:val="000E2F19"/>
    <w:rsid w:val="000E6526"/>
    <w:rsid w:val="00135630"/>
    <w:rsid w:val="00141533"/>
    <w:rsid w:val="00151DD0"/>
    <w:rsid w:val="00167528"/>
    <w:rsid w:val="00195CC4"/>
    <w:rsid w:val="00205EC0"/>
    <w:rsid w:val="00207326"/>
    <w:rsid w:val="00224531"/>
    <w:rsid w:val="00253DF6"/>
    <w:rsid w:val="00255F1E"/>
    <w:rsid w:val="00297ED0"/>
    <w:rsid w:val="002F5274"/>
    <w:rsid w:val="0036503B"/>
    <w:rsid w:val="00376A4A"/>
    <w:rsid w:val="003B1F59"/>
    <w:rsid w:val="003D6D03"/>
    <w:rsid w:val="003E12CA"/>
    <w:rsid w:val="004010DC"/>
    <w:rsid w:val="004341F0"/>
    <w:rsid w:val="00456324"/>
    <w:rsid w:val="00475460"/>
    <w:rsid w:val="00490317"/>
    <w:rsid w:val="00491644"/>
    <w:rsid w:val="00496A08"/>
    <w:rsid w:val="004E1605"/>
    <w:rsid w:val="004F1C47"/>
    <w:rsid w:val="004F653C"/>
    <w:rsid w:val="005254E3"/>
    <w:rsid w:val="00540A52"/>
    <w:rsid w:val="00557306"/>
    <w:rsid w:val="00643633"/>
    <w:rsid w:val="00645CFA"/>
    <w:rsid w:val="00685219"/>
    <w:rsid w:val="006A005F"/>
    <w:rsid w:val="006D5799"/>
    <w:rsid w:val="007073F5"/>
    <w:rsid w:val="007440EA"/>
    <w:rsid w:val="00750D83"/>
    <w:rsid w:val="00785DBC"/>
    <w:rsid w:val="0078631D"/>
    <w:rsid w:val="00793DD5"/>
    <w:rsid w:val="007D300D"/>
    <w:rsid w:val="007D55F6"/>
    <w:rsid w:val="007F490F"/>
    <w:rsid w:val="00847A9F"/>
    <w:rsid w:val="0086779C"/>
    <w:rsid w:val="00874BFD"/>
    <w:rsid w:val="008964EF"/>
    <w:rsid w:val="008B312A"/>
    <w:rsid w:val="00915E01"/>
    <w:rsid w:val="009631A4"/>
    <w:rsid w:val="00977296"/>
    <w:rsid w:val="009803B7"/>
    <w:rsid w:val="009B29F6"/>
    <w:rsid w:val="00A25E93"/>
    <w:rsid w:val="00A320FF"/>
    <w:rsid w:val="00A70AC0"/>
    <w:rsid w:val="00A73DFB"/>
    <w:rsid w:val="00A84EA9"/>
    <w:rsid w:val="00AC443C"/>
    <w:rsid w:val="00B033D6"/>
    <w:rsid w:val="00B11A55"/>
    <w:rsid w:val="00B17211"/>
    <w:rsid w:val="00B461B2"/>
    <w:rsid w:val="00B654B6"/>
    <w:rsid w:val="00B71B3C"/>
    <w:rsid w:val="00BC389E"/>
    <w:rsid w:val="00BD5854"/>
    <w:rsid w:val="00BE1888"/>
    <w:rsid w:val="00BF6B81"/>
    <w:rsid w:val="00C077A8"/>
    <w:rsid w:val="00C14D80"/>
    <w:rsid w:val="00C14FF4"/>
    <w:rsid w:val="00C1679F"/>
    <w:rsid w:val="00C606A2"/>
    <w:rsid w:val="00C63872"/>
    <w:rsid w:val="00C67623"/>
    <w:rsid w:val="00C84948"/>
    <w:rsid w:val="00C94ED8"/>
    <w:rsid w:val="00CF1111"/>
    <w:rsid w:val="00D05706"/>
    <w:rsid w:val="00D27DC5"/>
    <w:rsid w:val="00D47E36"/>
    <w:rsid w:val="00E25AB4"/>
    <w:rsid w:val="00E55D79"/>
    <w:rsid w:val="00EE2373"/>
    <w:rsid w:val="00EF0FBB"/>
    <w:rsid w:val="00EF4761"/>
    <w:rsid w:val="00FA0650"/>
    <w:rsid w:val="00FC2DA7"/>
    <w:rsid w:val="00FE1E6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67541">
      <w:bodyDiv w:val="1"/>
      <w:marLeft w:val="0"/>
      <w:marRight w:val="0"/>
      <w:marTop w:val="0"/>
      <w:marBottom w:val="0"/>
      <w:divBdr>
        <w:top w:val="none" w:sz="0" w:space="0" w:color="auto"/>
        <w:left w:val="none" w:sz="0" w:space="0" w:color="auto"/>
        <w:bottom w:val="none" w:sz="0" w:space="0" w:color="auto"/>
        <w:right w:val="none" w:sz="0" w:space="0" w:color="auto"/>
      </w:divBdr>
    </w:div>
    <w:div w:id="15340013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400</Words>
  <Characters>2285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2025-06-11T14:42:00Z</cp:lastPrinted>
  <dcterms:created xsi:type="dcterms:W3CDTF">2025-05-27T11:19:00Z</dcterms:created>
  <dcterms:modified xsi:type="dcterms:W3CDTF">2025-06-11T14:42:00Z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