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A72CB">
              <w:t>1029</w:t>
            </w:r>
          </w:p>
          <w:p w:rsidR="00B17211" w:rsidRDefault="00456324" w:rsidP="003A72CB">
            <w:r w:rsidRPr="007F490F">
              <w:rPr>
                <w:rStyle w:val="Heading2Char"/>
              </w:rPr>
              <w:t>Respon</w:t>
            </w:r>
            <w:r w:rsidR="007D55F6">
              <w:rPr>
                <w:rStyle w:val="Heading2Char"/>
              </w:rPr>
              <w:t>ded to:</w:t>
            </w:r>
            <w:r w:rsidR="007F490F">
              <w:t xml:space="preserve">  </w:t>
            </w:r>
            <w:r w:rsidR="003A72CB">
              <w:t>17</w:t>
            </w:r>
            <w:r w:rsidR="006D5799">
              <w:t xml:space="preserve"> </w:t>
            </w:r>
            <w:r w:rsidR="00207326">
              <w:t>May</w:t>
            </w:r>
            <w:r>
              <w:t xml:space="preserve"> 2023</w:t>
            </w:r>
          </w:p>
        </w:tc>
      </w:tr>
    </w:tbl>
    <w:p w:rsidR="003A72CB" w:rsidRDefault="00793DD5" w:rsidP="003A72CB">
      <w:r w:rsidRPr="00793DD5">
        <w:t xml:space="preserve">Your recent request for information is replicated below, together with </w:t>
      </w:r>
      <w:r w:rsidR="004341F0">
        <w:t>our</w:t>
      </w:r>
      <w:r w:rsidRPr="00793DD5">
        <w:t xml:space="preserve"> response.</w:t>
      </w:r>
    </w:p>
    <w:p w:rsidR="003A72CB" w:rsidRPr="003A72CB" w:rsidRDefault="003A72CB" w:rsidP="003A72CB">
      <w:pPr>
        <w:pStyle w:val="Heading2"/>
        <w:numPr>
          <w:ilvl w:val="0"/>
          <w:numId w:val="2"/>
        </w:numPr>
        <w:rPr>
          <w:rFonts w:eastAsia="Times New Roman"/>
        </w:rPr>
      </w:pPr>
      <w:r>
        <w:rPr>
          <w:rFonts w:eastAsia="Times New Roman"/>
        </w:rPr>
        <w:t xml:space="preserve">over the past five years, broken down by year - </w:t>
      </w:r>
      <w:r>
        <w:rPr>
          <w:rFonts w:eastAsia="Times New Roman"/>
        </w:rPr>
        <w:br/>
        <w:t xml:space="preserve">a) how many staff members used the Cycle to Work scheme? </w:t>
      </w:r>
      <w:r w:rsidRPr="003A72CB">
        <w:rPr>
          <w:rFonts w:eastAsia="Times New Roman"/>
        </w:rPr>
        <w:br/>
        <w:t xml:space="preserve">b) what percentage of staff was this? </w:t>
      </w:r>
      <w:r w:rsidRPr="003A72CB">
        <w:rPr>
          <w:rFonts w:eastAsia="Times New Roman"/>
        </w:rPr>
        <w:br/>
        <w:t>c) what was the average value of the vouchers claimed on the scheme?</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umber of Credit Letters Issued. Percentage Take up and Average Value by year."/>
        <w:tblDescription w:val="Number of Credit Letters Issued. Percentage Take up and Average Value by year."/>
      </w:tblPr>
      <w:tblGrid>
        <w:gridCol w:w="4567"/>
        <w:gridCol w:w="819"/>
        <w:gridCol w:w="819"/>
        <w:gridCol w:w="819"/>
        <w:gridCol w:w="819"/>
        <w:gridCol w:w="983"/>
      </w:tblGrid>
      <w:tr w:rsidR="000065B4" w:rsidRPr="000065B4" w:rsidTr="00127CED">
        <w:trPr>
          <w:trHeight w:val="562"/>
          <w:tblHeader/>
        </w:trPr>
        <w:tc>
          <w:tcPr>
            <w:tcW w:w="4567" w:type="dxa"/>
            <w:shd w:val="clear" w:color="auto" w:fill="D9D9D9" w:themeFill="background1" w:themeFillShade="D9"/>
          </w:tcPr>
          <w:p w:rsidR="000065B4" w:rsidRPr="000065B4" w:rsidRDefault="000065B4" w:rsidP="00127CED">
            <w:r w:rsidRPr="000065B4">
              <w:t>Year</w:t>
            </w:r>
          </w:p>
        </w:tc>
        <w:tc>
          <w:tcPr>
            <w:tcW w:w="819" w:type="dxa"/>
            <w:shd w:val="clear" w:color="auto" w:fill="D9D9D9" w:themeFill="background1" w:themeFillShade="D9"/>
            <w:tcMar>
              <w:top w:w="0" w:type="dxa"/>
              <w:left w:w="108" w:type="dxa"/>
              <w:bottom w:w="0" w:type="dxa"/>
              <w:right w:w="108" w:type="dxa"/>
            </w:tcMar>
            <w:hideMark/>
          </w:tcPr>
          <w:p w:rsidR="000065B4" w:rsidRPr="000065B4" w:rsidRDefault="000065B4" w:rsidP="00127CED">
            <w:r w:rsidRPr="000065B4">
              <w:t>2018</w:t>
            </w:r>
          </w:p>
        </w:tc>
        <w:tc>
          <w:tcPr>
            <w:tcW w:w="819" w:type="dxa"/>
            <w:shd w:val="clear" w:color="auto" w:fill="D9D9D9" w:themeFill="background1" w:themeFillShade="D9"/>
            <w:tcMar>
              <w:top w:w="0" w:type="dxa"/>
              <w:left w:w="108" w:type="dxa"/>
              <w:bottom w:w="0" w:type="dxa"/>
              <w:right w:w="108" w:type="dxa"/>
            </w:tcMar>
            <w:hideMark/>
          </w:tcPr>
          <w:p w:rsidR="000065B4" w:rsidRPr="000065B4" w:rsidRDefault="000065B4" w:rsidP="00127CED">
            <w:r w:rsidRPr="000065B4">
              <w:t>2019</w:t>
            </w:r>
          </w:p>
        </w:tc>
        <w:tc>
          <w:tcPr>
            <w:tcW w:w="819" w:type="dxa"/>
            <w:shd w:val="clear" w:color="auto" w:fill="D9D9D9" w:themeFill="background1" w:themeFillShade="D9"/>
            <w:tcMar>
              <w:top w:w="0" w:type="dxa"/>
              <w:left w:w="108" w:type="dxa"/>
              <w:bottom w:w="0" w:type="dxa"/>
              <w:right w:w="108" w:type="dxa"/>
            </w:tcMar>
            <w:hideMark/>
          </w:tcPr>
          <w:p w:rsidR="000065B4" w:rsidRPr="000065B4" w:rsidRDefault="000065B4" w:rsidP="00127CED">
            <w:r w:rsidRPr="000065B4">
              <w:t>2020</w:t>
            </w:r>
          </w:p>
        </w:tc>
        <w:tc>
          <w:tcPr>
            <w:tcW w:w="819" w:type="dxa"/>
            <w:shd w:val="clear" w:color="auto" w:fill="D9D9D9" w:themeFill="background1" w:themeFillShade="D9"/>
            <w:tcMar>
              <w:top w:w="0" w:type="dxa"/>
              <w:left w:w="108" w:type="dxa"/>
              <w:bottom w:w="0" w:type="dxa"/>
              <w:right w:w="108" w:type="dxa"/>
            </w:tcMar>
            <w:hideMark/>
          </w:tcPr>
          <w:p w:rsidR="000065B4" w:rsidRPr="000065B4" w:rsidRDefault="000065B4" w:rsidP="00127CED">
            <w:r w:rsidRPr="000065B4">
              <w:t>2021</w:t>
            </w:r>
          </w:p>
        </w:tc>
        <w:tc>
          <w:tcPr>
            <w:tcW w:w="983" w:type="dxa"/>
            <w:shd w:val="clear" w:color="auto" w:fill="D9D9D9" w:themeFill="background1" w:themeFillShade="D9"/>
            <w:tcMar>
              <w:top w:w="0" w:type="dxa"/>
              <w:left w:w="108" w:type="dxa"/>
              <w:bottom w:w="0" w:type="dxa"/>
              <w:right w:w="108" w:type="dxa"/>
            </w:tcMar>
            <w:hideMark/>
          </w:tcPr>
          <w:p w:rsidR="000065B4" w:rsidRPr="000065B4" w:rsidRDefault="000065B4" w:rsidP="00127CED">
            <w:r w:rsidRPr="000065B4">
              <w:t>2022</w:t>
            </w:r>
          </w:p>
        </w:tc>
      </w:tr>
      <w:tr w:rsidR="000065B4" w:rsidRPr="000065B4" w:rsidTr="00127CED">
        <w:trPr>
          <w:trHeight w:val="548"/>
          <w:tblHeader/>
        </w:trPr>
        <w:tc>
          <w:tcPr>
            <w:tcW w:w="4567" w:type="dxa"/>
          </w:tcPr>
          <w:p w:rsidR="000065B4" w:rsidRPr="000065B4" w:rsidRDefault="000065B4" w:rsidP="00127CED">
            <w:r w:rsidRPr="000065B4">
              <w:t>Number of Letters of Credit issued</w:t>
            </w:r>
          </w:p>
        </w:tc>
        <w:tc>
          <w:tcPr>
            <w:tcW w:w="819" w:type="dxa"/>
            <w:tcMar>
              <w:top w:w="0" w:type="dxa"/>
              <w:left w:w="108" w:type="dxa"/>
              <w:bottom w:w="0" w:type="dxa"/>
              <w:right w:w="108" w:type="dxa"/>
            </w:tcMar>
            <w:hideMark/>
          </w:tcPr>
          <w:p w:rsidR="000065B4" w:rsidRPr="000065B4" w:rsidRDefault="000065B4" w:rsidP="00127CED">
            <w:r w:rsidRPr="000065B4">
              <w:t>668</w:t>
            </w:r>
          </w:p>
        </w:tc>
        <w:tc>
          <w:tcPr>
            <w:tcW w:w="819" w:type="dxa"/>
            <w:tcMar>
              <w:top w:w="0" w:type="dxa"/>
              <w:left w:w="108" w:type="dxa"/>
              <w:bottom w:w="0" w:type="dxa"/>
              <w:right w:w="108" w:type="dxa"/>
            </w:tcMar>
            <w:hideMark/>
          </w:tcPr>
          <w:p w:rsidR="000065B4" w:rsidRPr="000065B4" w:rsidRDefault="000065B4" w:rsidP="00127CED">
            <w:r w:rsidRPr="000065B4">
              <w:t>697</w:t>
            </w:r>
          </w:p>
        </w:tc>
        <w:tc>
          <w:tcPr>
            <w:tcW w:w="819" w:type="dxa"/>
            <w:tcMar>
              <w:top w:w="0" w:type="dxa"/>
              <w:left w:w="108" w:type="dxa"/>
              <w:bottom w:w="0" w:type="dxa"/>
              <w:right w:w="108" w:type="dxa"/>
            </w:tcMar>
            <w:hideMark/>
          </w:tcPr>
          <w:p w:rsidR="000065B4" w:rsidRPr="000065B4" w:rsidRDefault="000065B4" w:rsidP="00127CED">
            <w:r w:rsidRPr="000065B4">
              <w:t>1297</w:t>
            </w:r>
          </w:p>
        </w:tc>
        <w:tc>
          <w:tcPr>
            <w:tcW w:w="819" w:type="dxa"/>
            <w:tcMar>
              <w:top w:w="0" w:type="dxa"/>
              <w:left w:w="108" w:type="dxa"/>
              <w:bottom w:w="0" w:type="dxa"/>
              <w:right w:w="108" w:type="dxa"/>
            </w:tcMar>
            <w:hideMark/>
          </w:tcPr>
          <w:p w:rsidR="000065B4" w:rsidRPr="000065B4" w:rsidRDefault="000065B4" w:rsidP="00127CED">
            <w:r w:rsidRPr="000065B4">
              <w:t>652</w:t>
            </w:r>
          </w:p>
        </w:tc>
        <w:tc>
          <w:tcPr>
            <w:tcW w:w="983" w:type="dxa"/>
            <w:tcMar>
              <w:top w:w="0" w:type="dxa"/>
              <w:left w:w="108" w:type="dxa"/>
              <w:bottom w:w="0" w:type="dxa"/>
              <w:right w:w="108" w:type="dxa"/>
            </w:tcMar>
            <w:hideMark/>
          </w:tcPr>
          <w:p w:rsidR="000065B4" w:rsidRPr="000065B4" w:rsidRDefault="000065B4" w:rsidP="00127CED">
            <w:r w:rsidRPr="000065B4">
              <w:t>563</w:t>
            </w:r>
          </w:p>
        </w:tc>
      </w:tr>
      <w:tr w:rsidR="000065B4" w:rsidRPr="000065B4" w:rsidTr="00127CED">
        <w:trPr>
          <w:trHeight w:val="562"/>
          <w:tblHeader/>
        </w:trPr>
        <w:tc>
          <w:tcPr>
            <w:tcW w:w="4567" w:type="dxa"/>
          </w:tcPr>
          <w:p w:rsidR="000065B4" w:rsidRPr="000065B4" w:rsidRDefault="000065B4" w:rsidP="00127CED">
            <w:r>
              <w:t xml:space="preserve">Percentage </w:t>
            </w:r>
            <w:r w:rsidRPr="000065B4">
              <w:t>Take up</w:t>
            </w:r>
          </w:p>
        </w:tc>
        <w:tc>
          <w:tcPr>
            <w:tcW w:w="819" w:type="dxa"/>
            <w:tcMar>
              <w:top w:w="0" w:type="dxa"/>
              <w:left w:w="108" w:type="dxa"/>
              <w:bottom w:w="0" w:type="dxa"/>
              <w:right w:w="108" w:type="dxa"/>
            </w:tcMar>
            <w:hideMark/>
          </w:tcPr>
          <w:p w:rsidR="000065B4" w:rsidRPr="000065B4" w:rsidRDefault="000065B4" w:rsidP="00127CED">
            <w:r w:rsidRPr="000065B4">
              <w:t>2.96</w:t>
            </w:r>
          </w:p>
        </w:tc>
        <w:tc>
          <w:tcPr>
            <w:tcW w:w="819" w:type="dxa"/>
            <w:tcMar>
              <w:top w:w="0" w:type="dxa"/>
              <w:left w:w="108" w:type="dxa"/>
              <w:bottom w:w="0" w:type="dxa"/>
              <w:right w:w="108" w:type="dxa"/>
            </w:tcMar>
            <w:hideMark/>
          </w:tcPr>
          <w:p w:rsidR="000065B4" w:rsidRPr="000065B4" w:rsidRDefault="000065B4" w:rsidP="00127CED">
            <w:r>
              <w:t>3.05</w:t>
            </w:r>
          </w:p>
        </w:tc>
        <w:tc>
          <w:tcPr>
            <w:tcW w:w="819" w:type="dxa"/>
            <w:tcMar>
              <w:top w:w="0" w:type="dxa"/>
              <w:left w:w="108" w:type="dxa"/>
              <w:bottom w:w="0" w:type="dxa"/>
              <w:right w:w="108" w:type="dxa"/>
            </w:tcMar>
            <w:hideMark/>
          </w:tcPr>
          <w:p w:rsidR="000065B4" w:rsidRPr="000065B4" w:rsidRDefault="000065B4" w:rsidP="00127CED">
            <w:r>
              <w:t>5.65</w:t>
            </w:r>
          </w:p>
        </w:tc>
        <w:tc>
          <w:tcPr>
            <w:tcW w:w="819" w:type="dxa"/>
            <w:tcMar>
              <w:top w:w="0" w:type="dxa"/>
              <w:left w:w="108" w:type="dxa"/>
              <w:bottom w:w="0" w:type="dxa"/>
              <w:right w:w="108" w:type="dxa"/>
            </w:tcMar>
            <w:hideMark/>
          </w:tcPr>
          <w:p w:rsidR="000065B4" w:rsidRPr="000065B4" w:rsidRDefault="000065B4" w:rsidP="00127CED">
            <w:r>
              <w:t>2.85</w:t>
            </w:r>
          </w:p>
        </w:tc>
        <w:tc>
          <w:tcPr>
            <w:tcW w:w="983" w:type="dxa"/>
            <w:tcMar>
              <w:top w:w="0" w:type="dxa"/>
              <w:left w:w="108" w:type="dxa"/>
              <w:bottom w:w="0" w:type="dxa"/>
              <w:right w:w="108" w:type="dxa"/>
            </w:tcMar>
            <w:hideMark/>
          </w:tcPr>
          <w:p w:rsidR="000065B4" w:rsidRPr="000065B4" w:rsidRDefault="000065B4" w:rsidP="00127CED">
            <w:r>
              <w:t>2.50</w:t>
            </w:r>
          </w:p>
        </w:tc>
      </w:tr>
      <w:tr w:rsidR="00127CED" w:rsidRPr="000065B4" w:rsidTr="00127CED">
        <w:trPr>
          <w:trHeight w:val="562"/>
          <w:tblHeader/>
        </w:trPr>
        <w:tc>
          <w:tcPr>
            <w:tcW w:w="4567" w:type="dxa"/>
          </w:tcPr>
          <w:p w:rsidR="000065B4" w:rsidRPr="000065B4" w:rsidRDefault="000065B4" w:rsidP="00127CED">
            <w:r w:rsidRPr="000065B4">
              <w:t>Ave</w:t>
            </w:r>
            <w:r>
              <w:t>rage</w:t>
            </w:r>
            <w:r w:rsidRPr="000065B4">
              <w:t xml:space="preserve"> Value of Spend</w:t>
            </w:r>
          </w:p>
        </w:tc>
        <w:tc>
          <w:tcPr>
            <w:tcW w:w="819" w:type="dxa"/>
            <w:tcMar>
              <w:top w:w="0" w:type="dxa"/>
              <w:left w:w="108" w:type="dxa"/>
              <w:bottom w:w="0" w:type="dxa"/>
              <w:right w:w="108" w:type="dxa"/>
            </w:tcMar>
            <w:hideMark/>
          </w:tcPr>
          <w:p w:rsidR="000065B4" w:rsidRPr="000065B4" w:rsidRDefault="000065B4" w:rsidP="00127CED">
            <w:r w:rsidRPr="000065B4">
              <w:t>£693</w:t>
            </w:r>
          </w:p>
        </w:tc>
        <w:tc>
          <w:tcPr>
            <w:tcW w:w="819" w:type="dxa"/>
            <w:tcMar>
              <w:top w:w="0" w:type="dxa"/>
              <w:left w:w="108" w:type="dxa"/>
              <w:bottom w:w="0" w:type="dxa"/>
              <w:right w:w="108" w:type="dxa"/>
            </w:tcMar>
            <w:hideMark/>
          </w:tcPr>
          <w:p w:rsidR="000065B4" w:rsidRPr="000065B4" w:rsidRDefault="000065B4" w:rsidP="00127CED">
            <w:r w:rsidRPr="000065B4">
              <w:t>£679</w:t>
            </w:r>
          </w:p>
        </w:tc>
        <w:tc>
          <w:tcPr>
            <w:tcW w:w="819" w:type="dxa"/>
            <w:tcMar>
              <w:top w:w="0" w:type="dxa"/>
              <w:left w:w="108" w:type="dxa"/>
              <w:bottom w:w="0" w:type="dxa"/>
              <w:right w:w="108" w:type="dxa"/>
            </w:tcMar>
            <w:hideMark/>
          </w:tcPr>
          <w:p w:rsidR="000065B4" w:rsidRPr="000065B4" w:rsidRDefault="000065B4" w:rsidP="00127CED">
            <w:r w:rsidRPr="000065B4">
              <w:t>£701</w:t>
            </w:r>
          </w:p>
        </w:tc>
        <w:tc>
          <w:tcPr>
            <w:tcW w:w="819" w:type="dxa"/>
            <w:tcMar>
              <w:top w:w="0" w:type="dxa"/>
              <w:left w:w="108" w:type="dxa"/>
              <w:bottom w:w="0" w:type="dxa"/>
              <w:right w:w="108" w:type="dxa"/>
            </w:tcMar>
            <w:hideMark/>
          </w:tcPr>
          <w:p w:rsidR="000065B4" w:rsidRPr="000065B4" w:rsidRDefault="000065B4" w:rsidP="00127CED">
            <w:r w:rsidRPr="000065B4">
              <w:t>£710</w:t>
            </w:r>
          </w:p>
        </w:tc>
        <w:tc>
          <w:tcPr>
            <w:tcW w:w="983" w:type="dxa"/>
            <w:tcMar>
              <w:top w:w="0" w:type="dxa"/>
              <w:left w:w="108" w:type="dxa"/>
              <w:bottom w:w="0" w:type="dxa"/>
              <w:right w:w="108" w:type="dxa"/>
            </w:tcMar>
            <w:hideMark/>
          </w:tcPr>
          <w:p w:rsidR="000065B4" w:rsidRPr="000065B4" w:rsidRDefault="000065B4" w:rsidP="00127CED">
            <w:r>
              <w:t>£1256</w:t>
            </w:r>
          </w:p>
        </w:tc>
      </w:tr>
    </w:tbl>
    <w:p w:rsidR="00127CED" w:rsidRDefault="00127CED" w:rsidP="003A72CB"/>
    <w:p w:rsidR="00127CED" w:rsidRDefault="000065B4" w:rsidP="00127CED">
      <w:r>
        <w:t>The average value of spend increased in 2022 due to the increase in the cycle to work limit from £1000 to £3000 on 25 May 2022.</w:t>
      </w:r>
    </w:p>
    <w:p w:rsidR="00127CED" w:rsidRDefault="003A72CB" w:rsidP="00127CED">
      <w:pPr>
        <w:rPr>
          <w:rStyle w:val="Heading2Char"/>
        </w:rPr>
      </w:pPr>
      <w:r w:rsidRPr="00127CED">
        <w:rPr>
          <w:rFonts w:eastAsia="Times New Roman"/>
        </w:rPr>
        <w:br/>
      </w:r>
      <w:r w:rsidRPr="00127CED">
        <w:rPr>
          <w:rStyle w:val="Heading2Char"/>
        </w:rPr>
        <w:t>d) what was the number of those who took up the scheme, who then failed to complete, leavi</w:t>
      </w:r>
      <w:r w:rsidR="00127CED" w:rsidRPr="00127CED">
        <w:rPr>
          <w:rStyle w:val="Heading2Char"/>
        </w:rPr>
        <w:t>ng the organisation with costs?</w:t>
      </w:r>
    </w:p>
    <w:p w:rsidR="0001629C" w:rsidRDefault="00FE3420" w:rsidP="0001629C">
      <w:pPr>
        <w:rPr>
          <w:rStyle w:val="Heading2Char"/>
        </w:rPr>
      </w:pPr>
      <w:r w:rsidRPr="00FE3420">
        <w:rPr>
          <w:rStyle w:val="Heading2Char"/>
          <w:b w:val="0"/>
        </w:rPr>
        <w:t xml:space="preserve">In response to this question I can advise that the answer is zero as all owned monies are recouped from the final salary payment. </w:t>
      </w:r>
      <w:r w:rsidR="003A72CB" w:rsidRPr="00127CED">
        <w:rPr>
          <w:rFonts w:eastAsia="Times New Roman"/>
        </w:rPr>
        <w:br/>
      </w:r>
      <w:r w:rsidR="003A72CB" w:rsidRPr="00127CED">
        <w:rPr>
          <w:rFonts w:eastAsia="Times New Roman"/>
        </w:rPr>
        <w:br/>
      </w:r>
      <w:r w:rsidR="003A72CB" w:rsidRPr="0001629C">
        <w:rPr>
          <w:rStyle w:val="Heading2Char"/>
        </w:rPr>
        <w:t xml:space="preserve">2) what tools does the organisation use to encourage cycling for their staff - </w:t>
      </w:r>
      <w:r w:rsidR="003A72CB" w:rsidRPr="0001629C">
        <w:rPr>
          <w:rStyle w:val="Heading2Char"/>
        </w:rPr>
        <w:br/>
        <w:t xml:space="preserve">a) on a work basis </w:t>
      </w:r>
      <w:r w:rsidR="003A72CB" w:rsidRPr="0001629C">
        <w:rPr>
          <w:rStyle w:val="Heading2Char"/>
        </w:rPr>
        <w:br/>
        <w:t>b) on a leisure/health basis</w:t>
      </w:r>
    </w:p>
    <w:p w:rsidR="0001629C" w:rsidRDefault="0001629C" w:rsidP="0001629C">
      <w:pPr>
        <w:rPr>
          <w:rFonts w:eastAsia="Times New Roman"/>
        </w:rPr>
      </w:pPr>
      <w:r>
        <w:rPr>
          <w:color w:val="000000"/>
        </w:rPr>
        <w:lastRenderedPageBreak/>
        <w:t>Police Scotland communicate regularly via the Scottish Police Authority</w:t>
      </w:r>
      <w:r w:rsidR="000D6079">
        <w:rPr>
          <w:color w:val="000000"/>
        </w:rPr>
        <w:t xml:space="preserve"> and the Police Scotland </w:t>
      </w:r>
      <w:r>
        <w:rPr>
          <w:color w:val="000000"/>
        </w:rPr>
        <w:t>Intranet site</w:t>
      </w:r>
      <w:r w:rsidR="000D6079">
        <w:rPr>
          <w:color w:val="000000"/>
        </w:rPr>
        <w:t>s</w:t>
      </w:r>
      <w:r>
        <w:rPr>
          <w:color w:val="000000"/>
        </w:rPr>
        <w:t xml:space="preserve">, Line Managers Briefings, </w:t>
      </w:r>
      <w:r w:rsidR="00173DF0">
        <w:rPr>
          <w:color w:val="000000"/>
        </w:rPr>
        <w:t xml:space="preserve">the </w:t>
      </w:r>
      <w:r>
        <w:rPr>
          <w:color w:val="000000"/>
        </w:rPr>
        <w:t xml:space="preserve">Reward </w:t>
      </w:r>
      <w:r w:rsidR="000E3F03">
        <w:rPr>
          <w:color w:val="000000"/>
        </w:rPr>
        <w:t xml:space="preserve">and Benefits Gateway </w:t>
      </w:r>
      <w:r w:rsidR="00173DF0">
        <w:rPr>
          <w:color w:val="000000"/>
        </w:rPr>
        <w:t xml:space="preserve">as well as </w:t>
      </w:r>
      <w:r w:rsidR="000E3F03">
        <w:rPr>
          <w:color w:val="000000"/>
        </w:rPr>
        <w:t xml:space="preserve">direct communications to </w:t>
      </w:r>
      <w:r>
        <w:rPr>
          <w:color w:val="000000"/>
        </w:rPr>
        <w:t xml:space="preserve">registered </w:t>
      </w:r>
      <w:r w:rsidR="000E3F03">
        <w:rPr>
          <w:color w:val="000000"/>
        </w:rPr>
        <w:t xml:space="preserve">Reward and Benefits </w:t>
      </w:r>
      <w:r>
        <w:rPr>
          <w:color w:val="000000"/>
        </w:rPr>
        <w:t>Gateway users</w:t>
      </w:r>
      <w:r w:rsidR="000E3F03">
        <w:rPr>
          <w:color w:val="000000"/>
        </w:rPr>
        <w:t>.</w:t>
      </w:r>
    </w:p>
    <w:p w:rsidR="00490CE0" w:rsidRDefault="003A72CB" w:rsidP="00127CED">
      <w:pPr>
        <w:pStyle w:val="Heading2"/>
        <w:rPr>
          <w:rFonts w:eastAsia="Times New Roman"/>
        </w:rPr>
      </w:pPr>
      <w:r w:rsidRPr="00127CED">
        <w:rPr>
          <w:rFonts w:eastAsia="Times New Roman"/>
        </w:rPr>
        <w:t xml:space="preserve"> </w:t>
      </w:r>
      <w:r w:rsidRPr="00127CED">
        <w:rPr>
          <w:rFonts w:eastAsia="Times New Roman"/>
        </w:rPr>
        <w:br/>
        <w:t xml:space="preserve">3) with regards to staff, does the organisation - </w:t>
      </w:r>
      <w:r w:rsidRPr="00127CED">
        <w:rPr>
          <w:rFonts w:eastAsia="Times New Roman"/>
        </w:rPr>
        <w:br/>
        <w:t xml:space="preserve">a) have any monitoring for what modes of transport staff use - </w:t>
      </w:r>
      <w:r w:rsidRPr="00127CED">
        <w:rPr>
          <w:rFonts w:eastAsia="Times New Roman"/>
        </w:rPr>
        <w:br/>
        <w:t xml:space="preserve">i) for their journey to work </w:t>
      </w:r>
      <w:r w:rsidRPr="00127CED">
        <w:rPr>
          <w:rFonts w:eastAsia="Times New Roman"/>
        </w:rPr>
        <w:br/>
        <w:t xml:space="preserve">ii) for journeys during work time </w:t>
      </w:r>
      <w:r w:rsidRPr="00127CED">
        <w:rPr>
          <w:rFonts w:eastAsia="Times New Roman"/>
        </w:rPr>
        <w:br/>
        <w:t xml:space="preserve">b) and if this data is recorded, I request a copy of such data as detailed as it can be reasonably given, while still protecting personal data rights </w:t>
      </w:r>
    </w:p>
    <w:p w:rsidR="00490CE0" w:rsidRPr="00A76BDA" w:rsidRDefault="00140CC6" w:rsidP="00490CE0">
      <w:r>
        <w:t>In response to the three questions above, I</w:t>
      </w:r>
      <w:r w:rsidR="00490CE0" w:rsidRPr="00A76BDA">
        <w:t xml:space="preserve"> regret to inform you that I am unable to provide you with the information you have requested, as it would prove too costly to do so within the context of the fee regulations.</w:t>
      </w:r>
    </w:p>
    <w:p w:rsidR="00490CE0" w:rsidRPr="00A76BDA" w:rsidRDefault="00490CE0" w:rsidP="00490CE0">
      <w:r w:rsidRPr="00A76BDA">
        <w:t>As you may be aware the current cost threshold is £600 and I estimate that it would cost well in excess of this amount to process your request.</w:t>
      </w:r>
    </w:p>
    <w:p w:rsidR="00490CE0" w:rsidRPr="00A76BDA" w:rsidRDefault="00490CE0" w:rsidP="00490CE0">
      <w:r w:rsidRPr="00A76BDA">
        <w:t>As such, and in terms of Section 16(4) of the Freedom of Information (Scotland) Act 2002 where Section 12(1) of the Act (Excessive Cost of Compliance) has been applied, this represents a refusal notice for the information sought.</w:t>
      </w:r>
    </w:p>
    <w:p w:rsidR="005B3972" w:rsidRDefault="00490CE0" w:rsidP="00927C5F">
      <w:r w:rsidRPr="00A76BDA">
        <w:t xml:space="preserve">By way of explanation, </w:t>
      </w:r>
      <w:r w:rsidR="00140CC6">
        <w:t>the information requested is not centrally recorded. The span of the information that may be recorded across the organisation is large. For example, using solely question 3aii)</w:t>
      </w:r>
      <w:r w:rsidR="00140CC6" w:rsidRPr="00140CC6">
        <w:rPr>
          <w:rFonts w:eastAsia="Times New Roman"/>
        </w:rPr>
        <w:t xml:space="preserve"> </w:t>
      </w:r>
      <w:r w:rsidR="00140CC6">
        <w:rPr>
          <w:rFonts w:eastAsia="Times New Roman"/>
        </w:rPr>
        <w:t>for journeys during work time,</w:t>
      </w:r>
      <w:r w:rsidR="005B3972">
        <w:rPr>
          <w:rFonts w:eastAsia="Times New Roman"/>
        </w:rPr>
        <w:t xml:space="preserve"> and identifying the use of cars only, </w:t>
      </w:r>
      <w:r w:rsidR="00140CC6">
        <w:rPr>
          <w:rFonts w:eastAsia="Times New Roman"/>
        </w:rPr>
        <w:t xml:space="preserve"> a manual assessment of </w:t>
      </w:r>
      <w:r w:rsidR="005B3972">
        <w:rPr>
          <w:rFonts w:eastAsia="Times New Roman"/>
        </w:rPr>
        <w:t xml:space="preserve">each department </w:t>
      </w:r>
      <w:r w:rsidR="00140CC6">
        <w:rPr>
          <w:rFonts w:eastAsia="Times New Roman"/>
        </w:rPr>
        <w:t>log book would need to take place to determine</w:t>
      </w:r>
      <w:r w:rsidR="005B3972">
        <w:rPr>
          <w:rFonts w:eastAsia="Times New Roman"/>
        </w:rPr>
        <w:t xml:space="preserve"> when vehicles were used during work time. </w:t>
      </w:r>
      <w:r w:rsidR="00140CC6">
        <w:rPr>
          <w:rFonts w:eastAsia="Times New Roman"/>
        </w:rPr>
        <w:t xml:space="preserve"> </w:t>
      </w:r>
      <w:r w:rsidR="00140CC6">
        <w:t xml:space="preserve">Most departments have the use of vehicles and </w:t>
      </w:r>
      <w:r w:rsidR="005B3972">
        <w:t xml:space="preserve">as </w:t>
      </w:r>
      <w:r w:rsidR="00140CC6">
        <w:t xml:space="preserve">such the assessment would need to take place for each department. Additionally, car hire logs would need to be assessed to determine the usage of </w:t>
      </w:r>
      <w:r w:rsidR="005B3972">
        <w:t xml:space="preserve">car hire, and identify whether it was used for journeys during or out with work hours. Also noting that officers often work shifts as such the log books would need to be cross referenced with resource deployment records to determine if the journeys took place during working hours. </w:t>
      </w:r>
    </w:p>
    <w:p w:rsidR="00927C5F" w:rsidRDefault="00927C5F" w:rsidP="00927C5F">
      <w:r>
        <w:t>This is an exercise which I feel would greatly exceed the cost threshold set out within the Act.</w:t>
      </w:r>
    </w:p>
    <w:p w:rsidR="00490CE0" w:rsidRDefault="00490CE0" w:rsidP="00490CE0">
      <w:r w:rsidRPr="00A76BDA">
        <w:t>Police Scotland have assessed that the £600 cost limit within the Act equates to 40 hours of work and so this part of your request would breach the cost threshold.</w:t>
      </w:r>
    </w:p>
    <w:p w:rsidR="00927C5F" w:rsidRDefault="00927C5F" w:rsidP="00927C5F">
      <w:r>
        <w:lastRenderedPageBreak/>
        <w:t>As the information requested is not held in any easily retrieval format, it is unlikely that any refinements to the question will result in a fruitful response.</w:t>
      </w:r>
    </w:p>
    <w:p w:rsidR="00C33D5A" w:rsidRPr="00815D6B" w:rsidRDefault="003A72CB" w:rsidP="00815D6B">
      <w:pPr>
        <w:pStyle w:val="Heading2"/>
        <w:rPr>
          <w:rStyle w:val="Heading2Char"/>
          <w:b/>
        </w:rPr>
      </w:pPr>
      <w:r w:rsidRPr="00127CED">
        <w:rPr>
          <w:rFonts w:eastAsia="Times New Roman"/>
        </w:rPr>
        <w:br/>
      </w:r>
      <w:r w:rsidRPr="00815D6B">
        <w:rPr>
          <w:rStyle w:val="Heading2Char"/>
          <w:b/>
        </w:rPr>
        <w:t>4) how many of the following does the organisation have available</w:t>
      </w:r>
      <w:r w:rsidR="00C33D5A" w:rsidRPr="00815D6B">
        <w:rPr>
          <w:rStyle w:val="Heading2Char"/>
          <w:b/>
        </w:rPr>
        <w:t xml:space="preserve"> for staff use </w:t>
      </w:r>
      <w:r w:rsidR="00C33D5A" w:rsidRPr="00815D6B">
        <w:rPr>
          <w:rStyle w:val="Heading2Char"/>
          <w:b/>
        </w:rPr>
        <w:br/>
        <w:t>a) pedal cycles</w:t>
      </w:r>
    </w:p>
    <w:p w:rsidR="00815D6B" w:rsidRDefault="00C33D5A" w:rsidP="00815D6B">
      <w:pPr>
        <w:pStyle w:val="Heading2"/>
        <w:rPr>
          <w:rStyle w:val="Heading2Char"/>
          <w:b/>
        </w:rPr>
      </w:pPr>
      <w:r w:rsidRPr="00815D6B">
        <w:rPr>
          <w:b w:val="0"/>
        </w:rPr>
        <w:t>In response to point 4a I can advise that Police Scotland does use pedal cycles as part of its policing operations. However pedal cycles are allocated to specific trained officers</w:t>
      </w:r>
      <w:r w:rsidR="00815D6B" w:rsidRPr="00815D6B">
        <w:rPr>
          <w:b w:val="0"/>
        </w:rPr>
        <w:t xml:space="preserve"> using the correct personal protective equipment</w:t>
      </w:r>
      <w:r w:rsidR="00815D6B">
        <w:rPr>
          <w:b w:val="0"/>
        </w:rPr>
        <w:t xml:space="preserve"> and are used for policing purposes only.</w:t>
      </w:r>
    </w:p>
    <w:p w:rsidR="00C33D5A" w:rsidRDefault="003A72CB" w:rsidP="00815D6B">
      <w:pPr>
        <w:pStyle w:val="Heading2"/>
        <w:rPr>
          <w:rStyle w:val="Heading2Char"/>
          <w:b/>
        </w:rPr>
      </w:pPr>
      <w:r w:rsidRPr="00815D6B">
        <w:rPr>
          <w:rStyle w:val="Heading2Char"/>
          <w:b/>
        </w:rPr>
        <w:t xml:space="preserve">b) electric bikes </w:t>
      </w:r>
    </w:p>
    <w:p w:rsidR="00E13F30" w:rsidRPr="00E13F30" w:rsidRDefault="00C715A9" w:rsidP="00E13F30">
      <w:r>
        <w:rPr>
          <w:color w:val="000000"/>
        </w:rPr>
        <w:t>Police Scotland does not currently utilise any electric bikes as such the response to this question is zero.</w:t>
      </w:r>
    </w:p>
    <w:p w:rsidR="00D3373D" w:rsidRDefault="003A72CB" w:rsidP="00815D6B">
      <w:pPr>
        <w:pStyle w:val="Heading2"/>
        <w:rPr>
          <w:rFonts w:eastAsia="Times New Roman"/>
          <w:color w:val="000000"/>
        </w:rPr>
      </w:pPr>
      <w:r w:rsidRPr="00815D6B">
        <w:rPr>
          <w:rStyle w:val="Heading2Char"/>
          <w:b/>
        </w:rPr>
        <w:t xml:space="preserve">c) motorbikes </w:t>
      </w:r>
      <w:r w:rsidRPr="00815D6B">
        <w:rPr>
          <w:rStyle w:val="Heading2Char"/>
          <w:b/>
        </w:rPr>
        <w:br/>
        <w:t xml:space="preserve">d) internal combustion cars </w:t>
      </w:r>
      <w:r w:rsidRPr="00815D6B">
        <w:rPr>
          <w:rStyle w:val="Heading2Char"/>
          <w:b/>
        </w:rPr>
        <w:br/>
        <w:t xml:space="preserve">e) electric or hybrid cars </w:t>
      </w:r>
      <w:r w:rsidRPr="00815D6B">
        <w:rPr>
          <w:rStyle w:val="Heading2Char"/>
          <w:b/>
        </w:rPr>
        <w:br/>
        <w:t xml:space="preserve">f) internal combustion vans </w:t>
      </w:r>
      <w:r w:rsidRPr="00815D6B">
        <w:rPr>
          <w:rStyle w:val="Heading2Char"/>
          <w:b/>
        </w:rPr>
        <w:br/>
        <w:t xml:space="preserve">g) electric or hybrid vans </w:t>
      </w:r>
      <w:r w:rsidRPr="00815D6B">
        <w:rPr>
          <w:rStyle w:val="Heading2Char"/>
          <w:b/>
        </w:rPr>
        <w:br/>
        <w:t>h) heavy trucks</w:t>
      </w:r>
      <w:r w:rsidRPr="00927C5F">
        <w:rPr>
          <w:rStyle w:val="Heading2Char"/>
        </w:rPr>
        <w:t xml:space="preserve"> </w:t>
      </w:r>
      <w:r w:rsidRPr="00127CED">
        <w:rPr>
          <w:rFonts w:eastAsia="Times New Roman"/>
        </w:rPr>
        <w:br/>
      </w:r>
    </w:p>
    <w:p w:rsidR="00D3373D" w:rsidRDefault="00E13F30" w:rsidP="00D3373D">
      <w:pPr>
        <w:rPr>
          <w:rFonts w:eastAsia="Times New Roman"/>
          <w:color w:val="000000"/>
        </w:rPr>
      </w:pPr>
      <w:r>
        <w:rPr>
          <w:rFonts w:eastAsia="Times New Roman"/>
          <w:color w:val="000000"/>
        </w:rPr>
        <w:t>In response to points c</w:t>
      </w:r>
      <w:r w:rsidR="00D3373D">
        <w:rPr>
          <w:rFonts w:eastAsia="Times New Roman"/>
          <w:color w:val="000000"/>
        </w:rPr>
        <w:t>) to h) please note that Police Scotland have a</w:t>
      </w:r>
      <w:r w:rsidR="00D3373D" w:rsidRPr="00BE55DE">
        <w:rPr>
          <w:rFonts w:eastAsia="Times New Roman"/>
          <w:i/>
          <w:color w:val="000000"/>
        </w:rPr>
        <w:t xml:space="preserve"> </w:t>
      </w:r>
      <w:r w:rsidR="00D3373D" w:rsidRPr="00BE55DE">
        <w:rPr>
          <w:rFonts w:eastAsia="Times New Roman"/>
          <w:color w:val="000000"/>
        </w:rPr>
        <w:t xml:space="preserve">marked </w:t>
      </w:r>
      <w:r w:rsidR="00D3373D">
        <w:rPr>
          <w:rFonts w:eastAsia="Times New Roman"/>
          <w:color w:val="000000"/>
        </w:rPr>
        <w:t xml:space="preserve">vehicle fleet, that is to say vehicles that have police livery or markings and an unmarked fleet that does not have any identifiable markings.  The marked and unmarked policing vehicles are used for policing matters only. </w:t>
      </w:r>
    </w:p>
    <w:p w:rsidR="00D3373D" w:rsidRDefault="00D3373D" w:rsidP="00D3373D">
      <w:pPr>
        <w:pStyle w:val="Default"/>
      </w:pPr>
      <w:r w:rsidRPr="00A76BDA">
        <w:t xml:space="preserve">Please be advised that information regarding </w:t>
      </w:r>
      <w:r w:rsidRPr="009C5893">
        <w:rPr>
          <w:i/>
        </w:rPr>
        <w:t>marked</w:t>
      </w:r>
      <w:r w:rsidRPr="00BE55DE">
        <w:t xml:space="preserve"> </w:t>
      </w:r>
      <w:r>
        <w:t xml:space="preserve">vehicle fleet </w:t>
      </w:r>
      <w:r w:rsidRPr="00A76BDA">
        <w:t>is publicly available.</w:t>
      </w:r>
    </w:p>
    <w:p w:rsidR="00D3373D" w:rsidRPr="00A76BDA" w:rsidRDefault="00D3373D" w:rsidP="00D3373D">
      <w:pPr>
        <w:pStyle w:val="Default"/>
      </w:pPr>
      <w:r w:rsidRPr="00A76BDA">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D3373D" w:rsidRPr="00A76BDA" w:rsidRDefault="00D3373D" w:rsidP="00D3373D">
      <w:pPr>
        <w:pStyle w:val="Default"/>
      </w:pPr>
      <w:r w:rsidRPr="00A76BDA">
        <w:t>(a) states that it holds the information,</w:t>
      </w:r>
    </w:p>
    <w:p w:rsidR="00D3373D" w:rsidRPr="00A76BDA" w:rsidRDefault="00D3373D" w:rsidP="00D3373D">
      <w:pPr>
        <w:pStyle w:val="Default"/>
      </w:pPr>
      <w:r w:rsidRPr="00A76BDA">
        <w:t>(b) states that it is claiming an exemption,</w:t>
      </w:r>
    </w:p>
    <w:p w:rsidR="00D3373D" w:rsidRPr="00A76BDA" w:rsidRDefault="00D3373D" w:rsidP="00D3373D">
      <w:pPr>
        <w:pStyle w:val="Default"/>
      </w:pPr>
      <w:r w:rsidRPr="00A76BDA">
        <w:t>(c) specifies the exemption in question and</w:t>
      </w:r>
    </w:p>
    <w:p w:rsidR="00D3373D" w:rsidRDefault="00D3373D" w:rsidP="00D3373D">
      <w:pPr>
        <w:pStyle w:val="Default"/>
      </w:pPr>
      <w:r w:rsidRPr="00A76BDA">
        <w:t>(d) states, if that would not be otherwise apparent, why the exemption applies.</w:t>
      </w:r>
    </w:p>
    <w:p w:rsidR="00D3373D" w:rsidRPr="00DC0E3E" w:rsidRDefault="00D3373D" w:rsidP="00D3373D">
      <w:pPr>
        <w:pStyle w:val="Default"/>
      </w:pPr>
      <w:r w:rsidRPr="00DC0E3E">
        <w:lastRenderedPageBreak/>
        <w:t>I can confirm that Police Scotland holds the information that you have requested and the exemption that I consider to be applicable is set out at Section 25(1) of the Act - information otherwise accessible:</w:t>
      </w:r>
    </w:p>
    <w:p w:rsidR="00D3373D" w:rsidRPr="00DC0E3E" w:rsidRDefault="00D3373D" w:rsidP="00D3373D">
      <w:pPr>
        <w:rPr>
          <w:i/>
          <w:iCs/>
        </w:rPr>
      </w:pPr>
      <w:r w:rsidRPr="00DC0E3E">
        <w:rPr>
          <w:i/>
          <w:iCs/>
        </w:rPr>
        <w:t>“Information which the applicant can reasonably obtain other than by requesting it under Section 1(1) is exempt information”</w:t>
      </w:r>
    </w:p>
    <w:p w:rsidR="00D3373D" w:rsidRPr="00DC0E3E" w:rsidRDefault="00D3373D" w:rsidP="00D3373D">
      <w:pPr>
        <w:rPr>
          <w:color w:val="000000"/>
        </w:rPr>
      </w:pPr>
      <w:r w:rsidRPr="00DC0E3E">
        <w:rPr>
          <w:color w:val="000000"/>
        </w:rPr>
        <w:t>The information you are seeking is available on the Police Scotland website. To be of assistance please see the link below.</w:t>
      </w:r>
    </w:p>
    <w:p w:rsidR="00D3373D" w:rsidRDefault="00422417" w:rsidP="00D3373D">
      <w:pPr>
        <w:rPr>
          <w:rFonts w:eastAsia="Times New Roman"/>
          <w:b/>
        </w:rPr>
      </w:pPr>
      <w:hyperlink r:id="rId8" w:history="1">
        <w:r w:rsidR="00D3373D" w:rsidRPr="00D3373D">
          <w:rPr>
            <w:color w:val="0000FF"/>
            <w:u w:val="single"/>
          </w:rPr>
          <w:t>Fleet information - Police Scotland</w:t>
        </w:r>
      </w:hyperlink>
    </w:p>
    <w:p w:rsidR="00D3373D" w:rsidRDefault="00D3373D" w:rsidP="00D3373D">
      <w:bookmarkStart w:id="0" w:name="_Toc47425058"/>
      <w:r>
        <w:t xml:space="preserve">With respect to the </w:t>
      </w:r>
      <w:r w:rsidRPr="00DC0E3E">
        <w:rPr>
          <w:i/>
        </w:rPr>
        <w:t>unmarked</w:t>
      </w:r>
      <w:r>
        <w:t xml:space="preserve"> fleet, i</w:t>
      </w:r>
      <w:r w:rsidRPr="00A76BDA">
        <w:t xml:space="preserve">n terms of Section 16 of the Freedom of Information (Scotland) Act 2002, I am refusing to provide you with the information sought. </w:t>
      </w:r>
    </w:p>
    <w:p w:rsidR="00D3373D" w:rsidRPr="00A76BDA" w:rsidRDefault="00D3373D" w:rsidP="00D3373D">
      <w:r w:rsidRPr="00A76BDA">
        <w:t>Section 16 requires Police Scotland when refusing to provide such information because it is exempt, to provide you with a notice which:</w:t>
      </w:r>
    </w:p>
    <w:p w:rsidR="00D3373D" w:rsidRPr="00A76BDA" w:rsidRDefault="00D3373D" w:rsidP="00D3373D">
      <w:r w:rsidRPr="00A76BDA">
        <w:t>(a) states that it holds the information,</w:t>
      </w:r>
    </w:p>
    <w:p w:rsidR="00D3373D" w:rsidRPr="00A76BDA" w:rsidRDefault="00D3373D" w:rsidP="00D3373D">
      <w:r w:rsidRPr="00A76BDA">
        <w:t>(b) states that it is claiming an exemption,</w:t>
      </w:r>
    </w:p>
    <w:p w:rsidR="00D3373D" w:rsidRPr="00A76BDA" w:rsidRDefault="00D3373D" w:rsidP="00D3373D">
      <w:r w:rsidRPr="00A76BDA">
        <w:t>(c) specifies the exemption in question and</w:t>
      </w:r>
    </w:p>
    <w:p w:rsidR="00D3373D" w:rsidRPr="00A76BDA" w:rsidRDefault="00D3373D" w:rsidP="00D3373D">
      <w:r w:rsidRPr="00A76BDA">
        <w:t>(d) states, if that would not be otherwise apparent, why the exemption applies.</w:t>
      </w:r>
    </w:p>
    <w:p w:rsidR="00D3373D" w:rsidRPr="00507084" w:rsidRDefault="00D3373D" w:rsidP="00D3373D">
      <w:r w:rsidRPr="00507084">
        <w:t xml:space="preserve">I consider the following exemptions applicable. </w:t>
      </w:r>
    </w:p>
    <w:p w:rsidR="00D3373D" w:rsidRDefault="00D3373D" w:rsidP="00D3373D"/>
    <w:p w:rsidR="00D3373D" w:rsidRPr="00507084" w:rsidRDefault="00D3373D" w:rsidP="00D3373D">
      <w:r w:rsidRPr="00507084">
        <w:t>S</w:t>
      </w:r>
      <w:r>
        <w:t xml:space="preserve">ection </w:t>
      </w:r>
      <w:r w:rsidRPr="00507084">
        <w:t>35 – Law enforcement</w:t>
      </w:r>
      <w:bookmarkEnd w:id="0"/>
    </w:p>
    <w:p w:rsidR="00D3373D" w:rsidRPr="00A76BDA" w:rsidRDefault="00D3373D" w:rsidP="00D3373D">
      <w:pPr>
        <w:autoSpaceDE w:val="0"/>
        <w:autoSpaceDN w:val="0"/>
        <w:adjustRightInd w:val="0"/>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rsidR="00D3373D" w:rsidRDefault="00D3373D" w:rsidP="00D3373D">
      <w:r>
        <w:t>Disclosure of the unmarked fleet would highlight vehicle resources and capabilities.  Revealing this information would substantially weaken the effective use of vehicle resources with a corresponding risk to law enforcement and to the safety of both the public and officers.</w:t>
      </w:r>
    </w:p>
    <w:p w:rsidR="00D3373D" w:rsidRPr="00A76BDA" w:rsidRDefault="00D3373D" w:rsidP="00D3373D">
      <w:r w:rsidRPr="00A76BDA">
        <w:rPr>
          <w:color w:val="000000"/>
        </w:rPr>
        <w:t>This is a non-absolute exemption and requires the application of the public interest test.</w:t>
      </w:r>
    </w:p>
    <w:p w:rsidR="00D3373D" w:rsidRDefault="00D3373D" w:rsidP="00D3373D"/>
    <w:p w:rsidR="00D3373D" w:rsidRPr="00507084" w:rsidRDefault="00D3373D" w:rsidP="00D3373D">
      <w:r w:rsidRPr="00507084">
        <w:t>Section 39(1) – Health, safety and the environment</w:t>
      </w:r>
    </w:p>
    <w:p w:rsidR="00D3373D" w:rsidRDefault="00D3373D" w:rsidP="00D3373D">
      <w:r>
        <w:lastRenderedPageBreak/>
        <w:t xml:space="preserve">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w:t>
      </w:r>
    </w:p>
    <w:p w:rsidR="00D3373D" w:rsidRDefault="00D3373D" w:rsidP="00D3373D">
      <w:r>
        <w:t xml:space="preserve">This is a non-absolute exemption and requires the application of the public interest test. </w:t>
      </w:r>
    </w:p>
    <w:p w:rsidR="00D3373D" w:rsidRDefault="00D3373D" w:rsidP="00D3373D">
      <w:pPr>
        <w:rPr>
          <w:b/>
          <w:u w:val="single"/>
        </w:rPr>
      </w:pPr>
    </w:p>
    <w:p w:rsidR="00D3373D" w:rsidRPr="00507084" w:rsidRDefault="00D3373D" w:rsidP="00D3373D">
      <w:r w:rsidRPr="00507084">
        <w:t xml:space="preserve">Public Interest Test </w:t>
      </w:r>
    </w:p>
    <w:p w:rsidR="00D3373D" w:rsidRDefault="00D3373D" w:rsidP="00D3373D">
      <w:r>
        <w:t xml:space="preserve">I recognise that public awareness would favour a disclosure as it would contribute to the public debate surrounding the overall nature of vehicle resources available for deployment by the Police. </w:t>
      </w:r>
    </w:p>
    <w:p w:rsidR="00D3373D" w:rsidRDefault="00D3373D" w:rsidP="00D3373D">
      <w:r>
        <w:t xml:space="preserve">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rsidR="00422417" w:rsidRDefault="003A72CB" w:rsidP="00927C5F">
      <w:pPr>
        <w:rPr>
          <w:rFonts w:eastAsia="Times New Roman"/>
        </w:rPr>
      </w:pPr>
      <w:r w:rsidRPr="00127CED">
        <w:rPr>
          <w:rFonts w:eastAsia="Times New Roman"/>
        </w:rPr>
        <w:br/>
      </w:r>
      <w:r w:rsidRPr="008815A8">
        <w:rPr>
          <w:rStyle w:val="Heading2Char"/>
        </w:rPr>
        <w:t xml:space="preserve">5) does the organisation mileage scheme clearly state the claim rate for cycling </w:t>
      </w:r>
      <w:r w:rsidRPr="008815A8">
        <w:rPr>
          <w:rStyle w:val="Heading2Char"/>
        </w:rPr>
        <w:br/>
      </w:r>
      <w:r w:rsidRPr="008815A8">
        <w:rPr>
          <w:rStyle w:val="Heading2Char"/>
        </w:rPr>
        <w:br/>
        <w:t>6) how many cycling miles have been claimed by the organisation's staff in the past five years</w:t>
      </w:r>
      <w:r w:rsidRPr="00127CED">
        <w:rPr>
          <w:rFonts w:eastAsia="Times New Roman"/>
        </w:rPr>
        <w:t xml:space="preserve"> </w:t>
      </w:r>
    </w:p>
    <w:p w:rsidR="00422417" w:rsidRPr="00A76BDA" w:rsidRDefault="00422417" w:rsidP="00422417">
      <w:pPr>
        <w:rPr>
          <w:color w:val="000000"/>
        </w:rPr>
      </w:pPr>
      <w:r>
        <w:rPr>
          <w:color w:val="000000"/>
        </w:rPr>
        <w:t xml:space="preserve">In response to questions 5 and 6 I must respond in </w:t>
      </w:r>
      <w:r w:rsidRPr="00A76BDA">
        <w:rPr>
          <w:color w:val="000000"/>
        </w:rPr>
        <w:t>terms of Section 17 of the Act, I can confirm that the information you seek is not held by Police Scotland.</w:t>
      </w:r>
    </w:p>
    <w:p w:rsidR="00422417" w:rsidRDefault="00422417" w:rsidP="00927C5F">
      <w:pPr>
        <w:rPr>
          <w:rFonts w:eastAsia="Times New Roman"/>
        </w:rPr>
      </w:pPr>
      <w:r>
        <w:rPr>
          <w:rFonts w:eastAsia="Times New Roman"/>
        </w:rPr>
        <w:t xml:space="preserve">By way of explanation, the cycle to work scheme is managed by an external company who may collate the information requested. </w:t>
      </w:r>
    </w:p>
    <w:p w:rsidR="00E37182" w:rsidRDefault="003A72CB" w:rsidP="00927C5F">
      <w:pPr>
        <w:rPr>
          <w:rFonts w:eastAsia="Times New Roman"/>
        </w:rPr>
      </w:pPr>
      <w:bookmarkStart w:id="1" w:name="_GoBack"/>
      <w:bookmarkEnd w:id="1"/>
      <w:r w:rsidRPr="00127CED">
        <w:rPr>
          <w:rFonts w:eastAsia="Times New Roman"/>
        </w:rPr>
        <w:br/>
      </w:r>
      <w:r w:rsidRPr="00D3373D">
        <w:rPr>
          <w:rStyle w:val="Heading2Char"/>
        </w:rPr>
        <w:t xml:space="preserve">7) Regarding your current cycle to work scheme - </w:t>
      </w:r>
      <w:r w:rsidRPr="00D3373D">
        <w:rPr>
          <w:rStyle w:val="Heading2Char"/>
        </w:rPr>
        <w:br/>
        <w:t>a) what scheme is currently in place</w:t>
      </w:r>
      <w:r w:rsidRPr="00127CED">
        <w:rPr>
          <w:rFonts w:eastAsia="Times New Roman"/>
        </w:rPr>
        <w:t xml:space="preserve"> </w:t>
      </w:r>
    </w:p>
    <w:p w:rsidR="00E37182" w:rsidRDefault="00E37182" w:rsidP="00E37182">
      <w:pPr>
        <w:rPr>
          <w:rFonts w:eastAsia="Times New Roman"/>
        </w:rPr>
      </w:pPr>
      <w:r w:rsidRPr="00E37182">
        <w:t>Police Scotland use a salary sacrifice scheme.</w:t>
      </w:r>
      <w:r>
        <w:rPr>
          <w:rFonts w:eastAsia="Times New Roman"/>
        </w:rPr>
        <w:t xml:space="preserve"> </w:t>
      </w:r>
    </w:p>
    <w:p w:rsidR="00BF6B81" w:rsidRDefault="003A72CB" w:rsidP="00127CED">
      <w:pPr>
        <w:pStyle w:val="Heading2"/>
        <w:rPr>
          <w:rFonts w:eastAsia="Times New Roman"/>
        </w:rPr>
      </w:pPr>
      <w:r w:rsidRPr="00127CED">
        <w:rPr>
          <w:rFonts w:eastAsia="Times New Roman"/>
        </w:rPr>
        <w:t>b) what is the maximum limit on the cost of a bike, if a limit is currently in place</w:t>
      </w:r>
    </w:p>
    <w:p w:rsidR="004C1138" w:rsidRPr="004C1138" w:rsidRDefault="004C1138" w:rsidP="004C1138">
      <w:r>
        <w:t xml:space="preserve">The maximum limit </w:t>
      </w:r>
      <w:r w:rsidR="00A563E8">
        <w:t>is £3000.00.</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41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D2E7E"/>
    <w:multiLevelType w:val="hybridMultilevel"/>
    <w:tmpl w:val="64A8D9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65B4"/>
    <w:rsid w:val="0001629C"/>
    <w:rsid w:val="00090F3B"/>
    <w:rsid w:val="000D6079"/>
    <w:rsid w:val="000E3F03"/>
    <w:rsid w:val="000E6526"/>
    <w:rsid w:val="00127CED"/>
    <w:rsid w:val="00140CC6"/>
    <w:rsid w:val="00141533"/>
    <w:rsid w:val="00167528"/>
    <w:rsid w:val="00173DF0"/>
    <w:rsid w:val="00195CC4"/>
    <w:rsid w:val="00207326"/>
    <w:rsid w:val="00253DF6"/>
    <w:rsid w:val="00255F1E"/>
    <w:rsid w:val="0036503B"/>
    <w:rsid w:val="003A72CB"/>
    <w:rsid w:val="003D6D03"/>
    <w:rsid w:val="003E12CA"/>
    <w:rsid w:val="004010DC"/>
    <w:rsid w:val="00422417"/>
    <w:rsid w:val="004341F0"/>
    <w:rsid w:val="00456324"/>
    <w:rsid w:val="00475460"/>
    <w:rsid w:val="00490317"/>
    <w:rsid w:val="00490CE0"/>
    <w:rsid w:val="00491644"/>
    <w:rsid w:val="00496A08"/>
    <w:rsid w:val="004C1138"/>
    <w:rsid w:val="004E1605"/>
    <w:rsid w:val="004F653C"/>
    <w:rsid w:val="00540A52"/>
    <w:rsid w:val="00557306"/>
    <w:rsid w:val="005B3972"/>
    <w:rsid w:val="006D5799"/>
    <w:rsid w:val="00750D83"/>
    <w:rsid w:val="00793DD5"/>
    <w:rsid w:val="007D55F6"/>
    <w:rsid w:val="007F490F"/>
    <w:rsid w:val="00815D6B"/>
    <w:rsid w:val="0086779C"/>
    <w:rsid w:val="00874BFD"/>
    <w:rsid w:val="008815A8"/>
    <w:rsid w:val="008964EF"/>
    <w:rsid w:val="00927C5F"/>
    <w:rsid w:val="009631A4"/>
    <w:rsid w:val="00977296"/>
    <w:rsid w:val="00A25E93"/>
    <w:rsid w:val="00A320FF"/>
    <w:rsid w:val="00A563E8"/>
    <w:rsid w:val="00A70AC0"/>
    <w:rsid w:val="00A84EA9"/>
    <w:rsid w:val="00AC443C"/>
    <w:rsid w:val="00B11A55"/>
    <w:rsid w:val="00B17211"/>
    <w:rsid w:val="00B461B2"/>
    <w:rsid w:val="00B71B3C"/>
    <w:rsid w:val="00BC389E"/>
    <w:rsid w:val="00BE1888"/>
    <w:rsid w:val="00BF6B81"/>
    <w:rsid w:val="00C077A8"/>
    <w:rsid w:val="00C33D5A"/>
    <w:rsid w:val="00C606A2"/>
    <w:rsid w:val="00C63872"/>
    <w:rsid w:val="00C715A9"/>
    <w:rsid w:val="00C84948"/>
    <w:rsid w:val="00CF1111"/>
    <w:rsid w:val="00D05706"/>
    <w:rsid w:val="00D27DC5"/>
    <w:rsid w:val="00D3373D"/>
    <w:rsid w:val="00D47E36"/>
    <w:rsid w:val="00E13F30"/>
    <w:rsid w:val="00E37182"/>
    <w:rsid w:val="00E55D79"/>
    <w:rsid w:val="00EF4761"/>
    <w:rsid w:val="00FC2DA7"/>
    <w:rsid w:val="00FE342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5825">
      <w:bodyDiv w:val="1"/>
      <w:marLeft w:val="0"/>
      <w:marRight w:val="0"/>
      <w:marTop w:val="0"/>
      <w:marBottom w:val="0"/>
      <w:divBdr>
        <w:top w:val="none" w:sz="0" w:space="0" w:color="auto"/>
        <w:left w:val="none" w:sz="0" w:space="0" w:color="auto"/>
        <w:bottom w:val="none" w:sz="0" w:space="0" w:color="auto"/>
        <w:right w:val="none" w:sz="0" w:space="0" w:color="auto"/>
      </w:divBdr>
    </w:div>
    <w:div w:id="15935082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1452</Words>
  <Characters>8277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