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4C568E6" w:rsidR="00B17211" w:rsidRPr="00B17211" w:rsidRDefault="00B17211" w:rsidP="007F490F">
            <w:r w:rsidRPr="007F490F">
              <w:rPr>
                <w:rStyle w:val="Heading2Char"/>
              </w:rPr>
              <w:t>Our reference:</w:t>
            </w:r>
            <w:r>
              <w:t xml:space="preserve">  FOI 2</w:t>
            </w:r>
            <w:r w:rsidR="00EF0FBB">
              <w:t>5</w:t>
            </w:r>
            <w:r>
              <w:t>-</w:t>
            </w:r>
            <w:r w:rsidR="00710F29">
              <w:t>0117</w:t>
            </w:r>
          </w:p>
          <w:p w14:paraId="34BDABA6" w14:textId="62C66BF9" w:rsidR="00B17211" w:rsidRDefault="00456324" w:rsidP="00EE2373">
            <w:r w:rsidRPr="007F490F">
              <w:rPr>
                <w:rStyle w:val="Heading2Char"/>
              </w:rPr>
              <w:t>Respon</w:t>
            </w:r>
            <w:r w:rsidR="007D55F6">
              <w:rPr>
                <w:rStyle w:val="Heading2Char"/>
              </w:rPr>
              <w:t>ded to:</w:t>
            </w:r>
            <w:r w:rsidR="007F490F">
              <w:t xml:space="preserve">  </w:t>
            </w:r>
            <w:r w:rsidR="00B913E3">
              <w:t>07</w:t>
            </w:r>
            <w:r w:rsidR="006D5799">
              <w:t xml:space="preserve"> </w:t>
            </w:r>
            <w:r w:rsidR="00636B5D">
              <w:t>February</w:t>
            </w:r>
            <w:r>
              <w:t xml:space="preserve"> 202</w:t>
            </w:r>
            <w:r w:rsidR="00EF0FBB">
              <w:t>5</w:t>
            </w:r>
          </w:p>
        </w:tc>
      </w:tr>
    </w:tbl>
    <w:p w14:paraId="3CAA533C" w14:textId="77777777" w:rsidR="00710F29" w:rsidRPr="00710F29" w:rsidRDefault="00710F29" w:rsidP="00710F29">
      <w:r w:rsidRPr="00710F29">
        <w:t>Your original correspondence has been split into several individual requests due to wide scope and variety of subject matter therein.  The remainder of your request will be answered separately.</w:t>
      </w:r>
    </w:p>
    <w:p w14:paraId="34BDABA8" w14:textId="1DCA1FBB"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B039AF6" w14:textId="77777777" w:rsidR="00710F29" w:rsidRPr="00710F29" w:rsidRDefault="00710F29" w:rsidP="00710F29">
      <w:pPr>
        <w:tabs>
          <w:tab w:val="left" w:pos="5400"/>
        </w:tabs>
        <w:rPr>
          <w:rFonts w:eastAsiaTheme="majorEastAsia" w:cstheme="majorBidi"/>
          <w:b/>
          <w:bCs/>
          <w:color w:val="000000" w:themeColor="text1"/>
          <w:szCs w:val="26"/>
          <w:lang w:val="en-US"/>
        </w:rPr>
      </w:pPr>
      <w:r w:rsidRPr="00710F29">
        <w:rPr>
          <w:rFonts w:eastAsiaTheme="majorEastAsia" w:cstheme="majorBidi"/>
          <w:b/>
          <w:bCs/>
          <w:color w:val="000000" w:themeColor="text1"/>
          <w:szCs w:val="26"/>
          <w:lang w:val="en-US"/>
        </w:rPr>
        <w:t>Recruitment and retention</w:t>
      </w:r>
    </w:p>
    <w:p w14:paraId="145C9B46" w14:textId="77777777" w:rsidR="00710F29" w:rsidRPr="00710F29" w:rsidRDefault="00710F29" w:rsidP="00710F29">
      <w:pPr>
        <w:tabs>
          <w:tab w:val="left" w:pos="5400"/>
        </w:tabs>
        <w:rPr>
          <w:rFonts w:eastAsiaTheme="majorEastAsia" w:cstheme="majorBidi"/>
          <w:b/>
          <w:color w:val="000000" w:themeColor="text1"/>
          <w:szCs w:val="26"/>
          <w:lang w:val="en-US"/>
        </w:rPr>
      </w:pPr>
      <w:r w:rsidRPr="00710F29">
        <w:rPr>
          <w:rFonts w:eastAsiaTheme="majorEastAsia" w:cstheme="majorBidi"/>
          <w:b/>
          <w:color w:val="000000" w:themeColor="text1"/>
          <w:szCs w:val="26"/>
          <w:lang w:val="en-US"/>
        </w:rPr>
        <w:t>For each of the years 2019, 2020, 2021, 2022, 2023</w:t>
      </w:r>
    </w:p>
    <w:p w14:paraId="3FBD7FFB" w14:textId="77777777" w:rsidR="00710F29" w:rsidRDefault="00710F29" w:rsidP="00710F29">
      <w:pPr>
        <w:numPr>
          <w:ilvl w:val="0"/>
          <w:numId w:val="2"/>
        </w:numPr>
        <w:tabs>
          <w:tab w:val="left" w:pos="5400"/>
        </w:tabs>
        <w:rPr>
          <w:rFonts w:eastAsiaTheme="majorEastAsia" w:cstheme="majorBidi"/>
          <w:b/>
          <w:color w:val="000000" w:themeColor="text1"/>
          <w:szCs w:val="26"/>
          <w:lang w:val="en-US"/>
        </w:rPr>
      </w:pPr>
      <w:r w:rsidRPr="00710F29">
        <w:rPr>
          <w:rFonts w:eastAsiaTheme="majorEastAsia" w:cstheme="majorBidi"/>
          <w:b/>
          <w:color w:val="000000" w:themeColor="text1"/>
          <w:szCs w:val="26"/>
          <w:lang w:val="en-US"/>
        </w:rPr>
        <w:t>Total number of police officers recruited as student officers each year</w:t>
      </w:r>
    </w:p>
    <w:p w14:paraId="2B5F7159" w14:textId="4438FA8D" w:rsidR="00271168" w:rsidRPr="00271168" w:rsidRDefault="00271168" w:rsidP="00271168">
      <w:pPr>
        <w:rPr>
          <w:color w:val="000000"/>
        </w:rPr>
      </w:pPr>
      <w:r w:rsidRPr="00271168">
        <w:rPr>
          <w:color w:val="000000"/>
        </w:rPr>
        <w:t>The data for recruits includes anyone who was recruited at rank of PC and can include new officers, transferees and rejoiners. For each of these entry types, it is possible that an officer will have to undertake a period of probationer training as a student.  If first entry to the force, probationer training is currently 16 weeks followed by a probationary period.  If the recruit is a transferee, a 3-week training course is required and no probationary period.  A rejoiner will be evaluated on case-by-case basis to assess training needs and are also not subject to a probationary period.</w:t>
      </w:r>
    </w:p>
    <w:p w14:paraId="75B4C74A" w14:textId="74C97472" w:rsidR="00EB64C5" w:rsidRPr="00627A70" w:rsidRDefault="00EB64C5" w:rsidP="00EB64C5">
      <w:pPr>
        <w:rPr>
          <w:b/>
          <w:bCs/>
        </w:rPr>
      </w:pPr>
      <w:r w:rsidRPr="00627A70">
        <w:rPr>
          <w:b/>
          <w:bCs/>
        </w:rPr>
        <w:t xml:space="preserve">Table 1: Officers </w:t>
      </w:r>
      <w:r>
        <w:rPr>
          <w:b/>
          <w:bCs/>
        </w:rPr>
        <w:t>–</w:t>
      </w:r>
      <w:r w:rsidRPr="00627A70">
        <w:rPr>
          <w:b/>
          <w:bCs/>
        </w:rPr>
        <w:t xml:space="preserve"> recruited</w:t>
      </w:r>
      <w:r>
        <w:rPr>
          <w:b/>
          <w:bCs/>
        </w:rPr>
        <w:t xml:space="preserve"> as student officers.</w:t>
      </w:r>
    </w:p>
    <w:p w14:paraId="334E4DA2" w14:textId="77777777" w:rsidR="00EB64C5" w:rsidRPr="00627A70" w:rsidRDefault="00EB64C5" w:rsidP="00EB64C5">
      <w:r w:rsidRPr="00627A70">
        <w:t>Period: Calendar year</w:t>
      </w:r>
    </w:p>
    <w:tbl>
      <w:tblPr>
        <w:tblStyle w:val="TableGrid"/>
        <w:tblW w:w="4957" w:type="dxa"/>
        <w:tblLook w:val="04A0" w:firstRow="1" w:lastRow="0" w:firstColumn="1" w:lastColumn="0" w:noHBand="0" w:noVBand="1"/>
        <w:tblCaption w:val="Example table"/>
        <w:tblDescription w:val="Example table"/>
      </w:tblPr>
      <w:tblGrid>
        <w:gridCol w:w="2122"/>
        <w:gridCol w:w="2835"/>
      </w:tblGrid>
      <w:tr w:rsidR="00710F29" w:rsidRPr="00557306" w14:paraId="3E12708F" w14:textId="77777777" w:rsidTr="00710F29">
        <w:trPr>
          <w:tblHeader/>
        </w:trPr>
        <w:tc>
          <w:tcPr>
            <w:tcW w:w="2122" w:type="dxa"/>
            <w:shd w:val="clear" w:color="auto" w:fill="D9D9D9" w:themeFill="background1" w:themeFillShade="D9"/>
          </w:tcPr>
          <w:p w14:paraId="09E2136F" w14:textId="4ABBF5D2" w:rsidR="00710F29" w:rsidRPr="00557306" w:rsidRDefault="00710F29" w:rsidP="00377CCB">
            <w:pPr>
              <w:spacing w:line="240" w:lineRule="auto"/>
              <w:rPr>
                <w:b/>
              </w:rPr>
            </w:pPr>
            <w:r>
              <w:rPr>
                <w:b/>
              </w:rPr>
              <w:t>Calendar Year</w:t>
            </w:r>
          </w:p>
        </w:tc>
        <w:tc>
          <w:tcPr>
            <w:tcW w:w="2835" w:type="dxa"/>
            <w:shd w:val="clear" w:color="auto" w:fill="D9D9D9" w:themeFill="background1" w:themeFillShade="D9"/>
          </w:tcPr>
          <w:p w14:paraId="411031F0" w14:textId="5BB066A6" w:rsidR="00710F29" w:rsidRPr="00557306" w:rsidRDefault="00710F29" w:rsidP="00377CCB">
            <w:pPr>
              <w:spacing w:line="240" w:lineRule="auto"/>
              <w:rPr>
                <w:b/>
              </w:rPr>
            </w:pPr>
            <w:r>
              <w:rPr>
                <w:b/>
              </w:rPr>
              <w:t>Headcount of Recruits</w:t>
            </w:r>
            <w:r w:rsidRPr="00557306">
              <w:rPr>
                <w:b/>
              </w:rPr>
              <w:t xml:space="preserve"> </w:t>
            </w:r>
          </w:p>
        </w:tc>
      </w:tr>
      <w:tr w:rsidR="00710F29" w14:paraId="54EBD1EB" w14:textId="77777777" w:rsidTr="00710F29">
        <w:tc>
          <w:tcPr>
            <w:tcW w:w="2122" w:type="dxa"/>
          </w:tcPr>
          <w:p w14:paraId="6474E55B" w14:textId="120C2047" w:rsidR="00710F29" w:rsidRDefault="00710F29" w:rsidP="00377CCB">
            <w:pPr>
              <w:tabs>
                <w:tab w:val="left" w:pos="5400"/>
              </w:tabs>
              <w:spacing w:line="240" w:lineRule="auto"/>
            </w:pPr>
            <w:r>
              <w:t>2019</w:t>
            </w:r>
          </w:p>
        </w:tc>
        <w:tc>
          <w:tcPr>
            <w:tcW w:w="2835" w:type="dxa"/>
          </w:tcPr>
          <w:p w14:paraId="738FB1DE" w14:textId="29C6F9A4" w:rsidR="00710F29" w:rsidRDefault="00710F29" w:rsidP="00377CCB">
            <w:pPr>
              <w:tabs>
                <w:tab w:val="left" w:pos="5400"/>
              </w:tabs>
              <w:spacing w:line="240" w:lineRule="auto"/>
            </w:pPr>
            <w:r>
              <w:t>958</w:t>
            </w:r>
          </w:p>
        </w:tc>
      </w:tr>
      <w:tr w:rsidR="00710F29" w14:paraId="51877B41" w14:textId="77777777" w:rsidTr="00710F29">
        <w:tc>
          <w:tcPr>
            <w:tcW w:w="2122" w:type="dxa"/>
          </w:tcPr>
          <w:p w14:paraId="71CB0B17" w14:textId="7B603A44" w:rsidR="00710F29" w:rsidRDefault="00710F29" w:rsidP="00377CCB">
            <w:pPr>
              <w:tabs>
                <w:tab w:val="left" w:pos="5400"/>
              </w:tabs>
              <w:spacing w:line="240" w:lineRule="auto"/>
            </w:pPr>
            <w:r>
              <w:t xml:space="preserve">2020 </w:t>
            </w:r>
          </w:p>
        </w:tc>
        <w:tc>
          <w:tcPr>
            <w:tcW w:w="2835" w:type="dxa"/>
          </w:tcPr>
          <w:p w14:paraId="15755696" w14:textId="5DA30C9C" w:rsidR="00710F29" w:rsidRDefault="00710F29" w:rsidP="00377CCB">
            <w:pPr>
              <w:tabs>
                <w:tab w:val="left" w:pos="5400"/>
              </w:tabs>
              <w:spacing w:line="240" w:lineRule="auto"/>
            </w:pPr>
            <w:r>
              <w:t>611</w:t>
            </w:r>
          </w:p>
        </w:tc>
      </w:tr>
      <w:tr w:rsidR="00710F29" w14:paraId="786400CE" w14:textId="77777777" w:rsidTr="00710F29">
        <w:tc>
          <w:tcPr>
            <w:tcW w:w="2122" w:type="dxa"/>
          </w:tcPr>
          <w:p w14:paraId="55904062" w14:textId="6148C91B" w:rsidR="00710F29" w:rsidRDefault="00710F29" w:rsidP="00377CCB">
            <w:pPr>
              <w:tabs>
                <w:tab w:val="left" w:pos="5400"/>
              </w:tabs>
              <w:spacing w:line="240" w:lineRule="auto"/>
            </w:pPr>
            <w:r>
              <w:t>2021</w:t>
            </w:r>
          </w:p>
        </w:tc>
        <w:tc>
          <w:tcPr>
            <w:tcW w:w="2835" w:type="dxa"/>
          </w:tcPr>
          <w:p w14:paraId="1A02CC4A" w14:textId="7C3539B0" w:rsidR="00710F29" w:rsidRDefault="00710F29" w:rsidP="00377CCB">
            <w:pPr>
              <w:tabs>
                <w:tab w:val="left" w:pos="5400"/>
              </w:tabs>
              <w:spacing w:line="240" w:lineRule="auto"/>
            </w:pPr>
            <w:r>
              <w:t>623</w:t>
            </w:r>
          </w:p>
        </w:tc>
      </w:tr>
      <w:tr w:rsidR="00710F29" w14:paraId="762A12D7" w14:textId="77777777" w:rsidTr="00710F29">
        <w:tc>
          <w:tcPr>
            <w:tcW w:w="2122" w:type="dxa"/>
          </w:tcPr>
          <w:p w14:paraId="2F7FDB71" w14:textId="5E57DB13" w:rsidR="00710F29" w:rsidRDefault="00710F29" w:rsidP="00377CCB">
            <w:pPr>
              <w:tabs>
                <w:tab w:val="left" w:pos="5400"/>
              </w:tabs>
              <w:spacing w:line="240" w:lineRule="auto"/>
            </w:pPr>
            <w:r>
              <w:t xml:space="preserve">2022 </w:t>
            </w:r>
          </w:p>
        </w:tc>
        <w:tc>
          <w:tcPr>
            <w:tcW w:w="2835" w:type="dxa"/>
          </w:tcPr>
          <w:p w14:paraId="57125A96" w14:textId="7692B0BD" w:rsidR="00710F29" w:rsidRDefault="00710F29" w:rsidP="00377CCB">
            <w:pPr>
              <w:tabs>
                <w:tab w:val="left" w:pos="5400"/>
              </w:tabs>
              <w:spacing w:line="240" w:lineRule="auto"/>
            </w:pPr>
            <w:r>
              <w:t>910</w:t>
            </w:r>
          </w:p>
        </w:tc>
      </w:tr>
      <w:tr w:rsidR="00710F29" w14:paraId="54CBF4FE" w14:textId="77777777" w:rsidTr="00710F29">
        <w:tc>
          <w:tcPr>
            <w:tcW w:w="2122" w:type="dxa"/>
          </w:tcPr>
          <w:p w14:paraId="4721C6F4" w14:textId="1EE20D09" w:rsidR="00710F29" w:rsidRDefault="00710F29" w:rsidP="00377CCB">
            <w:pPr>
              <w:tabs>
                <w:tab w:val="left" w:pos="5400"/>
              </w:tabs>
              <w:spacing w:line="240" w:lineRule="auto"/>
            </w:pPr>
            <w:r>
              <w:t xml:space="preserve">2023 </w:t>
            </w:r>
          </w:p>
        </w:tc>
        <w:tc>
          <w:tcPr>
            <w:tcW w:w="2835" w:type="dxa"/>
          </w:tcPr>
          <w:p w14:paraId="75DA5A6D" w14:textId="0535532A" w:rsidR="00710F29" w:rsidRDefault="00710F29" w:rsidP="00377CCB">
            <w:pPr>
              <w:tabs>
                <w:tab w:val="left" w:pos="5400"/>
              </w:tabs>
              <w:spacing w:line="240" w:lineRule="auto"/>
            </w:pPr>
            <w:r>
              <w:t>598</w:t>
            </w:r>
          </w:p>
        </w:tc>
      </w:tr>
    </w:tbl>
    <w:p w14:paraId="459896E8" w14:textId="77777777" w:rsidR="00710F29" w:rsidRPr="00710F29" w:rsidRDefault="00710F29" w:rsidP="00710F29">
      <w:pPr>
        <w:tabs>
          <w:tab w:val="left" w:pos="5400"/>
        </w:tabs>
        <w:ind w:left="1440"/>
        <w:rPr>
          <w:rFonts w:eastAsiaTheme="majorEastAsia" w:cstheme="majorBidi"/>
          <w:b/>
          <w:color w:val="000000" w:themeColor="text1"/>
          <w:szCs w:val="26"/>
          <w:lang w:val="en-US"/>
        </w:rPr>
      </w:pPr>
    </w:p>
    <w:p w14:paraId="41A152D4" w14:textId="77777777" w:rsidR="00271168" w:rsidRDefault="00710F29" w:rsidP="00271168">
      <w:pPr>
        <w:numPr>
          <w:ilvl w:val="0"/>
          <w:numId w:val="2"/>
        </w:numPr>
        <w:tabs>
          <w:tab w:val="left" w:pos="5400"/>
        </w:tabs>
        <w:rPr>
          <w:rFonts w:eastAsiaTheme="majorEastAsia" w:cstheme="majorBidi"/>
          <w:b/>
          <w:color w:val="000000" w:themeColor="text1"/>
          <w:szCs w:val="26"/>
          <w:lang w:val="en-US"/>
        </w:rPr>
      </w:pPr>
      <w:r w:rsidRPr="00710F29">
        <w:rPr>
          <w:rFonts w:eastAsiaTheme="majorEastAsia" w:cstheme="majorBidi"/>
          <w:b/>
          <w:color w:val="000000" w:themeColor="text1"/>
          <w:szCs w:val="26"/>
          <w:lang w:val="en-US"/>
        </w:rPr>
        <w:lastRenderedPageBreak/>
        <w:t>Total number of resignations/dismissals from those recruited in the first 24 months of service</w:t>
      </w:r>
    </w:p>
    <w:p w14:paraId="4B439613" w14:textId="45FE2369" w:rsidR="00271168" w:rsidRPr="00271168" w:rsidRDefault="00271168" w:rsidP="00271168">
      <w:pPr>
        <w:tabs>
          <w:tab w:val="left" w:pos="5400"/>
        </w:tabs>
        <w:rPr>
          <w:rFonts w:eastAsiaTheme="majorEastAsia" w:cstheme="majorBidi"/>
          <w:b/>
          <w:color w:val="000000" w:themeColor="text1"/>
          <w:szCs w:val="26"/>
          <w:lang w:val="en-US"/>
        </w:rPr>
      </w:pPr>
      <w:r w:rsidRPr="00271168">
        <w:rPr>
          <w:color w:val="000000"/>
        </w:rPr>
        <w:t>The recruit data has been cross referenced with leavers data to provide a headcount figure for the number of recruits at ‘i’ who left due to resignation or dismissal within 24 months or less from their start date.  Data at ‘ii’ is presented based on the year of start date, eg. 49 out of 958 left within 24 months or less.</w:t>
      </w:r>
    </w:p>
    <w:p w14:paraId="6D63B569" w14:textId="14EB39F6" w:rsidR="00EB64C5" w:rsidRPr="00627A70" w:rsidRDefault="00EB64C5" w:rsidP="0098231D">
      <w:pPr>
        <w:rPr>
          <w:b/>
          <w:bCs/>
        </w:rPr>
      </w:pPr>
      <w:r w:rsidRPr="00627A70">
        <w:rPr>
          <w:b/>
          <w:bCs/>
        </w:rPr>
        <w:t xml:space="preserve">Table 1: Officers </w:t>
      </w:r>
      <w:r>
        <w:rPr>
          <w:b/>
          <w:bCs/>
        </w:rPr>
        <w:t xml:space="preserve">– </w:t>
      </w:r>
      <w:r w:rsidRPr="00627A70">
        <w:rPr>
          <w:b/>
          <w:bCs/>
        </w:rPr>
        <w:t>resigned</w:t>
      </w:r>
      <w:r>
        <w:rPr>
          <w:b/>
          <w:bCs/>
        </w:rPr>
        <w:t>/dismissed within the 24 months since start date.</w:t>
      </w:r>
    </w:p>
    <w:p w14:paraId="25337555" w14:textId="77777777" w:rsidR="00EB64C5" w:rsidRPr="00627A70" w:rsidRDefault="00EB64C5" w:rsidP="00EB64C5">
      <w:r w:rsidRPr="00627A70">
        <w:t>Period: Calendar year</w:t>
      </w:r>
    </w:p>
    <w:tbl>
      <w:tblPr>
        <w:tblStyle w:val="TableGrid"/>
        <w:tblW w:w="4957" w:type="dxa"/>
        <w:tblLook w:val="04A0" w:firstRow="1" w:lastRow="0" w:firstColumn="1" w:lastColumn="0" w:noHBand="0" w:noVBand="1"/>
      </w:tblPr>
      <w:tblGrid>
        <w:gridCol w:w="2122"/>
        <w:gridCol w:w="2835"/>
      </w:tblGrid>
      <w:tr w:rsidR="00710F29" w:rsidRPr="00557306" w14:paraId="1B145D44" w14:textId="77777777" w:rsidTr="003A0687">
        <w:trPr>
          <w:tblHeader/>
        </w:trPr>
        <w:tc>
          <w:tcPr>
            <w:tcW w:w="2122" w:type="dxa"/>
            <w:shd w:val="clear" w:color="auto" w:fill="D9D9D9" w:themeFill="background1" w:themeFillShade="D9"/>
          </w:tcPr>
          <w:p w14:paraId="7C279711" w14:textId="5A9B6EB1" w:rsidR="00710F29" w:rsidRPr="00557306" w:rsidRDefault="00710F29" w:rsidP="00377CCB">
            <w:pPr>
              <w:spacing w:line="240" w:lineRule="auto"/>
              <w:rPr>
                <w:b/>
              </w:rPr>
            </w:pPr>
            <w:r>
              <w:rPr>
                <w:b/>
              </w:rPr>
              <w:t>Calendar Year</w:t>
            </w:r>
          </w:p>
        </w:tc>
        <w:tc>
          <w:tcPr>
            <w:tcW w:w="2835" w:type="dxa"/>
            <w:shd w:val="clear" w:color="auto" w:fill="D9D9D9" w:themeFill="background1" w:themeFillShade="D9"/>
          </w:tcPr>
          <w:p w14:paraId="15DB59E5" w14:textId="53AA2648" w:rsidR="00710F29" w:rsidRPr="00557306" w:rsidRDefault="00710F29" w:rsidP="00377CCB">
            <w:pPr>
              <w:spacing w:line="240" w:lineRule="auto"/>
              <w:rPr>
                <w:b/>
              </w:rPr>
            </w:pPr>
            <w:r>
              <w:rPr>
                <w:b/>
              </w:rPr>
              <w:t>Headcount of Leavers</w:t>
            </w:r>
          </w:p>
        </w:tc>
      </w:tr>
      <w:tr w:rsidR="00710F29" w14:paraId="4DE09DBF" w14:textId="77777777" w:rsidTr="003A0687">
        <w:tc>
          <w:tcPr>
            <w:tcW w:w="2122" w:type="dxa"/>
          </w:tcPr>
          <w:p w14:paraId="774AC095" w14:textId="77777777" w:rsidR="00710F29" w:rsidRDefault="00710F29" w:rsidP="00377CCB">
            <w:pPr>
              <w:tabs>
                <w:tab w:val="left" w:pos="5400"/>
              </w:tabs>
              <w:spacing w:line="240" w:lineRule="auto"/>
            </w:pPr>
            <w:r>
              <w:t>2019</w:t>
            </w:r>
          </w:p>
        </w:tc>
        <w:tc>
          <w:tcPr>
            <w:tcW w:w="2835" w:type="dxa"/>
          </w:tcPr>
          <w:p w14:paraId="09CB0DE4" w14:textId="79979758" w:rsidR="00710F29" w:rsidRDefault="00EB64C5" w:rsidP="00377CCB">
            <w:pPr>
              <w:tabs>
                <w:tab w:val="left" w:pos="5400"/>
              </w:tabs>
              <w:spacing w:line="240" w:lineRule="auto"/>
            </w:pPr>
            <w:r>
              <w:t>49</w:t>
            </w:r>
          </w:p>
        </w:tc>
      </w:tr>
      <w:tr w:rsidR="00710F29" w14:paraId="4AB21190" w14:textId="77777777" w:rsidTr="003A0687">
        <w:tc>
          <w:tcPr>
            <w:tcW w:w="2122" w:type="dxa"/>
          </w:tcPr>
          <w:p w14:paraId="3D1091E3" w14:textId="77777777" w:rsidR="00710F29" w:rsidRDefault="00710F29" w:rsidP="00377CCB">
            <w:pPr>
              <w:tabs>
                <w:tab w:val="left" w:pos="5400"/>
              </w:tabs>
              <w:spacing w:line="240" w:lineRule="auto"/>
            </w:pPr>
            <w:r>
              <w:t xml:space="preserve">2020 </w:t>
            </w:r>
          </w:p>
        </w:tc>
        <w:tc>
          <w:tcPr>
            <w:tcW w:w="2835" w:type="dxa"/>
          </w:tcPr>
          <w:p w14:paraId="3FB981B7" w14:textId="41A9FF06" w:rsidR="00710F29" w:rsidRDefault="00EB64C5" w:rsidP="00377CCB">
            <w:pPr>
              <w:tabs>
                <w:tab w:val="left" w:pos="5400"/>
              </w:tabs>
              <w:spacing w:line="240" w:lineRule="auto"/>
            </w:pPr>
            <w:r>
              <w:t>27</w:t>
            </w:r>
          </w:p>
        </w:tc>
      </w:tr>
      <w:tr w:rsidR="00710F29" w14:paraId="5E2FBC25" w14:textId="77777777" w:rsidTr="003A0687">
        <w:tc>
          <w:tcPr>
            <w:tcW w:w="2122" w:type="dxa"/>
          </w:tcPr>
          <w:p w14:paraId="2C58911D" w14:textId="77777777" w:rsidR="00710F29" w:rsidRDefault="00710F29" w:rsidP="00377CCB">
            <w:pPr>
              <w:tabs>
                <w:tab w:val="left" w:pos="5400"/>
              </w:tabs>
              <w:spacing w:line="240" w:lineRule="auto"/>
            </w:pPr>
            <w:r>
              <w:t>2021</w:t>
            </w:r>
          </w:p>
        </w:tc>
        <w:tc>
          <w:tcPr>
            <w:tcW w:w="2835" w:type="dxa"/>
          </w:tcPr>
          <w:p w14:paraId="5CC3CA2B" w14:textId="6F689414" w:rsidR="00710F29" w:rsidRDefault="00EB64C5" w:rsidP="00377CCB">
            <w:pPr>
              <w:tabs>
                <w:tab w:val="left" w:pos="5400"/>
              </w:tabs>
              <w:spacing w:line="240" w:lineRule="auto"/>
            </w:pPr>
            <w:r>
              <w:t>56</w:t>
            </w:r>
          </w:p>
        </w:tc>
      </w:tr>
      <w:tr w:rsidR="00710F29" w14:paraId="734F36A5" w14:textId="77777777" w:rsidTr="003A0687">
        <w:tc>
          <w:tcPr>
            <w:tcW w:w="2122" w:type="dxa"/>
          </w:tcPr>
          <w:p w14:paraId="6851C030" w14:textId="77777777" w:rsidR="00710F29" w:rsidRDefault="00710F29" w:rsidP="00377CCB">
            <w:pPr>
              <w:tabs>
                <w:tab w:val="left" w:pos="5400"/>
              </w:tabs>
              <w:spacing w:line="240" w:lineRule="auto"/>
            </w:pPr>
            <w:r>
              <w:t xml:space="preserve">2022 </w:t>
            </w:r>
          </w:p>
        </w:tc>
        <w:tc>
          <w:tcPr>
            <w:tcW w:w="2835" w:type="dxa"/>
          </w:tcPr>
          <w:p w14:paraId="2346EF18" w14:textId="5254352E" w:rsidR="00710F29" w:rsidRDefault="00EB64C5" w:rsidP="00377CCB">
            <w:pPr>
              <w:tabs>
                <w:tab w:val="left" w:pos="5400"/>
              </w:tabs>
              <w:spacing w:line="240" w:lineRule="auto"/>
            </w:pPr>
            <w:r>
              <w:t>61</w:t>
            </w:r>
          </w:p>
        </w:tc>
      </w:tr>
      <w:tr w:rsidR="00710F29" w14:paraId="7D9ED6E9" w14:textId="77777777" w:rsidTr="003A0687">
        <w:tc>
          <w:tcPr>
            <w:tcW w:w="2122" w:type="dxa"/>
          </w:tcPr>
          <w:p w14:paraId="40F04A5B" w14:textId="77777777" w:rsidR="00710F29" w:rsidRDefault="00710F29" w:rsidP="00377CCB">
            <w:pPr>
              <w:tabs>
                <w:tab w:val="left" w:pos="5400"/>
              </w:tabs>
              <w:spacing w:line="240" w:lineRule="auto"/>
            </w:pPr>
            <w:r>
              <w:t xml:space="preserve">2023 </w:t>
            </w:r>
          </w:p>
        </w:tc>
        <w:tc>
          <w:tcPr>
            <w:tcW w:w="2835" w:type="dxa"/>
          </w:tcPr>
          <w:p w14:paraId="5D616CFC" w14:textId="4F3A035F" w:rsidR="00710F29" w:rsidRDefault="00EB64C5" w:rsidP="00377CCB">
            <w:pPr>
              <w:tabs>
                <w:tab w:val="left" w:pos="5400"/>
              </w:tabs>
              <w:spacing w:line="240" w:lineRule="auto"/>
            </w:pPr>
            <w:r>
              <w:t>31</w:t>
            </w:r>
          </w:p>
        </w:tc>
      </w:tr>
    </w:tbl>
    <w:p w14:paraId="34BDABB8" w14:textId="77777777" w:rsidR="00255F1E" w:rsidRPr="00B11A55" w:rsidRDefault="00255F1E" w:rsidP="00793DD5">
      <w:pPr>
        <w:tabs>
          <w:tab w:val="left" w:pos="5400"/>
        </w:tabs>
      </w:pPr>
    </w:p>
    <w:p w14:paraId="34BDABBE" w14:textId="710BE8B4" w:rsidR="00496A08" w:rsidRPr="00BF6B81" w:rsidRDefault="004A2C64" w:rsidP="00793DD5">
      <w:r>
        <w:t>I</w:t>
      </w:r>
      <w:r w:rsidR="00496A08">
        <w:t xml:space="preserve">f you require any further </w:t>
      </w:r>
      <w:r w:rsidR="00496A08" w:rsidRPr="00874BFD">
        <w:t>assistance</w:t>
      </w:r>
      <w:r w:rsidR="00645CFA">
        <w:t>,</w:t>
      </w:r>
      <w:r w:rsidR="00496A08">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8F26A5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13E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8EEECE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13E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C0217E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13E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AE7CB3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13E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4DEF80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13E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16A14A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13E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175CD"/>
    <w:multiLevelType w:val="hybridMultilevel"/>
    <w:tmpl w:val="DC98442A"/>
    <w:lvl w:ilvl="0" w:tplc="FFFFFFFF">
      <w:start w:val="1"/>
      <w:numFmt w:val="lowerRoman"/>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3035866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4823"/>
    <w:rsid w:val="00090F3B"/>
    <w:rsid w:val="00092654"/>
    <w:rsid w:val="000E2F19"/>
    <w:rsid w:val="000E6526"/>
    <w:rsid w:val="00141533"/>
    <w:rsid w:val="00167528"/>
    <w:rsid w:val="00195CC4"/>
    <w:rsid w:val="00207326"/>
    <w:rsid w:val="00234363"/>
    <w:rsid w:val="00240388"/>
    <w:rsid w:val="00253DF6"/>
    <w:rsid w:val="00255F1E"/>
    <w:rsid w:val="00271168"/>
    <w:rsid w:val="0036503B"/>
    <w:rsid w:val="00376A4A"/>
    <w:rsid w:val="003A0687"/>
    <w:rsid w:val="003D6D03"/>
    <w:rsid w:val="003E12CA"/>
    <w:rsid w:val="004010DC"/>
    <w:rsid w:val="004341F0"/>
    <w:rsid w:val="00456324"/>
    <w:rsid w:val="00475460"/>
    <w:rsid w:val="00490317"/>
    <w:rsid w:val="00491644"/>
    <w:rsid w:val="00496A08"/>
    <w:rsid w:val="004A2C64"/>
    <w:rsid w:val="004E1605"/>
    <w:rsid w:val="004F653C"/>
    <w:rsid w:val="00540A52"/>
    <w:rsid w:val="00557306"/>
    <w:rsid w:val="00636B5D"/>
    <w:rsid w:val="00645CFA"/>
    <w:rsid w:val="00652710"/>
    <w:rsid w:val="00676275"/>
    <w:rsid w:val="00685219"/>
    <w:rsid w:val="006D5799"/>
    <w:rsid w:val="00710F29"/>
    <w:rsid w:val="007440EA"/>
    <w:rsid w:val="00750D83"/>
    <w:rsid w:val="00785DBC"/>
    <w:rsid w:val="00793DD5"/>
    <w:rsid w:val="007D55F6"/>
    <w:rsid w:val="007F490F"/>
    <w:rsid w:val="0086779C"/>
    <w:rsid w:val="00874BFD"/>
    <w:rsid w:val="008964EF"/>
    <w:rsid w:val="0089744F"/>
    <w:rsid w:val="00915E01"/>
    <w:rsid w:val="009631A4"/>
    <w:rsid w:val="00977296"/>
    <w:rsid w:val="00A25E93"/>
    <w:rsid w:val="00A320FF"/>
    <w:rsid w:val="00A70AC0"/>
    <w:rsid w:val="00A84EA9"/>
    <w:rsid w:val="00AC443C"/>
    <w:rsid w:val="00B033D6"/>
    <w:rsid w:val="00B11A55"/>
    <w:rsid w:val="00B17211"/>
    <w:rsid w:val="00B461B2"/>
    <w:rsid w:val="00B654B6"/>
    <w:rsid w:val="00B71B3C"/>
    <w:rsid w:val="00B913E3"/>
    <w:rsid w:val="00BC389E"/>
    <w:rsid w:val="00BE1888"/>
    <w:rsid w:val="00BF6B81"/>
    <w:rsid w:val="00C077A8"/>
    <w:rsid w:val="00C14FF4"/>
    <w:rsid w:val="00C1679F"/>
    <w:rsid w:val="00C606A2"/>
    <w:rsid w:val="00C63872"/>
    <w:rsid w:val="00C84948"/>
    <w:rsid w:val="00C94ED8"/>
    <w:rsid w:val="00CF1111"/>
    <w:rsid w:val="00D05706"/>
    <w:rsid w:val="00D27DC5"/>
    <w:rsid w:val="00D47E36"/>
    <w:rsid w:val="00E55D79"/>
    <w:rsid w:val="00EB64C5"/>
    <w:rsid w:val="00EE2373"/>
    <w:rsid w:val="00EF0FBB"/>
    <w:rsid w:val="00EF4761"/>
    <w:rsid w:val="00F64DD9"/>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827366">
      <w:bodyDiv w:val="1"/>
      <w:marLeft w:val="0"/>
      <w:marRight w:val="0"/>
      <w:marTop w:val="0"/>
      <w:marBottom w:val="0"/>
      <w:divBdr>
        <w:top w:val="none" w:sz="0" w:space="0" w:color="auto"/>
        <w:left w:val="none" w:sz="0" w:space="0" w:color="auto"/>
        <w:bottom w:val="none" w:sz="0" w:space="0" w:color="auto"/>
        <w:right w:val="none" w:sz="0" w:space="0" w:color="auto"/>
      </w:divBdr>
    </w:div>
    <w:div w:id="1278637959">
      <w:bodyDiv w:val="1"/>
      <w:marLeft w:val="0"/>
      <w:marRight w:val="0"/>
      <w:marTop w:val="0"/>
      <w:marBottom w:val="0"/>
      <w:divBdr>
        <w:top w:val="none" w:sz="0" w:space="0" w:color="auto"/>
        <w:left w:val="none" w:sz="0" w:space="0" w:color="auto"/>
        <w:bottom w:val="none" w:sz="0" w:space="0" w:color="auto"/>
        <w:right w:val="none" w:sz="0" w:space="0" w:color="auto"/>
      </w:divBdr>
    </w:div>
    <w:div w:id="1308971596">
      <w:bodyDiv w:val="1"/>
      <w:marLeft w:val="0"/>
      <w:marRight w:val="0"/>
      <w:marTop w:val="0"/>
      <w:marBottom w:val="0"/>
      <w:divBdr>
        <w:top w:val="none" w:sz="0" w:space="0" w:color="auto"/>
        <w:left w:val="none" w:sz="0" w:space="0" w:color="auto"/>
        <w:bottom w:val="none" w:sz="0" w:space="0" w:color="auto"/>
        <w:right w:val="none" w:sz="0" w:space="0" w:color="auto"/>
      </w:divBdr>
    </w:div>
    <w:div w:id="1475560986">
      <w:bodyDiv w:val="1"/>
      <w:marLeft w:val="0"/>
      <w:marRight w:val="0"/>
      <w:marTop w:val="0"/>
      <w:marBottom w:val="0"/>
      <w:divBdr>
        <w:top w:val="none" w:sz="0" w:space="0" w:color="auto"/>
        <w:left w:val="none" w:sz="0" w:space="0" w:color="auto"/>
        <w:bottom w:val="none" w:sz="0" w:space="0" w:color="auto"/>
        <w:right w:val="none" w:sz="0" w:space="0" w:color="auto"/>
      </w:divBdr>
    </w:div>
    <w:div w:id="1632516858">
      <w:bodyDiv w:val="1"/>
      <w:marLeft w:val="0"/>
      <w:marRight w:val="0"/>
      <w:marTop w:val="0"/>
      <w:marBottom w:val="0"/>
      <w:divBdr>
        <w:top w:val="none" w:sz="0" w:space="0" w:color="auto"/>
        <w:left w:val="none" w:sz="0" w:space="0" w:color="auto"/>
        <w:bottom w:val="none" w:sz="0" w:space="0" w:color="auto"/>
        <w:right w:val="none" w:sz="0" w:space="0" w:color="auto"/>
      </w:divBdr>
    </w:div>
    <w:div w:id="164981931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454</Words>
  <Characters>2589</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2025-02-07T12:26:00Z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