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3927BD">
              <w:t>1241</w:t>
            </w:r>
          </w:p>
          <w:p w:rsidR="00B17211" w:rsidRDefault="00456324" w:rsidP="00D76E77">
            <w:r w:rsidRPr="007F490F">
              <w:rPr>
                <w:rStyle w:val="Heading2Char"/>
              </w:rPr>
              <w:t>Respon</w:t>
            </w:r>
            <w:r w:rsidR="007D55F6">
              <w:rPr>
                <w:rStyle w:val="Heading2Char"/>
              </w:rPr>
              <w:t>ded to:</w:t>
            </w:r>
            <w:r w:rsidR="007F490F">
              <w:t xml:space="preserve">  </w:t>
            </w:r>
            <w:r w:rsidR="00D76E77">
              <w:t>12</w:t>
            </w:r>
            <w:r w:rsidR="00D76E77" w:rsidRPr="00D76E77">
              <w:rPr>
                <w:vertAlign w:val="superscript"/>
              </w:rPr>
              <w:t>th</w:t>
            </w:r>
            <w:r w:rsidR="00D76E77">
              <w:t xml:space="preserve"> </w:t>
            </w:r>
            <w:bookmarkStart w:id="0" w:name="_GoBack"/>
            <w:bookmarkEnd w:id="0"/>
            <w:r w:rsidR="00EE2373">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3927BD" w:rsidRPr="003927BD" w:rsidRDefault="003927BD" w:rsidP="003927BD">
      <w:pPr>
        <w:tabs>
          <w:tab w:val="left" w:pos="5400"/>
        </w:tabs>
        <w:rPr>
          <w:rFonts w:eastAsiaTheme="majorEastAsia" w:cstheme="majorBidi"/>
          <w:b/>
          <w:color w:val="000000" w:themeColor="text1"/>
          <w:szCs w:val="26"/>
        </w:rPr>
      </w:pPr>
      <w:r w:rsidRPr="003927BD">
        <w:rPr>
          <w:rFonts w:eastAsiaTheme="majorEastAsia" w:cstheme="majorBidi"/>
          <w:b/>
          <w:color w:val="000000" w:themeColor="text1"/>
          <w:szCs w:val="26"/>
        </w:rPr>
        <w:t>Please provide the number of allegations of racial discrimination by police officers working for your force, broken down by the age and ethnicity of the complainant, in each quarter from Jan-Mar 2019 to Jan-March 2023.</w:t>
      </w:r>
      <w:r>
        <w:rPr>
          <w:rFonts w:eastAsiaTheme="majorEastAsia" w:cstheme="majorBidi"/>
          <w:b/>
          <w:color w:val="000000" w:themeColor="text1"/>
          <w:szCs w:val="26"/>
        </w:rPr>
        <w:t xml:space="preserve">  </w:t>
      </w:r>
      <w:r w:rsidRPr="003927BD">
        <w:rPr>
          <w:rFonts w:eastAsiaTheme="majorEastAsia" w:cstheme="majorBidi"/>
          <w:b/>
          <w:color w:val="000000" w:themeColor="text1"/>
          <w:szCs w:val="26"/>
        </w:rPr>
        <w:t xml:space="preserve">These allegations should be the same as defined in table 7 of the </w:t>
      </w:r>
      <w:hyperlink r:id="rId8" w:history="1">
        <w:r w:rsidRPr="003927BD">
          <w:rPr>
            <w:rStyle w:val="Hyperlink"/>
            <w:rFonts w:eastAsiaTheme="majorEastAsia" w:cstheme="majorBidi"/>
            <w:b/>
            <w:szCs w:val="26"/>
          </w:rPr>
          <w:t>IOPC annual police complaints statistics tables</w:t>
        </w:r>
      </w:hyperlink>
      <w:r w:rsidRPr="003927BD">
        <w:rPr>
          <w:rFonts w:eastAsiaTheme="majorEastAsia" w:cstheme="majorBidi"/>
          <w:b/>
          <w:color w:val="000000" w:themeColor="text1"/>
          <w:szCs w:val="26"/>
        </w:rPr>
        <w:t>:</w:t>
      </w:r>
    </w:p>
    <w:p w:rsidR="003927BD" w:rsidRPr="003927BD" w:rsidRDefault="003927BD" w:rsidP="003927BD">
      <w:pPr>
        <w:pStyle w:val="ListParagraph"/>
        <w:numPr>
          <w:ilvl w:val="0"/>
          <w:numId w:val="5"/>
        </w:numPr>
        <w:tabs>
          <w:tab w:val="left" w:pos="5400"/>
        </w:tabs>
        <w:rPr>
          <w:rFonts w:eastAsiaTheme="majorEastAsia" w:cstheme="majorBidi"/>
          <w:b/>
          <w:color w:val="000000" w:themeColor="text1"/>
          <w:szCs w:val="26"/>
        </w:rPr>
      </w:pPr>
      <w:r w:rsidRPr="003927BD">
        <w:rPr>
          <w:rFonts w:eastAsiaTheme="majorEastAsia" w:cstheme="majorBidi"/>
          <w:b/>
          <w:color w:val="000000" w:themeColor="text1"/>
          <w:szCs w:val="26"/>
        </w:rPr>
        <w:t>Allegation category - Discriminatory behaviour</w:t>
      </w:r>
    </w:p>
    <w:p w:rsidR="003927BD" w:rsidRPr="003927BD" w:rsidRDefault="003927BD" w:rsidP="003927BD">
      <w:pPr>
        <w:pStyle w:val="ListParagraph"/>
        <w:numPr>
          <w:ilvl w:val="0"/>
          <w:numId w:val="5"/>
        </w:numPr>
        <w:tabs>
          <w:tab w:val="left" w:pos="5400"/>
        </w:tabs>
        <w:rPr>
          <w:rFonts w:eastAsiaTheme="majorEastAsia" w:cstheme="majorBidi"/>
          <w:b/>
          <w:color w:val="000000" w:themeColor="text1"/>
          <w:szCs w:val="26"/>
        </w:rPr>
      </w:pPr>
      <w:r w:rsidRPr="003927BD">
        <w:rPr>
          <w:rFonts w:eastAsiaTheme="majorEastAsia" w:cstheme="majorBidi"/>
          <w:b/>
          <w:color w:val="000000" w:themeColor="text1"/>
          <w:szCs w:val="26"/>
        </w:rPr>
        <w:t>Allegation subcategory - Race</w:t>
      </w:r>
    </w:p>
    <w:p w:rsidR="003927BD" w:rsidRDefault="003927BD" w:rsidP="003927BD">
      <w:pPr>
        <w:tabs>
          <w:tab w:val="num" w:pos="720"/>
          <w:tab w:val="left" w:pos="5400"/>
        </w:tabs>
        <w:rPr>
          <w:rFonts w:eastAsiaTheme="majorEastAsia" w:cstheme="majorBidi"/>
          <w:b/>
          <w:color w:val="000000" w:themeColor="text1"/>
          <w:szCs w:val="26"/>
        </w:rPr>
      </w:pPr>
      <w:r w:rsidRPr="003927BD">
        <w:rPr>
          <w:rFonts w:eastAsiaTheme="majorEastAsia" w:cstheme="majorBidi"/>
          <w:b/>
          <w:color w:val="000000" w:themeColor="text1"/>
          <w:szCs w:val="26"/>
        </w:rPr>
        <w:t>Please use the following age categories if possible:</w:t>
      </w:r>
      <w:r>
        <w:rPr>
          <w:rFonts w:eastAsiaTheme="majorEastAsia" w:cstheme="majorBidi"/>
          <w:b/>
          <w:color w:val="000000" w:themeColor="text1"/>
          <w:szCs w:val="26"/>
        </w:rPr>
        <w:t xml:space="preserve"> </w:t>
      </w:r>
    </w:p>
    <w:p w:rsidR="003927BD" w:rsidRPr="003927BD" w:rsidRDefault="003927BD" w:rsidP="003927BD">
      <w:pPr>
        <w:pStyle w:val="ListParagraph"/>
        <w:numPr>
          <w:ilvl w:val="0"/>
          <w:numId w:val="4"/>
        </w:numPr>
        <w:tabs>
          <w:tab w:val="num" w:pos="720"/>
          <w:tab w:val="left" w:pos="5400"/>
        </w:tabs>
        <w:rPr>
          <w:rFonts w:eastAsiaTheme="majorEastAsia" w:cstheme="majorBidi"/>
          <w:b/>
          <w:color w:val="000000" w:themeColor="text1"/>
          <w:szCs w:val="26"/>
        </w:rPr>
      </w:pPr>
      <w:r w:rsidRPr="003927BD">
        <w:rPr>
          <w:rFonts w:eastAsiaTheme="majorEastAsia" w:cstheme="majorBidi"/>
          <w:b/>
          <w:color w:val="000000" w:themeColor="text1"/>
          <w:szCs w:val="26"/>
        </w:rPr>
        <w:t>17 or under, 18-24, 25-30, 30+</w:t>
      </w:r>
    </w:p>
    <w:p w:rsidR="009D52DA" w:rsidRPr="003E4EAD" w:rsidRDefault="009D52DA" w:rsidP="003927BD">
      <w:pPr>
        <w:tabs>
          <w:tab w:val="left" w:pos="5400"/>
        </w:tabs>
      </w:pPr>
      <w:r w:rsidRPr="003E4EAD">
        <w:t>It should be noted first of all that the Independent Office for Police Conduct (IOPC) oversees the police complaint</w:t>
      </w:r>
      <w:r w:rsidR="00E01AF8">
        <w:t xml:space="preserve">s system in England and Wales.  </w:t>
      </w:r>
      <w:r w:rsidRPr="003E4EAD">
        <w:t>Their remit does not extend to Scotland.</w:t>
      </w:r>
    </w:p>
    <w:p w:rsidR="009D52DA" w:rsidRPr="003E4EAD" w:rsidRDefault="00E01AF8" w:rsidP="003927BD">
      <w:pPr>
        <w:tabs>
          <w:tab w:val="left" w:pos="5400"/>
        </w:tabs>
      </w:pPr>
      <w:r>
        <w:rPr>
          <w:bCs/>
        </w:rPr>
        <w:t>T</w:t>
      </w:r>
      <w:r w:rsidR="009D52DA" w:rsidRPr="003E4EAD">
        <w:rPr>
          <w:bCs/>
        </w:rPr>
        <w:t xml:space="preserve">he Police Investigations &amp; Review Commissioner (PIRC) was </w:t>
      </w:r>
      <w:r w:rsidR="009F74DA">
        <w:rPr>
          <w:bCs/>
        </w:rPr>
        <w:t>established</w:t>
      </w:r>
      <w:r w:rsidR="009D52DA" w:rsidRPr="003E4EAD">
        <w:rPr>
          <w:bCs/>
        </w:rPr>
        <w:t xml:space="preserve"> in 2013 when </w:t>
      </w:r>
      <w:r w:rsidR="009D52DA" w:rsidRPr="003E4EAD">
        <w:t>to provide inde</w:t>
      </w:r>
      <w:r>
        <w:t>pendent oversight</w:t>
      </w:r>
      <w:r w:rsidR="009F74DA">
        <w:t xml:space="preserve"> of Police Scotland</w:t>
      </w:r>
      <w:r>
        <w:t>, investigate</w:t>
      </w:r>
      <w:r w:rsidR="009D52DA" w:rsidRPr="003E4EAD">
        <w:t xml:space="preserve"> incidents in</w:t>
      </w:r>
      <w:r>
        <w:t>volving the police and review</w:t>
      </w:r>
      <w:r w:rsidR="009D52DA" w:rsidRPr="003E4EAD">
        <w:t xml:space="preserve"> the way the police handle complaints from the public.</w:t>
      </w:r>
    </w:p>
    <w:p w:rsidR="00E01AF8" w:rsidRDefault="009D52DA" w:rsidP="003927BD">
      <w:pPr>
        <w:tabs>
          <w:tab w:val="left" w:pos="5400"/>
        </w:tabs>
      </w:pPr>
      <w:r w:rsidRPr="003E4EAD">
        <w:t xml:space="preserve">The Police Scotland </w:t>
      </w:r>
      <w:hyperlink r:id="rId9" w:history="1">
        <w:r w:rsidRPr="003E4EAD">
          <w:rPr>
            <w:rStyle w:val="Hyperlink"/>
          </w:rPr>
          <w:t>Complaints About the Police Standard Operating Procedure (SOP)</w:t>
        </w:r>
      </w:hyperlink>
      <w:r w:rsidRPr="003E4EAD">
        <w:t xml:space="preserve"> outlines how we deal with complaints.</w:t>
      </w:r>
      <w:r w:rsidR="00E01AF8">
        <w:t xml:space="preserve">  </w:t>
      </w:r>
    </w:p>
    <w:p w:rsidR="00E01AF8" w:rsidRDefault="009D52DA" w:rsidP="003E4EAD">
      <w:pPr>
        <w:tabs>
          <w:tab w:val="left" w:pos="5400"/>
        </w:tabs>
      </w:pPr>
      <w:r w:rsidRPr="003E4EAD">
        <w:t>Our complaints are categorised as per the headings in appendices G and H of th</w:t>
      </w:r>
      <w:r w:rsidR="003E4EAD">
        <w:t>e document and on this occasion</w:t>
      </w:r>
      <w:r w:rsidRPr="003E4EAD">
        <w:t xml:space="preserve"> they do</w:t>
      </w:r>
      <w:r w:rsidR="003E4EAD">
        <w:t>,</w:t>
      </w:r>
      <w:r w:rsidRPr="003E4EAD">
        <w:t xml:space="preserve"> fortunately</w:t>
      </w:r>
      <w:r w:rsidR="003E4EAD">
        <w:t>,</w:t>
      </w:r>
      <w:r w:rsidRPr="003E4EAD">
        <w:t xml:space="preserve"> align to the terminology used in your request.</w:t>
      </w:r>
    </w:p>
    <w:p w:rsidR="00E01AF8" w:rsidRDefault="003E4EAD" w:rsidP="003E4EAD">
      <w:pPr>
        <w:tabs>
          <w:tab w:val="left" w:pos="5400"/>
        </w:tabs>
        <w:rPr>
          <w:iCs/>
        </w:rPr>
      </w:pPr>
      <w:r w:rsidRPr="003E4EAD">
        <w:t>The table below details d</w:t>
      </w:r>
      <w:r w:rsidRPr="003E4EAD">
        <w:rPr>
          <w:iCs/>
        </w:rPr>
        <w:t>iscriminatory behaviour allegations with a race sub typ</w:t>
      </w:r>
      <w:r>
        <w:rPr>
          <w:iCs/>
        </w:rPr>
        <w:t xml:space="preserve">e, by calendar year and quarter.  </w:t>
      </w:r>
    </w:p>
    <w:p w:rsidR="003E4EAD" w:rsidRDefault="003E4EAD" w:rsidP="003E4EAD">
      <w:pPr>
        <w:tabs>
          <w:tab w:val="left" w:pos="5400"/>
        </w:tabs>
        <w:rPr>
          <w:iCs/>
        </w:rPr>
      </w:pPr>
      <w:r>
        <w:rPr>
          <w:iCs/>
        </w:rPr>
        <w:t>It should be noted that each complaint can contain a number of allegations.</w:t>
      </w:r>
    </w:p>
    <w:p w:rsidR="00E01AF8" w:rsidRPr="003E4EAD" w:rsidRDefault="00E01AF8" w:rsidP="003E4EAD">
      <w:pPr>
        <w:tabs>
          <w:tab w:val="left" w:pos="5400"/>
        </w:tabs>
        <w:rPr>
          <w:iCs/>
        </w:rPr>
      </w:pPr>
    </w:p>
    <w:tbl>
      <w:tblPr>
        <w:tblW w:w="6511" w:type="dxa"/>
        <w:tblCellMar>
          <w:left w:w="0" w:type="dxa"/>
          <w:right w:w="0" w:type="dxa"/>
        </w:tblCellMar>
        <w:tblLook w:val="04A0" w:firstRow="1" w:lastRow="0" w:firstColumn="1" w:lastColumn="0" w:noHBand="0" w:noVBand="1"/>
      </w:tblPr>
      <w:tblGrid>
        <w:gridCol w:w="3534"/>
        <w:gridCol w:w="2977"/>
      </w:tblGrid>
      <w:tr w:rsidR="003E4EAD" w:rsidRPr="003E4EAD" w:rsidTr="009C206E">
        <w:trPr>
          <w:trHeight w:val="310"/>
        </w:trPr>
        <w:tc>
          <w:tcPr>
            <w:tcW w:w="3534"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3E4EAD" w:rsidRPr="003E4EAD" w:rsidRDefault="003E4EAD" w:rsidP="00E01AF8">
            <w:pPr>
              <w:tabs>
                <w:tab w:val="left" w:pos="5400"/>
              </w:tabs>
              <w:spacing w:line="276" w:lineRule="auto"/>
              <w:rPr>
                <w:b/>
                <w:bCs/>
              </w:rPr>
            </w:pPr>
            <w:r w:rsidRPr="003E4EAD">
              <w:rPr>
                <w:b/>
                <w:bCs/>
              </w:rPr>
              <w:lastRenderedPageBreak/>
              <w:t>Calendar Year</w:t>
            </w:r>
            <w:r>
              <w:rPr>
                <w:b/>
                <w:bCs/>
              </w:rPr>
              <w:t xml:space="preserve"> and Quarter</w:t>
            </w:r>
          </w:p>
        </w:tc>
        <w:tc>
          <w:tcPr>
            <w:tcW w:w="297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3E4EAD" w:rsidRPr="003E4EAD" w:rsidRDefault="003E4EAD" w:rsidP="00E01AF8">
            <w:pPr>
              <w:tabs>
                <w:tab w:val="left" w:pos="5400"/>
              </w:tabs>
              <w:spacing w:line="276" w:lineRule="auto"/>
              <w:rPr>
                <w:b/>
                <w:bCs/>
              </w:rPr>
            </w:pPr>
            <w:r w:rsidRPr="003E4EAD">
              <w:rPr>
                <w:b/>
                <w:bCs/>
              </w:rPr>
              <w:t>Number of allegations</w:t>
            </w:r>
          </w:p>
        </w:tc>
      </w:tr>
      <w:tr w:rsidR="003E4EAD" w:rsidRPr="003E4EAD" w:rsidTr="009C206E">
        <w:trPr>
          <w:trHeight w:val="31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2019 - Quarter 1</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19</w:t>
            </w:r>
          </w:p>
        </w:tc>
      </w:tr>
      <w:tr w:rsidR="003E4EAD" w:rsidRPr="003E4EAD" w:rsidTr="009C206E">
        <w:trPr>
          <w:trHeight w:val="31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2019 - Quarter 2</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12</w:t>
            </w:r>
          </w:p>
        </w:tc>
      </w:tr>
      <w:tr w:rsidR="003E4EAD" w:rsidRPr="003E4EAD" w:rsidTr="009C206E">
        <w:trPr>
          <w:trHeight w:val="31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2019 - Quarter 3</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13</w:t>
            </w:r>
          </w:p>
        </w:tc>
      </w:tr>
      <w:tr w:rsidR="003E4EAD" w:rsidRPr="003E4EAD" w:rsidTr="009C206E">
        <w:trPr>
          <w:trHeight w:val="31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2019 - Quarter 4</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5</w:t>
            </w:r>
          </w:p>
        </w:tc>
      </w:tr>
      <w:tr w:rsidR="003E4EAD" w:rsidRPr="003E4EAD" w:rsidTr="009C206E">
        <w:trPr>
          <w:trHeight w:val="31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2020 - Quarter 1</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12</w:t>
            </w:r>
          </w:p>
        </w:tc>
      </w:tr>
      <w:tr w:rsidR="003E4EAD" w:rsidRPr="003E4EAD" w:rsidTr="009C206E">
        <w:trPr>
          <w:trHeight w:val="31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2020 - Quarter 2</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19</w:t>
            </w:r>
          </w:p>
        </w:tc>
      </w:tr>
      <w:tr w:rsidR="003E4EAD" w:rsidRPr="003E4EAD" w:rsidTr="009C206E">
        <w:trPr>
          <w:trHeight w:val="31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2020 - Quarter 3</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19</w:t>
            </w:r>
          </w:p>
        </w:tc>
      </w:tr>
      <w:tr w:rsidR="003E4EAD" w:rsidRPr="003E4EAD" w:rsidTr="009C206E">
        <w:trPr>
          <w:trHeight w:val="31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2020 - Quarter 4</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15</w:t>
            </w:r>
          </w:p>
        </w:tc>
      </w:tr>
      <w:tr w:rsidR="003E4EAD" w:rsidRPr="003E4EAD" w:rsidTr="009C206E">
        <w:trPr>
          <w:trHeight w:val="31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2021 - Quarter 1</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9</w:t>
            </w:r>
          </w:p>
        </w:tc>
      </w:tr>
      <w:tr w:rsidR="003E4EAD" w:rsidRPr="003E4EAD" w:rsidTr="009C206E">
        <w:trPr>
          <w:trHeight w:val="31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2021 - Quarter 2</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17</w:t>
            </w:r>
          </w:p>
        </w:tc>
      </w:tr>
      <w:tr w:rsidR="003E4EAD" w:rsidRPr="003E4EAD" w:rsidTr="009C206E">
        <w:trPr>
          <w:trHeight w:val="31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2021 - Quarter 3</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22</w:t>
            </w:r>
          </w:p>
        </w:tc>
      </w:tr>
      <w:tr w:rsidR="003E4EAD" w:rsidRPr="003E4EAD" w:rsidTr="009C206E">
        <w:trPr>
          <w:trHeight w:val="31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2021 - Quarter 4</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14</w:t>
            </w:r>
          </w:p>
        </w:tc>
      </w:tr>
      <w:tr w:rsidR="003E4EAD" w:rsidRPr="003E4EAD" w:rsidTr="009C206E">
        <w:trPr>
          <w:trHeight w:val="31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2022 - Quarter 1</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17</w:t>
            </w:r>
          </w:p>
        </w:tc>
      </w:tr>
      <w:tr w:rsidR="003E4EAD" w:rsidRPr="003E4EAD" w:rsidTr="009C206E">
        <w:trPr>
          <w:trHeight w:val="31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2022 - Quarter 2</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17</w:t>
            </w:r>
          </w:p>
        </w:tc>
      </w:tr>
      <w:tr w:rsidR="003E4EAD" w:rsidRPr="003E4EAD" w:rsidTr="009C206E">
        <w:trPr>
          <w:trHeight w:val="31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2022 - Quarter 3</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15</w:t>
            </w:r>
          </w:p>
        </w:tc>
      </w:tr>
      <w:tr w:rsidR="003E4EAD" w:rsidRPr="003E4EAD" w:rsidTr="009C206E">
        <w:trPr>
          <w:trHeight w:val="31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2022 - Quarter 4</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14</w:t>
            </w:r>
          </w:p>
        </w:tc>
      </w:tr>
      <w:tr w:rsidR="003E4EAD" w:rsidRPr="003E4EAD" w:rsidTr="009C206E">
        <w:trPr>
          <w:trHeight w:val="31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2023 - Quarter 1</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pPr>
            <w:r w:rsidRPr="003E4EAD">
              <w:t>19</w:t>
            </w:r>
          </w:p>
        </w:tc>
      </w:tr>
      <w:tr w:rsidR="003E4EAD" w:rsidRPr="003E4EAD" w:rsidTr="009C206E">
        <w:trPr>
          <w:trHeight w:val="310"/>
        </w:trPr>
        <w:tc>
          <w:tcPr>
            <w:tcW w:w="353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rPr>
                <w:b/>
                <w:bCs/>
              </w:rPr>
            </w:pPr>
            <w:r w:rsidRPr="003E4EAD">
              <w:rPr>
                <w:b/>
                <w:bCs/>
              </w:rPr>
              <w:t>Total</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hideMark/>
          </w:tcPr>
          <w:p w:rsidR="003E4EAD" w:rsidRPr="003E4EAD" w:rsidRDefault="003E4EAD" w:rsidP="00E01AF8">
            <w:pPr>
              <w:tabs>
                <w:tab w:val="left" w:pos="5400"/>
              </w:tabs>
              <w:spacing w:line="276" w:lineRule="auto"/>
              <w:rPr>
                <w:b/>
                <w:bCs/>
              </w:rPr>
            </w:pPr>
            <w:r w:rsidRPr="003E4EAD">
              <w:rPr>
                <w:b/>
                <w:bCs/>
              </w:rPr>
              <w:t>258</w:t>
            </w:r>
          </w:p>
        </w:tc>
      </w:tr>
    </w:tbl>
    <w:p w:rsidR="003E4EAD" w:rsidRDefault="003E4EAD" w:rsidP="003E4EAD">
      <w:pPr>
        <w:tabs>
          <w:tab w:val="left" w:pos="5400"/>
        </w:tabs>
      </w:pPr>
      <w:r w:rsidRPr="003E4EAD">
        <w:rPr>
          <w:i/>
          <w:sz w:val="20"/>
        </w:rPr>
        <w:t xml:space="preserve">1 Data is based on the case received date. </w:t>
      </w:r>
      <w:r w:rsidRPr="003E4EAD">
        <w:rPr>
          <w:i/>
          <w:sz w:val="20"/>
        </w:rPr>
        <w:br/>
        <w:t xml:space="preserve">2 Data in the table above is linked to allegations against Police officers only. </w:t>
      </w:r>
      <w:r w:rsidRPr="003E4EAD">
        <w:rPr>
          <w:i/>
          <w:sz w:val="20"/>
        </w:rPr>
        <w:br/>
      </w:r>
    </w:p>
    <w:p w:rsidR="003E4EAD" w:rsidRDefault="003E4EAD" w:rsidP="003E4EAD">
      <w:pPr>
        <w:tabs>
          <w:tab w:val="left" w:pos="5400"/>
        </w:tabs>
      </w:pPr>
      <w:r w:rsidRPr="003E4EAD">
        <w:t>You also asked for a breakdown by the age and ethnicity of the complainant</w:t>
      </w:r>
      <w:r>
        <w:t>.</w:t>
      </w:r>
    </w:p>
    <w:p w:rsidR="003E4EAD" w:rsidRDefault="003E4EAD" w:rsidP="003E4EAD">
      <w:pPr>
        <w:tabs>
          <w:tab w:val="left" w:pos="5400"/>
        </w:tabs>
      </w:pPr>
      <w:r w:rsidRPr="003E4EAD">
        <w:t>Please note that complainers are counted o</w:t>
      </w:r>
      <w:r w:rsidR="00E01AF8">
        <w:t>nce per relevant complaint case and e</w:t>
      </w:r>
      <w:r w:rsidRPr="003E4EAD">
        <w:t>ach complainer may be</w:t>
      </w:r>
      <w:r w:rsidR="00E01AF8">
        <w:t xml:space="preserve"> linked to multiple allegations. </w:t>
      </w:r>
      <w:r w:rsidRPr="003E4EAD">
        <w:t xml:space="preserve"> </w:t>
      </w:r>
      <w:r w:rsidR="00E01AF8">
        <w:t>T</w:t>
      </w:r>
      <w:r w:rsidRPr="003E4EAD">
        <w:t xml:space="preserve">herefore the number of complainers may vary from the number of allegations. </w:t>
      </w:r>
    </w:p>
    <w:p w:rsidR="003E4EAD" w:rsidRPr="003E4EAD" w:rsidRDefault="003E4EAD" w:rsidP="003E4EAD">
      <w:pPr>
        <w:tabs>
          <w:tab w:val="left" w:pos="5400"/>
        </w:tabs>
      </w:pPr>
      <w:r w:rsidRPr="003E4EAD">
        <w:lastRenderedPageBreak/>
        <w:t>The table below details c</w:t>
      </w:r>
      <w:r w:rsidRPr="003E4EAD">
        <w:rPr>
          <w:iCs/>
        </w:rPr>
        <w:t>omplainers linked to discriminatory behaviour allegations with a race sub type, by calendar year, q</w:t>
      </w:r>
      <w:r>
        <w:rPr>
          <w:iCs/>
        </w:rPr>
        <w:t>uarter and complainer age group:</w:t>
      </w:r>
    </w:p>
    <w:tbl>
      <w:tblPr>
        <w:tblW w:w="9493" w:type="dxa"/>
        <w:tblInd w:w="-5" w:type="dxa"/>
        <w:tblLayout w:type="fixed"/>
        <w:tblCellMar>
          <w:left w:w="0" w:type="dxa"/>
          <w:right w:w="0" w:type="dxa"/>
        </w:tblCellMar>
        <w:tblLook w:val="04A0" w:firstRow="1" w:lastRow="0" w:firstColumn="1" w:lastColumn="0" w:noHBand="0" w:noVBand="1"/>
        <w:tblCaption w:val="CAP data by year/ Age"/>
        <w:tblDescription w:val="CAP data by year/ Age"/>
      </w:tblPr>
      <w:tblGrid>
        <w:gridCol w:w="2122"/>
        <w:gridCol w:w="1228"/>
        <w:gridCol w:w="1229"/>
        <w:gridCol w:w="1228"/>
        <w:gridCol w:w="1229"/>
        <w:gridCol w:w="1323"/>
        <w:gridCol w:w="1134"/>
      </w:tblGrid>
      <w:tr w:rsidR="003927BD" w:rsidRPr="003927BD" w:rsidTr="003927BD">
        <w:trPr>
          <w:trHeight w:val="310"/>
          <w:tblHeader/>
        </w:trPr>
        <w:tc>
          <w:tcPr>
            <w:tcW w:w="212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rPr>
                <w:b/>
                <w:bCs/>
              </w:rPr>
            </w:pPr>
            <w:r w:rsidRPr="003927BD">
              <w:rPr>
                <w:b/>
                <w:bCs/>
              </w:rPr>
              <w:t>Calendar Year and Quarter</w:t>
            </w:r>
          </w:p>
        </w:tc>
        <w:tc>
          <w:tcPr>
            <w:tcW w:w="122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rPr>
                <w:b/>
                <w:bCs/>
              </w:rPr>
            </w:pPr>
            <w:r>
              <w:rPr>
                <w:b/>
                <w:bCs/>
              </w:rPr>
              <w:t>Age</w:t>
            </w:r>
            <w:r>
              <w:rPr>
                <w:b/>
                <w:bCs/>
              </w:rPr>
              <w:br/>
              <w:t>0-17</w:t>
            </w:r>
          </w:p>
        </w:tc>
        <w:tc>
          <w:tcPr>
            <w:tcW w:w="122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rPr>
                <w:b/>
                <w:bCs/>
              </w:rPr>
            </w:pPr>
            <w:r>
              <w:rPr>
                <w:b/>
                <w:bCs/>
              </w:rPr>
              <w:t>Age</w:t>
            </w:r>
            <w:r>
              <w:rPr>
                <w:b/>
                <w:bCs/>
              </w:rPr>
              <w:br/>
              <w:t>18-24</w:t>
            </w:r>
          </w:p>
        </w:tc>
        <w:tc>
          <w:tcPr>
            <w:tcW w:w="122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rPr>
                <w:b/>
                <w:bCs/>
              </w:rPr>
            </w:pPr>
            <w:r>
              <w:rPr>
                <w:b/>
                <w:bCs/>
              </w:rPr>
              <w:t>Age</w:t>
            </w:r>
            <w:r>
              <w:rPr>
                <w:b/>
                <w:bCs/>
              </w:rPr>
              <w:br/>
              <w:t>25-30</w:t>
            </w:r>
          </w:p>
        </w:tc>
        <w:tc>
          <w:tcPr>
            <w:tcW w:w="122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rPr>
                <w:b/>
                <w:bCs/>
              </w:rPr>
            </w:pPr>
            <w:r>
              <w:rPr>
                <w:b/>
                <w:bCs/>
              </w:rPr>
              <w:t>Age</w:t>
            </w:r>
            <w:r>
              <w:rPr>
                <w:b/>
                <w:bCs/>
              </w:rPr>
              <w:br/>
              <w:t>30+</w:t>
            </w:r>
          </w:p>
        </w:tc>
        <w:tc>
          <w:tcPr>
            <w:tcW w:w="1323"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rPr>
                <w:b/>
                <w:bCs/>
              </w:rPr>
            </w:pPr>
            <w:r>
              <w:rPr>
                <w:b/>
                <w:bCs/>
              </w:rPr>
              <w:t>Age</w:t>
            </w:r>
            <w:r>
              <w:rPr>
                <w:b/>
                <w:bCs/>
              </w:rPr>
              <w:br/>
            </w:r>
            <w:r w:rsidRPr="003927BD">
              <w:rPr>
                <w:b/>
                <w:bCs/>
              </w:rPr>
              <w:t>Unknown</w:t>
            </w:r>
          </w:p>
        </w:tc>
        <w:tc>
          <w:tcPr>
            <w:tcW w:w="113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rPr>
                <w:b/>
                <w:bCs/>
              </w:rPr>
            </w:pPr>
            <w:r w:rsidRPr="003927BD">
              <w:rPr>
                <w:b/>
                <w:bCs/>
              </w:rPr>
              <w:t>Total</w:t>
            </w:r>
          </w:p>
        </w:tc>
      </w:tr>
      <w:tr w:rsidR="003927BD" w:rsidRPr="003927BD" w:rsidTr="003927BD">
        <w:trPr>
          <w:trHeight w:val="310"/>
        </w:trPr>
        <w:tc>
          <w:tcPr>
            <w:tcW w:w="21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2019 - Quarter 1</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0</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0</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3</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7</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rPr>
                <w:b/>
                <w:bCs/>
              </w:rPr>
            </w:pPr>
            <w:r w:rsidRPr="003927BD">
              <w:rPr>
                <w:b/>
                <w:bCs/>
              </w:rPr>
              <w:t>13</w:t>
            </w:r>
          </w:p>
        </w:tc>
      </w:tr>
      <w:tr w:rsidR="003927BD" w:rsidRPr="003927BD" w:rsidTr="003927BD">
        <w:trPr>
          <w:trHeight w:val="310"/>
        </w:trPr>
        <w:tc>
          <w:tcPr>
            <w:tcW w:w="21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2019 - Quarter 2</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0</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1</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0</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8</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rPr>
                <w:b/>
                <w:bCs/>
              </w:rPr>
            </w:pPr>
            <w:r w:rsidRPr="003927BD">
              <w:rPr>
                <w:b/>
                <w:bCs/>
              </w:rPr>
              <w:t>9</w:t>
            </w:r>
          </w:p>
        </w:tc>
      </w:tr>
      <w:tr w:rsidR="003927BD" w:rsidRPr="003927BD" w:rsidTr="003927BD">
        <w:trPr>
          <w:trHeight w:val="310"/>
        </w:trPr>
        <w:tc>
          <w:tcPr>
            <w:tcW w:w="21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2019 - Quarter 3</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0</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2</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0</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8</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rPr>
                <w:b/>
                <w:bCs/>
              </w:rPr>
            </w:pPr>
            <w:r w:rsidRPr="003927BD">
              <w:rPr>
                <w:b/>
                <w:bCs/>
              </w:rPr>
              <w:t>14</w:t>
            </w:r>
          </w:p>
        </w:tc>
      </w:tr>
      <w:tr w:rsidR="003927BD" w:rsidRPr="003927BD" w:rsidTr="003927BD">
        <w:trPr>
          <w:trHeight w:val="310"/>
        </w:trPr>
        <w:tc>
          <w:tcPr>
            <w:tcW w:w="21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2019 - Quarter 4</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0</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0</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1</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3</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rPr>
                <w:b/>
                <w:bCs/>
              </w:rPr>
            </w:pPr>
            <w:r w:rsidRPr="003927BD">
              <w:rPr>
                <w:b/>
                <w:bCs/>
              </w:rPr>
              <w:t>5</w:t>
            </w:r>
          </w:p>
        </w:tc>
      </w:tr>
      <w:tr w:rsidR="003927BD" w:rsidRPr="003927BD" w:rsidTr="003927BD">
        <w:trPr>
          <w:trHeight w:val="310"/>
        </w:trPr>
        <w:tc>
          <w:tcPr>
            <w:tcW w:w="21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2020 - Quarter 1</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1</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1</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2</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5</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rPr>
                <w:b/>
                <w:bCs/>
              </w:rPr>
            </w:pPr>
            <w:r w:rsidRPr="003927BD">
              <w:rPr>
                <w:b/>
                <w:bCs/>
              </w:rPr>
              <w:t>13</w:t>
            </w:r>
          </w:p>
        </w:tc>
      </w:tr>
      <w:tr w:rsidR="003927BD" w:rsidRPr="003927BD" w:rsidTr="003927BD">
        <w:trPr>
          <w:trHeight w:val="310"/>
        </w:trPr>
        <w:tc>
          <w:tcPr>
            <w:tcW w:w="21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2020 - Quarter 2</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0</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0</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0</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15</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rPr>
                <w:b/>
                <w:bCs/>
              </w:rPr>
            </w:pPr>
            <w:r w:rsidRPr="003927BD">
              <w:rPr>
                <w:b/>
                <w:bCs/>
              </w:rPr>
              <w:t>17</w:t>
            </w:r>
          </w:p>
        </w:tc>
      </w:tr>
      <w:tr w:rsidR="003927BD" w:rsidRPr="003927BD" w:rsidTr="003927BD">
        <w:trPr>
          <w:trHeight w:val="310"/>
        </w:trPr>
        <w:tc>
          <w:tcPr>
            <w:tcW w:w="21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2020 - Quarter 3</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0</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1</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1</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16</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rPr>
                <w:b/>
                <w:bCs/>
              </w:rPr>
            </w:pPr>
            <w:r w:rsidRPr="003927BD">
              <w:rPr>
                <w:b/>
                <w:bCs/>
              </w:rPr>
              <w:t>18</w:t>
            </w:r>
          </w:p>
        </w:tc>
      </w:tr>
      <w:tr w:rsidR="003927BD" w:rsidRPr="003927BD" w:rsidTr="003927BD">
        <w:trPr>
          <w:trHeight w:val="310"/>
        </w:trPr>
        <w:tc>
          <w:tcPr>
            <w:tcW w:w="21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2020 - Quarter 4</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0</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2</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1</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8</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rPr>
                <w:b/>
                <w:bCs/>
              </w:rPr>
            </w:pPr>
            <w:r w:rsidRPr="003927BD">
              <w:rPr>
                <w:b/>
                <w:bCs/>
              </w:rPr>
              <w:t>14</w:t>
            </w:r>
          </w:p>
        </w:tc>
      </w:tr>
      <w:tr w:rsidR="003927BD" w:rsidRPr="003927BD" w:rsidTr="003927BD">
        <w:trPr>
          <w:trHeight w:val="310"/>
        </w:trPr>
        <w:tc>
          <w:tcPr>
            <w:tcW w:w="21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2021 - Quarter 1</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1</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1</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1</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6</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rPr>
                <w:b/>
                <w:bCs/>
              </w:rPr>
            </w:pPr>
            <w:r w:rsidRPr="003927BD">
              <w:rPr>
                <w:b/>
                <w:bCs/>
              </w:rPr>
              <w:t>9</w:t>
            </w:r>
          </w:p>
        </w:tc>
      </w:tr>
      <w:tr w:rsidR="003927BD" w:rsidRPr="003927BD" w:rsidTr="003927BD">
        <w:trPr>
          <w:trHeight w:val="310"/>
        </w:trPr>
        <w:tc>
          <w:tcPr>
            <w:tcW w:w="21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2021 - Quarter 2</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0</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2</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1</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11</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rPr>
                <w:b/>
                <w:bCs/>
              </w:rPr>
            </w:pPr>
            <w:r w:rsidRPr="003927BD">
              <w:rPr>
                <w:b/>
                <w:bCs/>
              </w:rPr>
              <w:t>17</w:t>
            </w:r>
          </w:p>
        </w:tc>
      </w:tr>
      <w:tr w:rsidR="003927BD" w:rsidRPr="003927BD" w:rsidTr="003927BD">
        <w:trPr>
          <w:trHeight w:val="310"/>
        </w:trPr>
        <w:tc>
          <w:tcPr>
            <w:tcW w:w="21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2021 - Quarter 3</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1</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0</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6</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13</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rPr>
                <w:b/>
                <w:bCs/>
              </w:rPr>
            </w:pPr>
            <w:r w:rsidRPr="003927BD">
              <w:rPr>
                <w:b/>
                <w:bCs/>
              </w:rPr>
              <w:t>22</w:t>
            </w:r>
          </w:p>
        </w:tc>
      </w:tr>
      <w:tr w:rsidR="003927BD" w:rsidRPr="003927BD" w:rsidTr="003927BD">
        <w:trPr>
          <w:trHeight w:val="310"/>
        </w:trPr>
        <w:tc>
          <w:tcPr>
            <w:tcW w:w="21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2021 - Quarter 4</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0</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1</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2</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10</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rPr>
                <w:b/>
                <w:bCs/>
              </w:rPr>
            </w:pPr>
            <w:r w:rsidRPr="003927BD">
              <w:rPr>
                <w:b/>
                <w:bCs/>
              </w:rPr>
              <w:t>14</w:t>
            </w:r>
          </w:p>
        </w:tc>
      </w:tr>
      <w:tr w:rsidR="003927BD" w:rsidRPr="003927BD" w:rsidTr="003927BD">
        <w:trPr>
          <w:trHeight w:val="310"/>
        </w:trPr>
        <w:tc>
          <w:tcPr>
            <w:tcW w:w="21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2022 - Quarter 1</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1</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0</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3</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7</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rPr>
                <w:b/>
                <w:bCs/>
              </w:rPr>
            </w:pPr>
            <w:r w:rsidRPr="003927BD">
              <w:rPr>
                <w:b/>
                <w:bCs/>
              </w:rPr>
              <w:t>14</w:t>
            </w:r>
          </w:p>
        </w:tc>
      </w:tr>
      <w:tr w:rsidR="003927BD" w:rsidRPr="003927BD" w:rsidTr="003927BD">
        <w:trPr>
          <w:trHeight w:val="310"/>
        </w:trPr>
        <w:tc>
          <w:tcPr>
            <w:tcW w:w="21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2022 - Quarter 2</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0</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1</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1</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13</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rPr>
                <w:b/>
                <w:bCs/>
              </w:rPr>
            </w:pPr>
            <w:r w:rsidRPr="003927BD">
              <w:rPr>
                <w:b/>
                <w:bCs/>
              </w:rPr>
              <w:t>18</w:t>
            </w:r>
          </w:p>
        </w:tc>
      </w:tr>
      <w:tr w:rsidR="003927BD" w:rsidRPr="003927BD" w:rsidTr="003927BD">
        <w:trPr>
          <w:trHeight w:val="310"/>
        </w:trPr>
        <w:tc>
          <w:tcPr>
            <w:tcW w:w="21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2022 - Quarter 3</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0</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1</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3</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11</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rPr>
                <w:b/>
                <w:bCs/>
              </w:rPr>
            </w:pPr>
            <w:r w:rsidRPr="003927BD">
              <w:rPr>
                <w:b/>
                <w:bCs/>
              </w:rPr>
              <w:t>15</w:t>
            </w:r>
          </w:p>
        </w:tc>
      </w:tr>
      <w:tr w:rsidR="003927BD" w:rsidRPr="003927BD" w:rsidTr="003927BD">
        <w:trPr>
          <w:trHeight w:val="310"/>
        </w:trPr>
        <w:tc>
          <w:tcPr>
            <w:tcW w:w="21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2022 - Quarter 4</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0</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2</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2</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10</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rPr>
                <w:b/>
                <w:bCs/>
              </w:rPr>
            </w:pPr>
            <w:r w:rsidRPr="003927BD">
              <w:rPr>
                <w:b/>
                <w:bCs/>
              </w:rPr>
              <w:t>14</w:t>
            </w:r>
          </w:p>
        </w:tc>
      </w:tr>
      <w:tr w:rsidR="003927BD" w:rsidRPr="003927BD" w:rsidTr="003927BD">
        <w:trPr>
          <w:trHeight w:val="310"/>
        </w:trPr>
        <w:tc>
          <w:tcPr>
            <w:tcW w:w="21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2023 - Quarter 1</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0</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0</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3</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14</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pPr>
            <w:r w:rsidRPr="003927BD">
              <w:t>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rPr>
                <w:b/>
                <w:bCs/>
              </w:rPr>
            </w:pPr>
            <w:r w:rsidRPr="003927BD">
              <w:rPr>
                <w:b/>
                <w:bCs/>
              </w:rPr>
              <w:t>19</w:t>
            </w:r>
          </w:p>
        </w:tc>
      </w:tr>
      <w:tr w:rsidR="003927BD" w:rsidRPr="003927BD" w:rsidTr="003927BD">
        <w:trPr>
          <w:trHeight w:val="310"/>
        </w:trPr>
        <w:tc>
          <w:tcPr>
            <w:tcW w:w="212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rPr>
                <w:b/>
                <w:bCs/>
              </w:rPr>
            </w:pPr>
            <w:r w:rsidRPr="003927BD">
              <w:rPr>
                <w:b/>
                <w:bCs/>
              </w:rPr>
              <w:t>Total</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rPr>
                <w:b/>
                <w:bCs/>
              </w:rPr>
            </w:pPr>
            <w:r w:rsidRPr="003927BD">
              <w:rPr>
                <w:b/>
                <w:bCs/>
              </w:rPr>
              <w:t>4</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rPr>
                <w:b/>
                <w:bCs/>
              </w:rPr>
            </w:pPr>
            <w:r w:rsidRPr="003927BD">
              <w:rPr>
                <w:b/>
                <w:bCs/>
              </w:rPr>
              <w:t>15</w:t>
            </w:r>
          </w:p>
        </w:tc>
        <w:tc>
          <w:tcPr>
            <w:tcW w:w="12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rPr>
                <w:b/>
                <w:bCs/>
              </w:rPr>
            </w:pPr>
            <w:r w:rsidRPr="003927BD">
              <w:rPr>
                <w:b/>
                <w:bCs/>
              </w:rPr>
              <w:t>30</w:t>
            </w:r>
          </w:p>
        </w:tc>
        <w:tc>
          <w:tcPr>
            <w:tcW w:w="12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rPr>
                <w:b/>
                <w:bCs/>
              </w:rPr>
            </w:pPr>
            <w:r w:rsidRPr="003927BD">
              <w:rPr>
                <w:b/>
                <w:bCs/>
              </w:rPr>
              <w:t>165</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rPr>
                <w:b/>
                <w:bCs/>
              </w:rPr>
            </w:pPr>
            <w:r w:rsidRPr="003927BD">
              <w:rPr>
                <w:b/>
                <w:bCs/>
              </w:rPr>
              <w:t>31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927BD" w:rsidRPr="003927BD" w:rsidRDefault="003927BD" w:rsidP="003927BD">
            <w:pPr>
              <w:tabs>
                <w:tab w:val="left" w:pos="5400"/>
              </w:tabs>
              <w:spacing w:line="276" w:lineRule="auto"/>
              <w:rPr>
                <w:b/>
                <w:bCs/>
              </w:rPr>
            </w:pPr>
            <w:r w:rsidRPr="003927BD">
              <w:rPr>
                <w:b/>
                <w:bCs/>
              </w:rPr>
              <w:t>245</w:t>
            </w:r>
          </w:p>
        </w:tc>
      </w:tr>
    </w:tbl>
    <w:p w:rsidR="003927BD" w:rsidRDefault="003927BD" w:rsidP="003927BD">
      <w:pPr>
        <w:tabs>
          <w:tab w:val="left" w:pos="5400"/>
        </w:tabs>
        <w:rPr>
          <w:i/>
          <w:sz w:val="20"/>
        </w:rPr>
      </w:pPr>
      <w:r w:rsidRPr="003927BD">
        <w:rPr>
          <w:i/>
          <w:sz w:val="20"/>
        </w:rPr>
        <w:t xml:space="preserve">1 Data is based on the case received date. </w:t>
      </w:r>
      <w:r w:rsidRPr="003927BD">
        <w:rPr>
          <w:i/>
          <w:sz w:val="20"/>
        </w:rPr>
        <w:br/>
        <w:t>2 Data in the table above is linked to allegations</w:t>
      </w:r>
      <w:r w:rsidR="00E01AF8">
        <w:rPr>
          <w:i/>
          <w:sz w:val="20"/>
        </w:rPr>
        <w:t xml:space="preserve"> against Police officers only. </w:t>
      </w:r>
    </w:p>
    <w:p w:rsidR="00E01AF8" w:rsidRPr="003927BD" w:rsidRDefault="00E01AF8" w:rsidP="00E01AF8">
      <w:pPr>
        <w:tabs>
          <w:tab w:val="left" w:pos="5400"/>
        </w:tabs>
      </w:pPr>
      <w:r>
        <w:t>E</w:t>
      </w:r>
      <w:r w:rsidRPr="003927BD">
        <w:t xml:space="preserve">thnicity data is not recorded on the </w:t>
      </w:r>
      <w:r>
        <w:t>Professional Standards database</w:t>
      </w:r>
      <w:r w:rsidRPr="003927BD">
        <w:t xml:space="preserve"> therefore </w:t>
      </w:r>
      <w:r>
        <w:t xml:space="preserve">section 17 of the Act applies - the information is </w:t>
      </w:r>
      <w:r>
        <w:rPr>
          <w:i/>
        </w:rPr>
        <w:t xml:space="preserve">not held </w:t>
      </w:r>
      <w:r>
        <w:t>by Police Scotland.</w:t>
      </w:r>
    </w:p>
    <w:p w:rsidR="00E01AF8" w:rsidRDefault="00E01AF8" w:rsidP="00E01AF8">
      <w:pPr>
        <w:tabs>
          <w:tab w:val="left" w:pos="5400"/>
        </w:tabs>
      </w:pPr>
      <w:r w:rsidRPr="003927BD">
        <w:lastRenderedPageBreak/>
        <w:t xml:space="preserve">It should be noted that quarterly data contained in Professional Standards Department public facing </w:t>
      </w:r>
      <w:hyperlink r:id="rId10" w:history="1">
        <w:r w:rsidRPr="003927BD">
          <w:rPr>
            <w:rStyle w:val="Hyperlink"/>
          </w:rPr>
          <w:t>performance reports</w:t>
        </w:r>
      </w:hyperlink>
      <w:r w:rsidRPr="003927BD">
        <w:t xml:space="preserve"> is based on financial year period</w:t>
      </w:r>
      <w:r>
        <w:t>s</w:t>
      </w:r>
      <w:r w:rsidRPr="003927BD">
        <w:t xml:space="preserve">, which will vary from the periods you have </w:t>
      </w:r>
      <w:r>
        <w:t>specified in this request</w:t>
      </w:r>
      <w:r w:rsidRPr="003927BD">
        <w:t xml:space="preserve">. </w:t>
      </w:r>
      <w:r>
        <w:t xml:space="preserve"> </w:t>
      </w:r>
    </w:p>
    <w:p w:rsidR="00E01AF8" w:rsidRDefault="00E01AF8" w:rsidP="00E01AF8">
      <w:pPr>
        <w:tabs>
          <w:tab w:val="left" w:pos="5400"/>
        </w:tabs>
      </w:pPr>
      <w:r>
        <w:t>For example,</w:t>
      </w:r>
      <w:r w:rsidRPr="003927BD">
        <w:t xml:space="preserve"> quarter 1 within a calendar year covers the months of January </w:t>
      </w:r>
      <w:r>
        <w:t>to</w:t>
      </w:r>
      <w:r w:rsidRPr="003927BD">
        <w:t xml:space="preserve"> March (inclusive), whereas quarter 1 within a financial year covers the months of April </w:t>
      </w:r>
      <w:r>
        <w:t>to</w:t>
      </w:r>
      <w:r w:rsidRPr="003927BD">
        <w:t xml:space="preserve"> June (inclusive). </w:t>
      </w:r>
    </w:p>
    <w:p w:rsidR="003927BD" w:rsidRPr="003927BD" w:rsidRDefault="003927BD" w:rsidP="003927BD">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6E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6E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6E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6E7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6E7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6E7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C0B6C"/>
    <w:multiLevelType w:val="hybridMultilevel"/>
    <w:tmpl w:val="E37CD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0A6B03"/>
    <w:multiLevelType w:val="multilevel"/>
    <w:tmpl w:val="2884B10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4CD82DEF"/>
    <w:multiLevelType w:val="hybridMultilevel"/>
    <w:tmpl w:val="BB121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4B15349"/>
    <w:multiLevelType w:val="multilevel"/>
    <w:tmpl w:val="DE4A5F0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927BD"/>
    <w:rsid w:val="003D6D03"/>
    <w:rsid w:val="003E12CA"/>
    <w:rsid w:val="003E4EAD"/>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9D52DA"/>
    <w:rsid w:val="009F74DA"/>
    <w:rsid w:val="00A25E93"/>
    <w:rsid w:val="00A320FF"/>
    <w:rsid w:val="00A70AC0"/>
    <w:rsid w:val="00A84EA9"/>
    <w:rsid w:val="00AC443C"/>
    <w:rsid w:val="00B11A55"/>
    <w:rsid w:val="00B17211"/>
    <w:rsid w:val="00B461B2"/>
    <w:rsid w:val="00B71B3C"/>
    <w:rsid w:val="00BC0F04"/>
    <w:rsid w:val="00BC389E"/>
    <w:rsid w:val="00BE1888"/>
    <w:rsid w:val="00BF6B81"/>
    <w:rsid w:val="00C077A8"/>
    <w:rsid w:val="00C606A2"/>
    <w:rsid w:val="00C63872"/>
    <w:rsid w:val="00C84948"/>
    <w:rsid w:val="00CF1111"/>
    <w:rsid w:val="00D05706"/>
    <w:rsid w:val="00D27DC5"/>
    <w:rsid w:val="00D47E36"/>
    <w:rsid w:val="00D76E77"/>
    <w:rsid w:val="00E01AF8"/>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555383">
      <w:bodyDiv w:val="1"/>
      <w:marLeft w:val="0"/>
      <w:marRight w:val="0"/>
      <w:marTop w:val="0"/>
      <w:marBottom w:val="0"/>
      <w:divBdr>
        <w:top w:val="none" w:sz="0" w:space="0" w:color="auto"/>
        <w:left w:val="none" w:sz="0" w:space="0" w:color="auto"/>
        <w:bottom w:val="none" w:sz="0" w:space="0" w:color="auto"/>
        <w:right w:val="none" w:sz="0" w:space="0" w:color="auto"/>
      </w:divBdr>
    </w:div>
    <w:div w:id="825777721">
      <w:bodyDiv w:val="1"/>
      <w:marLeft w:val="0"/>
      <w:marRight w:val="0"/>
      <w:marTop w:val="0"/>
      <w:marBottom w:val="0"/>
      <w:divBdr>
        <w:top w:val="none" w:sz="0" w:space="0" w:color="auto"/>
        <w:left w:val="none" w:sz="0" w:space="0" w:color="auto"/>
        <w:bottom w:val="none" w:sz="0" w:space="0" w:color="auto"/>
        <w:right w:val="none" w:sz="0" w:space="0" w:color="auto"/>
      </w:divBdr>
    </w:div>
    <w:div w:id="1268536299">
      <w:bodyDiv w:val="1"/>
      <w:marLeft w:val="0"/>
      <w:marRight w:val="0"/>
      <w:marTop w:val="0"/>
      <w:marBottom w:val="0"/>
      <w:divBdr>
        <w:top w:val="none" w:sz="0" w:space="0" w:color="auto"/>
        <w:left w:val="none" w:sz="0" w:space="0" w:color="auto"/>
        <w:bottom w:val="none" w:sz="0" w:space="0" w:color="auto"/>
        <w:right w:val="none" w:sz="0" w:space="0" w:color="auto"/>
      </w:divBdr>
    </w:div>
    <w:div w:id="1335768121">
      <w:bodyDiv w:val="1"/>
      <w:marLeft w:val="0"/>
      <w:marRight w:val="0"/>
      <w:marTop w:val="0"/>
      <w:marBottom w:val="0"/>
      <w:divBdr>
        <w:top w:val="none" w:sz="0" w:space="0" w:color="auto"/>
        <w:left w:val="none" w:sz="0" w:space="0" w:color="auto"/>
        <w:bottom w:val="none" w:sz="0" w:space="0" w:color="auto"/>
        <w:right w:val="none" w:sz="0" w:space="0" w:color="auto"/>
      </w:divBdr>
    </w:div>
    <w:div w:id="1534461030">
      <w:bodyDiv w:val="1"/>
      <w:marLeft w:val="0"/>
      <w:marRight w:val="0"/>
      <w:marTop w:val="0"/>
      <w:marBottom w:val="0"/>
      <w:divBdr>
        <w:top w:val="none" w:sz="0" w:space="0" w:color="auto"/>
        <w:left w:val="none" w:sz="0" w:space="0" w:color="auto"/>
        <w:bottom w:val="none" w:sz="0" w:space="0" w:color="auto"/>
        <w:right w:val="none" w:sz="0" w:space="0" w:color="auto"/>
      </w:divBdr>
    </w:div>
    <w:div w:id="1793549646">
      <w:bodyDiv w:val="1"/>
      <w:marLeft w:val="0"/>
      <w:marRight w:val="0"/>
      <w:marTop w:val="0"/>
      <w:marBottom w:val="0"/>
      <w:divBdr>
        <w:top w:val="none" w:sz="0" w:space="0" w:color="auto"/>
        <w:left w:val="none" w:sz="0" w:space="0" w:color="auto"/>
        <w:bottom w:val="none" w:sz="0" w:space="0" w:color="auto"/>
        <w:right w:val="none" w:sz="0" w:space="0" w:color="auto"/>
      </w:divBdr>
    </w:div>
    <w:div w:id="2019497003">
      <w:bodyDiv w:val="1"/>
      <w:marLeft w:val="0"/>
      <w:marRight w:val="0"/>
      <w:marTop w:val="0"/>
      <w:marBottom w:val="0"/>
      <w:divBdr>
        <w:top w:val="none" w:sz="0" w:space="0" w:color="auto"/>
        <w:left w:val="none" w:sz="0" w:space="0" w:color="auto"/>
        <w:bottom w:val="none" w:sz="0" w:space="0" w:color="auto"/>
        <w:right w:val="none" w:sz="0" w:space="0" w:color="auto"/>
      </w:divBdr>
    </w:div>
    <w:div w:id="2037538929">
      <w:bodyDiv w:val="1"/>
      <w:marLeft w:val="0"/>
      <w:marRight w:val="0"/>
      <w:marTop w:val="0"/>
      <w:marBottom w:val="0"/>
      <w:divBdr>
        <w:top w:val="none" w:sz="0" w:space="0" w:color="auto"/>
        <w:left w:val="none" w:sz="0" w:space="0" w:color="auto"/>
        <w:bottom w:val="none" w:sz="0" w:space="0" w:color="auto"/>
        <w:right w:val="none" w:sz="0" w:space="0" w:color="auto"/>
      </w:divBdr>
    </w:div>
    <w:div w:id="206309608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policeconduct.gov.uk%2Fsites%2Fdefault%2Ffiles%2FDocuments%2Fstatistics%2FData_tables_21_22.ods&amp;data=05%7C01%7Cfoi%40scotland.police.uk%7C0f633326b4284ef2540b08db5167f342%7C6795c5d3c94b497a865c4c343e4cf141%7C0%7C0%7C638193279133096712%7CUnknown%7CTWFpbGZsb3d8eyJWIjoiMC4wLjAwMDAiLCJQIjoiV2luMzIiLCJBTiI6Ik1haWwiLCJXVCI6Mn0%3D%7C3000%7C%7C%7C&amp;sdata=n0zUhYuY9%2FHC6OIHw8VAjcizGuloQPwufwlUw0Eqojc%3D&amp;reserved=0"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pa.police.uk/meetings/complaints-and-conduct-committee/01-march-2023/"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cotland.police.uk/spa-media/fifhh5vo/complaints-about-the-police-sop.pdf"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4</Pages>
  <Words>868</Words>
  <Characters>4950</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2023-06-12T12:32:00Z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