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9AEEC4F" w:rsidR="00B17211" w:rsidRPr="00B17211" w:rsidRDefault="00B17211" w:rsidP="007F490F">
            <w:r w:rsidRPr="007F490F">
              <w:rPr>
                <w:rStyle w:val="Heading2Char"/>
              </w:rPr>
              <w:t>Our reference:</w:t>
            </w:r>
            <w:r>
              <w:t xml:space="preserve">  FOI 2</w:t>
            </w:r>
            <w:r w:rsidR="00EF0FBB">
              <w:t>5</w:t>
            </w:r>
            <w:r>
              <w:t>-</w:t>
            </w:r>
            <w:r w:rsidR="00FD783F">
              <w:t>1014</w:t>
            </w:r>
          </w:p>
          <w:p w14:paraId="34BDABA6" w14:textId="44BA7CB2" w:rsidR="00B17211" w:rsidRDefault="00456324" w:rsidP="00EE2373">
            <w:r w:rsidRPr="007F490F">
              <w:rPr>
                <w:rStyle w:val="Heading2Char"/>
              </w:rPr>
              <w:t>Respon</w:t>
            </w:r>
            <w:r w:rsidR="007D55F6">
              <w:rPr>
                <w:rStyle w:val="Heading2Char"/>
              </w:rPr>
              <w:t>ded to:</w:t>
            </w:r>
            <w:r w:rsidR="007F490F">
              <w:t xml:space="preserve">  </w:t>
            </w:r>
            <w:r w:rsidR="00FD783F">
              <w:t>22 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50F245D" w14:textId="5A0D0B72" w:rsidR="00FD783F" w:rsidRDefault="00C51EC2" w:rsidP="00FD783F">
      <w:pPr>
        <w:pStyle w:val="Heading2"/>
        <w:rPr>
          <w:szCs w:val="24"/>
        </w:rPr>
      </w:pPr>
      <w:r>
        <w:rPr>
          <w:szCs w:val="24"/>
        </w:rPr>
        <w:t>Information about a fatal Road Traffic Collision - 31/12/2024, Barrhead Rd, Paisley</w:t>
      </w:r>
      <w:r w:rsidR="00C523E0">
        <w:rPr>
          <w:szCs w:val="24"/>
        </w:rPr>
        <w:br/>
      </w:r>
      <w:r w:rsidR="00FD783F" w:rsidRPr="00FD783F">
        <w:rPr>
          <w:szCs w:val="24"/>
        </w:rPr>
        <w:t xml:space="preserve">Status and/or outcome of Police investigation. </w:t>
      </w:r>
    </w:p>
    <w:p w14:paraId="5B30CF0F" w14:textId="3D01B86E" w:rsidR="00C51EC2" w:rsidRDefault="00C51EC2" w:rsidP="00C51EC2">
      <w:r>
        <w:t>The investigation remains in progress with ongoing lines of enquiry. </w:t>
      </w:r>
    </w:p>
    <w:p w14:paraId="0172718C" w14:textId="77777777" w:rsidR="00C51EC2" w:rsidRPr="00C51EC2" w:rsidRDefault="00C51EC2" w:rsidP="00C51EC2"/>
    <w:p w14:paraId="2B99896D" w14:textId="3C450981" w:rsidR="00C51EC2" w:rsidRPr="00C51EC2" w:rsidRDefault="00023DDE" w:rsidP="00C51EC2">
      <w:pPr>
        <w:pStyle w:val="Heading2"/>
        <w:rPr>
          <w:szCs w:val="24"/>
        </w:rPr>
      </w:pPr>
      <w:r w:rsidRPr="00FD783F">
        <w:rPr>
          <w:szCs w:val="24"/>
        </w:rPr>
        <w:t xml:space="preserve">Copy of incident recording and/or report </w:t>
      </w:r>
    </w:p>
    <w:p w14:paraId="2061A13B" w14:textId="3FEDFB0C" w:rsidR="00C51EC2" w:rsidRDefault="005B3FC4" w:rsidP="00C51EC2">
      <w:pPr>
        <w:tabs>
          <w:tab w:val="left" w:pos="5400"/>
        </w:tabs>
      </w:pPr>
      <w:r>
        <w:t>A sudden death report</w:t>
      </w:r>
      <w:r w:rsidR="00C51EC2">
        <w:t xml:space="preserve"> is held by Police Scotland, but I am refusing to provide it in terms of s</w:t>
      </w:r>
      <w:r w:rsidR="00C51EC2" w:rsidRPr="00453F0A">
        <w:t>ection 16</w:t>
      </w:r>
      <w:r w:rsidR="00C51EC2">
        <w:t xml:space="preserve">(1) of the Act on the basis that the following exemptions apply: </w:t>
      </w:r>
    </w:p>
    <w:p w14:paraId="35791B8B" w14:textId="58C26296" w:rsidR="005B3FC4" w:rsidRPr="005B3FC4" w:rsidRDefault="00C51EC2" w:rsidP="005B3FC4">
      <w:pPr>
        <w:pStyle w:val="Heading2"/>
        <w:numPr>
          <w:ilvl w:val="0"/>
          <w:numId w:val="4"/>
        </w:numPr>
        <w:rPr>
          <w:b w:val="0"/>
          <w:bCs/>
          <w:i/>
          <w:iCs/>
        </w:rPr>
      </w:pPr>
      <w:r w:rsidRPr="005B3FC4">
        <w:rPr>
          <w:b w:val="0"/>
          <w:bCs/>
          <w:i/>
          <w:iCs/>
        </w:rPr>
        <w:t>Section 34</w:t>
      </w:r>
      <w:r w:rsidR="005B3FC4" w:rsidRPr="005B3FC4">
        <w:rPr>
          <w:b w:val="0"/>
          <w:bCs/>
          <w:i/>
          <w:iCs/>
        </w:rPr>
        <w:t xml:space="preserve">(2)(b) - </w:t>
      </w:r>
      <w:r w:rsidRPr="005B3FC4">
        <w:rPr>
          <w:b w:val="0"/>
          <w:bCs/>
          <w:i/>
          <w:iCs/>
        </w:rPr>
        <w:t>Investigations</w:t>
      </w:r>
      <w:r w:rsidR="005B3FC4">
        <w:rPr>
          <w:b w:val="0"/>
          <w:bCs/>
          <w:i/>
          <w:iCs/>
        </w:rPr>
        <w:br/>
      </w:r>
      <w:r w:rsidR="005B3FC4" w:rsidRPr="005B3FC4">
        <w:rPr>
          <w:b w:val="0"/>
          <w:bCs/>
        </w:rPr>
        <w:t xml:space="preserve">Information </w:t>
      </w:r>
      <w:r w:rsidR="00C523E0" w:rsidRPr="005B3FC4">
        <w:rPr>
          <w:b w:val="0"/>
          <w:bCs/>
        </w:rPr>
        <w:t xml:space="preserve">is exempt </w:t>
      </w:r>
      <w:r w:rsidR="00C523E0">
        <w:rPr>
          <w:b w:val="0"/>
          <w:bCs/>
        </w:rPr>
        <w:t xml:space="preserve">where it is </w:t>
      </w:r>
      <w:r w:rsidR="005B3FC4" w:rsidRPr="005B3FC4">
        <w:rPr>
          <w:b w:val="0"/>
          <w:bCs/>
        </w:rPr>
        <w:t>held for the purpose of an investigation, carried out with the aim of making a report to COPFS as respects the cause of death of a person</w:t>
      </w:r>
      <w:r w:rsidR="00C523E0">
        <w:rPr>
          <w:b w:val="0"/>
          <w:bCs/>
        </w:rPr>
        <w:t>.</w:t>
      </w:r>
    </w:p>
    <w:p w14:paraId="1B541FE8" w14:textId="77777777" w:rsidR="005B3FC4" w:rsidRPr="005B3FC4" w:rsidRDefault="005B3FC4" w:rsidP="005B3FC4">
      <w:pPr>
        <w:pStyle w:val="ListParagraph"/>
        <w:numPr>
          <w:ilvl w:val="0"/>
          <w:numId w:val="4"/>
        </w:numPr>
        <w:tabs>
          <w:tab w:val="left" w:pos="5400"/>
        </w:tabs>
        <w:rPr>
          <w:i/>
          <w:iCs/>
        </w:rPr>
      </w:pPr>
      <w:r w:rsidRPr="005B3FC4">
        <w:rPr>
          <w:i/>
          <w:iCs/>
        </w:rPr>
        <w:t>Section 35(1)(</w:t>
      </w:r>
      <w:proofErr w:type="gramStart"/>
      <w:r w:rsidRPr="005B3FC4">
        <w:rPr>
          <w:i/>
          <w:iCs/>
        </w:rPr>
        <w:t>a)&amp;</w:t>
      </w:r>
      <w:proofErr w:type="gramEnd"/>
      <w:r w:rsidRPr="005B3FC4">
        <w:rPr>
          <w:i/>
          <w:iCs/>
        </w:rPr>
        <w:t>(b) - Law Enforcement</w:t>
      </w:r>
      <w:r>
        <w:rPr>
          <w:i/>
          <w:iCs/>
        </w:rPr>
        <w:br/>
      </w:r>
      <w:r>
        <w:t>Information is exempt where it is assessed that disclosure would be likely to prejudice the detection of crime and apprehension and prosecution of offenders.</w:t>
      </w:r>
    </w:p>
    <w:p w14:paraId="522C4F34" w14:textId="7F217D50" w:rsidR="005B3FC4" w:rsidRPr="005B3FC4" w:rsidRDefault="005B3FC4" w:rsidP="005B3FC4">
      <w:pPr>
        <w:tabs>
          <w:tab w:val="left" w:pos="5400"/>
        </w:tabs>
        <w:rPr>
          <w:i/>
          <w:iCs/>
        </w:rPr>
      </w:pPr>
      <w:r w:rsidRPr="008B62C4">
        <w:t xml:space="preserve">The public interest overwhelmingly lies in protecting </w:t>
      </w:r>
      <w:r>
        <w:t xml:space="preserve">the integrity of the investigation of death and associated criminal justice procedures in place.  We would also argue that it is essential to protect an </w:t>
      </w:r>
      <w:r w:rsidRPr="008B62C4">
        <w:t>individual</w:t>
      </w:r>
      <w:r>
        <w:t>’</w:t>
      </w:r>
      <w:r w:rsidRPr="008B62C4">
        <w:t>s right to privacy and expectation of confidentiality</w:t>
      </w:r>
      <w:r>
        <w:t xml:space="preserve"> - even in death.  There are processes in place, </w:t>
      </w:r>
      <w:proofErr w:type="spellStart"/>
      <w:r>
        <w:t>outwith</w:t>
      </w:r>
      <w:proofErr w:type="spellEnd"/>
      <w:r>
        <w:t xml:space="preserve"> FOI and the public nature of associated disclosures, to progress matters such as this.</w:t>
      </w:r>
    </w:p>
    <w:p w14:paraId="0BC7395E" w14:textId="7209A844" w:rsidR="00C523E0" w:rsidRDefault="00C51EC2" w:rsidP="00C51EC2">
      <w:pPr>
        <w:pStyle w:val="ListParagraph"/>
        <w:numPr>
          <w:ilvl w:val="0"/>
          <w:numId w:val="4"/>
        </w:numPr>
        <w:tabs>
          <w:tab w:val="left" w:pos="5400"/>
        </w:tabs>
      </w:pPr>
      <w:r w:rsidRPr="005B3FC4">
        <w:rPr>
          <w:i/>
          <w:iCs/>
        </w:rPr>
        <w:t>Section 38(1)(b) - Personal Data</w:t>
      </w:r>
      <w:r w:rsidR="005B3FC4">
        <w:rPr>
          <w:i/>
          <w:iCs/>
        </w:rPr>
        <w:br/>
      </w:r>
      <w:r w:rsidRPr="00023DDE">
        <w:t>Personal data is defined in Article 4 of GDPR as:</w:t>
      </w:r>
      <w:r w:rsidR="000314C2">
        <w:t xml:space="preserve"> </w:t>
      </w:r>
      <w:r w:rsidRPr="00C523E0">
        <w:rPr>
          <w:i/>
          <w:iCs/>
        </w:rPr>
        <w:t xml:space="preserve">‘Information relating to an identified or identifiable natural person </w:t>
      </w:r>
      <w:r w:rsidR="000314C2">
        <w:rPr>
          <w:i/>
          <w:iCs/>
        </w:rPr>
        <w:t>[…]</w:t>
      </w:r>
      <w:r w:rsidRPr="00C523E0">
        <w:rPr>
          <w:i/>
          <w:iCs/>
        </w:rPr>
        <w:t xml:space="preserv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C523E0">
        <w:rPr>
          <w:i/>
          <w:iCs/>
        </w:rPr>
        <w:br/>
      </w:r>
      <w:r w:rsidR="00C523E0">
        <w:lastRenderedPageBreak/>
        <w:t>P</w:t>
      </w:r>
      <w:r w:rsidRPr="00023DDE">
        <w:t>ersonal data is exempt from disclosure where disclosure would contravene any of the data protection principles set out at Article 5(1) of the GDPR</w:t>
      </w:r>
      <w:r w:rsidR="00C523E0">
        <w:t>.</w:t>
      </w:r>
      <w:r w:rsidR="00C523E0">
        <w:br/>
      </w:r>
      <w:r w:rsidRPr="00023DDE">
        <w:t>Article 6 of the GDPR goes on to state that processing shall be lawful only if certain conditions are met.</w:t>
      </w:r>
      <w:r w:rsidR="00C523E0">
        <w:br/>
      </w:r>
      <w:r w:rsidRPr="00023DDE">
        <w:t xml:space="preserve">The only potentially applicable condition is set out at Article 6(1)(f) which states: </w:t>
      </w:r>
    </w:p>
    <w:p w14:paraId="2F81E7B2" w14:textId="59DC751F" w:rsidR="00C51EC2" w:rsidRDefault="00C51EC2" w:rsidP="00C523E0">
      <w:pPr>
        <w:pStyle w:val="ListParagraph"/>
        <w:tabs>
          <w:tab w:val="left" w:pos="5400"/>
        </w:tabs>
        <w:ind w:left="360"/>
      </w:pPr>
      <w:r w:rsidRPr="00C523E0">
        <w:rPr>
          <w:i/>
          <w:iCs/>
        </w:rP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w:t>
      </w:r>
      <w:r w:rsidR="00C523E0">
        <w:rPr>
          <w:i/>
          <w:iCs/>
        </w:rPr>
        <w:br/>
      </w:r>
      <w:r w:rsidRPr="00023DDE">
        <w:t>Whilst I accept that you may have a legitimate interest with regards the disclosure of the report, I am nonetheless of the view that those interests are overridden by the interests or fundamental rights and freedoms of the data subject(s). On that basis, it is my view that disclosure of the information sought would be unlawful.</w:t>
      </w:r>
    </w:p>
    <w:p w14:paraId="7E669E58" w14:textId="77777777" w:rsidR="00C523E0" w:rsidRDefault="00C523E0" w:rsidP="00C523E0">
      <w:pPr>
        <w:pStyle w:val="ListParagraph"/>
        <w:tabs>
          <w:tab w:val="left" w:pos="5400"/>
        </w:tabs>
        <w:ind w:left="360"/>
      </w:pPr>
    </w:p>
    <w:p w14:paraId="38B1759A" w14:textId="3335ECC5" w:rsidR="00023DDE" w:rsidRPr="00023DDE" w:rsidRDefault="00C51EC2" w:rsidP="00023DDE">
      <w:pPr>
        <w:pStyle w:val="Heading2"/>
        <w:rPr>
          <w:szCs w:val="24"/>
        </w:rPr>
      </w:pPr>
      <w:r>
        <w:rPr>
          <w:szCs w:val="24"/>
        </w:rPr>
        <w:t xml:space="preserve">[…] </w:t>
      </w:r>
      <w:r w:rsidR="00023DDE" w:rsidRPr="00FD783F">
        <w:rPr>
          <w:szCs w:val="24"/>
        </w:rPr>
        <w:t xml:space="preserve">and crime reference number. </w:t>
      </w:r>
    </w:p>
    <w:p w14:paraId="3B14CCBC" w14:textId="0D1AD2DC" w:rsidR="00023DDE" w:rsidRPr="00023DDE" w:rsidRDefault="005B3FC4" w:rsidP="00023DDE">
      <w:r>
        <w:t>There is no crime reference number and section 17 of the Act therefor</w:t>
      </w:r>
      <w:r w:rsidR="00106D39">
        <w:t>e</w:t>
      </w:r>
      <w:r>
        <w:t xml:space="preserve"> applies.</w:t>
      </w:r>
    </w:p>
    <w:p w14:paraId="20C24588" w14:textId="2DA23A5E" w:rsidR="00023DDE" w:rsidRPr="00023DDE" w:rsidRDefault="00023DDE" w:rsidP="00023DDE"/>
    <w:p w14:paraId="1C953E2F" w14:textId="77777777" w:rsidR="00FD783F" w:rsidRDefault="00FD783F" w:rsidP="00FD783F">
      <w:pPr>
        <w:pStyle w:val="Heading2"/>
        <w:rPr>
          <w:szCs w:val="24"/>
        </w:rPr>
      </w:pPr>
      <w:r w:rsidRPr="00FD783F">
        <w:rPr>
          <w:szCs w:val="24"/>
        </w:rPr>
        <w:t xml:space="preserve">Confirmation as to whether this matter has been referred to the PF and note of PF reference. </w:t>
      </w:r>
    </w:p>
    <w:p w14:paraId="14D71459" w14:textId="22D11ED1" w:rsidR="005B3FC4" w:rsidRDefault="00457F9A" w:rsidP="000314C2">
      <w:r>
        <w:t>I can confirm this matter</w:t>
      </w:r>
      <w:r w:rsidR="00023DDE">
        <w:t xml:space="preserve"> has been referred to the </w:t>
      </w:r>
      <w:r w:rsidR="00C51EC2">
        <w:rPr>
          <w:rFonts w:eastAsiaTheme="majorEastAsia" w:cstheme="majorBidi"/>
          <w:bCs/>
          <w:color w:val="000000" w:themeColor="text1"/>
          <w:szCs w:val="26"/>
        </w:rPr>
        <w:t>Crown Office and Procurator Fiscal Service (COPFS)</w:t>
      </w:r>
      <w:r w:rsidR="00023DDE">
        <w:t xml:space="preserve"> and the</w:t>
      </w:r>
      <w:r w:rsidR="005B3FC4">
        <w:t>ir</w:t>
      </w:r>
      <w:r w:rsidR="00023DDE">
        <w:t xml:space="preserve"> reference is PA25000006.</w:t>
      </w:r>
      <w:r w:rsidR="005B3FC4" w:rsidRPr="005B3FC4">
        <w:t xml:space="preserve"> </w:t>
      </w:r>
      <w:r w:rsidR="000314C2">
        <w:t xml:space="preserve"> </w:t>
      </w:r>
      <w:r w:rsidR="005B3FC4">
        <w:t>The Sudden Death Report reference is PSSKADH6C0125.</w:t>
      </w:r>
    </w:p>
    <w:p w14:paraId="1FA16F69" w14:textId="77777777" w:rsidR="000314C2" w:rsidRDefault="000314C2" w:rsidP="000314C2"/>
    <w:p w14:paraId="66277C69" w14:textId="13DCB34C" w:rsidR="005B3FC4" w:rsidRPr="00C51EC2" w:rsidRDefault="005B3FC4" w:rsidP="005B3FC4">
      <w:pPr>
        <w:pStyle w:val="Heading2"/>
        <w:rPr>
          <w:szCs w:val="24"/>
        </w:rPr>
      </w:pPr>
      <w:r w:rsidRPr="00FD783F">
        <w:rPr>
          <w:szCs w:val="24"/>
        </w:rPr>
        <w:t xml:space="preserve">Confirmation of the charges brought against the driver. </w:t>
      </w:r>
    </w:p>
    <w:p w14:paraId="6DC7EE46" w14:textId="41D58A1C" w:rsidR="00C51EC2" w:rsidRDefault="005B3FC4" w:rsidP="00457F9A">
      <w:pPr>
        <w:rPr>
          <w:rFonts w:eastAsiaTheme="majorEastAsia" w:cstheme="majorBidi"/>
          <w:bCs/>
          <w:color w:val="000000" w:themeColor="text1"/>
          <w:szCs w:val="26"/>
        </w:rPr>
      </w:pPr>
      <w:r>
        <w:rPr>
          <w:rFonts w:eastAsiaTheme="majorEastAsia" w:cstheme="majorBidi"/>
          <w:bCs/>
          <w:color w:val="000000" w:themeColor="text1"/>
          <w:szCs w:val="26"/>
        </w:rPr>
        <w:t>At present, no charges have been brought</w:t>
      </w:r>
      <w:r w:rsidR="00C523E0">
        <w:rPr>
          <w:rFonts w:eastAsiaTheme="majorEastAsia" w:cstheme="majorBidi"/>
          <w:bCs/>
          <w:color w:val="000000" w:themeColor="text1"/>
          <w:szCs w:val="26"/>
        </w:rPr>
        <w:t>,</w:t>
      </w:r>
      <w:r>
        <w:rPr>
          <w:rFonts w:eastAsiaTheme="majorEastAsia" w:cstheme="majorBidi"/>
          <w:bCs/>
          <w:color w:val="000000" w:themeColor="text1"/>
          <w:szCs w:val="26"/>
        </w:rPr>
        <w:t xml:space="preserve"> and section 17 of the Act therefore applies.</w:t>
      </w:r>
    </w:p>
    <w:p w14:paraId="0366B6C6" w14:textId="77777777" w:rsidR="000314C2" w:rsidRDefault="000314C2" w:rsidP="00457F9A">
      <w:pPr>
        <w:rPr>
          <w:rFonts w:eastAsiaTheme="majorEastAsia" w:cstheme="majorBidi"/>
          <w:bCs/>
          <w:color w:val="000000" w:themeColor="text1"/>
          <w:szCs w:val="26"/>
        </w:rPr>
      </w:pPr>
    </w:p>
    <w:p w14:paraId="438C4ED7" w14:textId="6938FE0B" w:rsidR="00FD783F" w:rsidRDefault="00FD783F" w:rsidP="00FD783F">
      <w:pPr>
        <w:pStyle w:val="Heading2"/>
        <w:rPr>
          <w:szCs w:val="24"/>
        </w:rPr>
      </w:pPr>
      <w:r w:rsidRPr="00FD783F">
        <w:rPr>
          <w:szCs w:val="24"/>
        </w:rPr>
        <w:t xml:space="preserve">Confirmation of </w:t>
      </w:r>
      <w:proofErr w:type="gramStart"/>
      <w:r w:rsidRPr="00FD783F">
        <w:rPr>
          <w:szCs w:val="24"/>
        </w:rPr>
        <w:t>whether or not</w:t>
      </w:r>
      <w:proofErr w:type="gramEnd"/>
      <w:r w:rsidRPr="00FD783F">
        <w:rPr>
          <w:szCs w:val="24"/>
        </w:rPr>
        <w:t xml:space="preserve"> there is CCTV footage of this accident. </w:t>
      </w:r>
    </w:p>
    <w:p w14:paraId="535274BC" w14:textId="7C50B9AB" w:rsidR="00457F9A" w:rsidRDefault="00457F9A" w:rsidP="00457F9A">
      <w:r>
        <w:t>I am refusing to confirm or deny whether the information sought exists or is held by Police Scotland in terms of section 18 of the Act.  Section 18 applies where the following two conditions are met:</w:t>
      </w:r>
    </w:p>
    <w:p w14:paraId="1D5539CD" w14:textId="43327AA2" w:rsidR="00457F9A" w:rsidRDefault="00457F9A" w:rsidP="00457F9A">
      <w:pPr>
        <w:pStyle w:val="ListParagraph"/>
        <w:numPr>
          <w:ilvl w:val="0"/>
          <w:numId w:val="3"/>
        </w:numPr>
      </w:pPr>
      <w:r>
        <w:lastRenderedPageBreak/>
        <w:t>It would be contrary to the public interest to reveal whether the information is held.</w:t>
      </w:r>
      <w:r>
        <w:br/>
        <w:t xml:space="preserve">Whilst we accept that you may have a particular </w:t>
      </w:r>
      <w:r w:rsidR="00622799">
        <w:t>business</w:t>
      </w:r>
      <w:r>
        <w:t xml:space="preserve"> interest in being informed as to whether the information sought is held, the overwhelming public interest lies in protecting </w:t>
      </w:r>
      <w:r w:rsidR="00F73948">
        <w:t>the integrity of investigations, particularly where those investigations remain in progress</w:t>
      </w:r>
      <w:r>
        <w:t>.</w:t>
      </w:r>
    </w:p>
    <w:p w14:paraId="69972E5C" w14:textId="709AAA65" w:rsidR="00457F9A" w:rsidRDefault="00457F9A" w:rsidP="00457F9A">
      <w:pPr>
        <w:pStyle w:val="ListParagraph"/>
        <w:numPr>
          <w:ilvl w:val="0"/>
          <w:numId w:val="3"/>
        </w:numPr>
      </w:pPr>
      <w:r>
        <w:t xml:space="preserve">If the information was held, it would be exempt from disclosure.  In this instance, </w:t>
      </w:r>
      <w:r w:rsidR="00F73948">
        <w:t>the exemptions articulated above would all apply.</w:t>
      </w:r>
    </w:p>
    <w:p w14:paraId="56E65B52" w14:textId="77777777" w:rsidR="000314C2" w:rsidRDefault="000314C2" w:rsidP="00457F9A">
      <w:pPr>
        <w:rPr>
          <w:b/>
          <w:bCs/>
        </w:rPr>
      </w:pPr>
    </w:p>
    <w:p w14:paraId="15F97271" w14:textId="5E4A3D7E" w:rsidR="000314C2" w:rsidRPr="000314C2" w:rsidRDefault="000314C2" w:rsidP="00457F9A">
      <w:pPr>
        <w:rPr>
          <w:b/>
          <w:bCs/>
        </w:rPr>
      </w:pPr>
      <w:r w:rsidRPr="000314C2">
        <w:rPr>
          <w:b/>
          <w:bCs/>
        </w:rPr>
        <w:t xml:space="preserve">We would be obliged if you could confirm this information and retain this footage so that we may obtain a copy of it on conclusion of criminal proceedings. </w:t>
      </w:r>
    </w:p>
    <w:p w14:paraId="4F14B1A5" w14:textId="5350B27E" w:rsidR="000314C2" w:rsidRDefault="000314C2" w:rsidP="00457F9A">
      <w:r>
        <w:t>We cannot assist you with non-FOI matters.</w:t>
      </w:r>
    </w:p>
    <w:p w14:paraId="7A11A706" w14:textId="632D78DF" w:rsidR="00457F9A" w:rsidRPr="00457F9A" w:rsidRDefault="000314C2" w:rsidP="00457F9A">
      <w:r>
        <w:t>You may wish to contact our</w:t>
      </w:r>
      <w:r w:rsidR="00457F9A">
        <w:t xml:space="preserve"> Legal </w:t>
      </w:r>
      <w:r w:rsidR="00C51EC2">
        <w:t xml:space="preserve">Services </w:t>
      </w:r>
      <w:r w:rsidR="00457F9A">
        <w:t>department</w:t>
      </w:r>
      <w:r w:rsidR="00C51EC2">
        <w:t>:</w:t>
      </w:r>
    </w:p>
    <w:p w14:paraId="61F79B8D" w14:textId="3E91968E" w:rsidR="00457F9A" w:rsidRDefault="00457F9A" w:rsidP="00793DD5">
      <w:hyperlink r:id="rId11" w:history="1">
        <w:r w:rsidRPr="00457F9A">
          <w:rPr>
            <w:color w:val="0000FF"/>
            <w:u w:val="single"/>
          </w:rPr>
          <w:t>Contact Police Scotland - Police Scotland</w:t>
        </w:r>
      </w:hyperlink>
    </w:p>
    <w:p w14:paraId="6D95B162" w14:textId="77777777" w:rsidR="00C51EC2" w:rsidRDefault="00C51EC2" w:rsidP="00793DD5">
      <w:pPr>
        <w:rPr>
          <w:rFonts w:ascii="Segoe UI" w:hAnsi="Segoe UI" w:cs="Segoe UI"/>
          <w:color w:val="444444"/>
          <w:sz w:val="20"/>
          <w:szCs w:val="20"/>
          <w:shd w:val="clear" w:color="auto" w:fill="FFFFFF"/>
        </w:rPr>
      </w:pPr>
    </w:p>
    <w:p w14:paraId="34BDABBE" w14:textId="656EAD34"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2DD4AB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54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295FD9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54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7E9E3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54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406B4F9" w:rsidR="00491644" w:rsidRDefault="00A25E93" w:rsidP="00491644">
    <w:pPr>
      <w:pStyle w:val="Header"/>
      <w:jc w:val="center"/>
    </w:pPr>
    <w:r w:rsidRPr="00457F9A">
      <w:rPr>
        <w:rFonts w:ascii="Times New Roman" w:hAnsi="Times New Roman" w:cs="Times New Roman"/>
        <w:b/>
      </w:rPr>
      <w:fldChar w:fldCharType="begin"/>
    </w:r>
    <w:r w:rsidRPr="00457F9A">
      <w:rPr>
        <w:rFonts w:ascii="Times New Roman" w:hAnsi="Times New Roman" w:cs="Times New Roman"/>
        <w:b/>
      </w:rPr>
      <w:instrText xml:space="preserve"> DOCPROPERTY ClassificationMarking \* MERGEFORMAT </w:instrText>
    </w:r>
    <w:r w:rsidRPr="00457F9A">
      <w:rPr>
        <w:rFonts w:ascii="Times New Roman" w:hAnsi="Times New Roman" w:cs="Times New Roman"/>
        <w:b/>
      </w:rPr>
      <w:fldChar w:fldCharType="separate"/>
    </w:r>
    <w:r w:rsidR="00E35491">
      <w:rPr>
        <w:rFonts w:ascii="Times New Roman" w:hAnsi="Times New Roman" w:cs="Times New Roman"/>
        <w:b/>
      </w:rPr>
      <w:t>OFFICIAL</w:t>
    </w:r>
    <w:r w:rsidRPr="00457F9A">
      <w:rPr>
        <w:rFonts w:ascii="Times New Roman" w:hAnsi="Times New Roman" w:cs="Times New Roman"/>
        <w:b/>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395AF3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549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32C850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549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0828D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037974"/>
    <w:multiLevelType w:val="hybridMultilevel"/>
    <w:tmpl w:val="8F206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26683176">
    <w:abstractNumId w:val="0"/>
  </w:num>
  <w:num w:numId="3" w16cid:durableId="218709230">
    <w:abstractNumId w:val="2"/>
  </w:num>
  <w:num w:numId="4" w16cid:durableId="1666282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35A2"/>
    <w:rsid w:val="00023DDE"/>
    <w:rsid w:val="000314C2"/>
    <w:rsid w:val="00090F3B"/>
    <w:rsid w:val="000E2F19"/>
    <w:rsid w:val="000E6526"/>
    <w:rsid w:val="00106D39"/>
    <w:rsid w:val="00141533"/>
    <w:rsid w:val="00151DD0"/>
    <w:rsid w:val="00167528"/>
    <w:rsid w:val="00195CC4"/>
    <w:rsid w:val="00207326"/>
    <w:rsid w:val="00253DF6"/>
    <w:rsid w:val="00255F1E"/>
    <w:rsid w:val="002A0DDC"/>
    <w:rsid w:val="002F5274"/>
    <w:rsid w:val="0036503B"/>
    <w:rsid w:val="00376A4A"/>
    <w:rsid w:val="003D0BF7"/>
    <w:rsid w:val="003D6D03"/>
    <w:rsid w:val="003E12CA"/>
    <w:rsid w:val="004010DC"/>
    <w:rsid w:val="0042648B"/>
    <w:rsid w:val="004341F0"/>
    <w:rsid w:val="00456324"/>
    <w:rsid w:val="00457F9A"/>
    <w:rsid w:val="00475460"/>
    <w:rsid w:val="00490317"/>
    <w:rsid w:val="00491644"/>
    <w:rsid w:val="00496A08"/>
    <w:rsid w:val="004E1605"/>
    <w:rsid w:val="004F32A3"/>
    <w:rsid w:val="004F653C"/>
    <w:rsid w:val="00540A52"/>
    <w:rsid w:val="00557306"/>
    <w:rsid w:val="005B3FC4"/>
    <w:rsid w:val="00622799"/>
    <w:rsid w:val="00645CFA"/>
    <w:rsid w:val="00685219"/>
    <w:rsid w:val="006D5799"/>
    <w:rsid w:val="007440EA"/>
    <w:rsid w:val="00750D83"/>
    <w:rsid w:val="00785DBC"/>
    <w:rsid w:val="00793DD5"/>
    <w:rsid w:val="007B075B"/>
    <w:rsid w:val="007D55F6"/>
    <w:rsid w:val="007F490F"/>
    <w:rsid w:val="0086779C"/>
    <w:rsid w:val="00874BFD"/>
    <w:rsid w:val="008964EF"/>
    <w:rsid w:val="00915E01"/>
    <w:rsid w:val="009556D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24D73"/>
    <w:rsid w:val="00C51EC2"/>
    <w:rsid w:val="00C523E0"/>
    <w:rsid w:val="00C606A2"/>
    <w:rsid w:val="00C63872"/>
    <w:rsid w:val="00C84948"/>
    <w:rsid w:val="00C94ED8"/>
    <w:rsid w:val="00CF1111"/>
    <w:rsid w:val="00D05706"/>
    <w:rsid w:val="00D27DC5"/>
    <w:rsid w:val="00D47E36"/>
    <w:rsid w:val="00DE4D6C"/>
    <w:rsid w:val="00E25AB4"/>
    <w:rsid w:val="00E35491"/>
    <w:rsid w:val="00E55D79"/>
    <w:rsid w:val="00EC0BB1"/>
    <w:rsid w:val="00EE2373"/>
    <w:rsid w:val="00EF0FBB"/>
    <w:rsid w:val="00EF4761"/>
    <w:rsid w:val="00F73948"/>
    <w:rsid w:val="00FC2DA7"/>
    <w:rsid w:val="00FD783F"/>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4727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contact-u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844</Words>
  <Characters>4817</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2025-04-23T14:51:00Z</cp:lastPrinted>
  <dcterms:created xsi:type="dcterms:W3CDTF">2025-04-22T10:27:00Z</dcterms:created>
  <dcterms:modified xsi:type="dcterms:W3CDTF">2025-04-23T14:57:00Z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