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A2F1B14" w:rsidR="00B17211" w:rsidRPr="00B17211" w:rsidRDefault="00B17211" w:rsidP="007F490F">
            <w:r w:rsidRPr="007F490F">
              <w:rPr>
                <w:rStyle w:val="Heading2Char"/>
              </w:rPr>
              <w:t>Our reference:</w:t>
            </w:r>
            <w:r>
              <w:t xml:space="preserve">  FOI 2</w:t>
            </w:r>
            <w:r w:rsidR="00B654B6">
              <w:t>4</w:t>
            </w:r>
            <w:r>
              <w:t>-</w:t>
            </w:r>
            <w:r w:rsidR="005B4414">
              <w:t>1382</w:t>
            </w:r>
          </w:p>
          <w:p w14:paraId="34BDABA6" w14:textId="6E45FDF1" w:rsidR="00B17211" w:rsidRDefault="00456324" w:rsidP="00EE2373">
            <w:r w:rsidRPr="007F490F">
              <w:rPr>
                <w:rStyle w:val="Heading2Char"/>
              </w:rPr>
              <w:t>Respon</w:t>
            </w:r>
            <w:r w:rsidR="007D55F6">
              <w:rPr>
                <w:rStyle w:val="Heading2Char"/>
              </w:rPr>
              <w:t>ded to:</w:t>
            </w:r>
            <w:r w:rsidR="007F490F">
              <w:t xml:space="preserve">  </w:t>
            </w:r>
            <w:r w:rsidR="008537B4">
              <w:t>21</w:t>
            </w:r>
            <w:r w:rsidR="006D5799">
              <w:t xml:space="preserve"> </w:t>
            </w:r>
            <w:r w:rsidR="00B654B6">
              <w:t>J</w:t>
            </w:r>
            <w:r w:rsidR="00752ED6">
              <w:t>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97BF6DF" w14:textId="0E4BBA9F" w:rsidR="005B4414" w:rsidRDefault="005B4414" w:rsidP="005B4414">
      <w:pPr>
        <w:tabs>
          <w:tab w:val="left" w:pos="5400"/>
        </w:tabs>
        <w:rPr>
          <w:rFonts w:eastAsiaTheme="majorEastAsia" w:cstheme="majorBidi"/>
          <w:b/>
          <w:color w:val="000000" w:themeColor="text1"/>
          <w:szCs w:val="26"/>
        </w:rPr>
      </w:pPr>
      <w:r w:rsidRPr="005B4414">
        <w:rPr>
          <w:rFonts w:eastAsiaTheme="majorEastAsia" w:cstheme="majorBidi"/>
          <w:b/>
          <w:color w:val="000000" w:themeColor="text1"/>
          <w:szCs w:val="26"/>
        </w:rPr>
        <w:t>Please provide the number of reports in each of the last five years - between 2019/20 and 2023/24.</w:t>
      </w:r>
    </w:p>
    <w:p w14:paraId="477EFAB4" w14:textId="46BF55A7" w:rsidR="00A31EE7" w:rsidRDefault="00A31EE7" w:rsidP="005B4414">
      <w:pPr>
        <w:tabs>
          <w:tab w:val="left" w:pos="5400"/>
        </w:tabs>
        <w:rPr>
          <w:rFonts w:eastAsiaTheme="majorEastAsia" w:cstheme="majorBidi"/>
          <w:b/>
          <w:color w:val="000000" w:themeColor="text1"/>
          <w:szCs w:val="26"/>
        </w:rPr>
      </w:pPr>
      <w:r w:rsidRPr="005B4414">
        <w:rPr>
          <w:rFonts w:eastAsiaTheme="majorEastAsia" w:cstheme="majorBidi"/>
          <w:b/>
          <w:color w:val="000000" w:themeColor="text1"/>
          <w:szCs w:val="26"/>
        </w:rPr>
        <w:t>Please also specify how many of these cases were recorded under common law, and under s11 of the Sexual Offences (Scotland) Act 2009.</w:t>
      </w:r>
    </w:p>
    <w:p w14:paraId="5D0B93F1" w14:textId="77777777" w:rsidR="004953DF" w:rsidRPr="00960796" w:rsidRDefault="004953DF" w:rsidP="004953D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Police Scotland continues to investigate reports of 'spiking'.  </w:t>
      </w:r>
    </w:p>
    <w:p w14:paraId="20377253" w14:textId="77777777" w:rsidR="004953DF" w:rsidRPr="00960796" w:rsidRDefault="004953DF" w:rsidP="004953D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Spiking, whether by adding drugs or alcohol to someone’s drink, or by injection, without their consent, is a criminal offence.  It can put people at significant risk of harm.</w:t>
      </w:r>
    </w:p>
    <w:p w14:paraId="0A29919A" w14:textId="77777777" w:rsidR="004953DF" w:rsidRPr="00960796" w:rsidRDefault="004953DF" w:rsidP="004953D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Officers are not always able to determine the reasons why a perpetrator carries out an assault in this way, but every report is taken seriously and investigated robustly.</w:t>
      </w:r>
    </w:p>
    <w:p w14:paraId="77C3844E" w14:textId="77777777" w:rsidR="004953DF" w:rsidRPr="00960796" w:rsidRDefault="004953DF" w:rsidP="004953D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Police Scotland continues to work with a range of partners, locally and nationally to ensure pubs and clubs are safe spaces for all.  We are working in communities, with licensees, pubs and clubs, to provide advice and support and to offer bystander training to help spot the signs of when someone may be at risk. </w:t>
      </w:r>
    </w:p>
    <w:p w14:paraId="22B7897E" w14:textId="77777777" w:rsidR="004953DF" w:rsidRPr="00960796" w:rsidRDefault="004953DF" w:rsidP="004953D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We have also reached out to student communities to offer advice, support and reassurance.</w:t>
      </w:r>
    </w:p>
    <w:p w14:paraId="762262A3" w14:textId="77777777" w:rsidR="004953DF" w:rsidRPr="00960796" w:rsidRDefault="004953DF" w:rsidP="004953D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We would encourage anyone who believes they have had their drink spiked or who has been assaulted in this way to contact Police Scotland on 101 or in an emergency 999.</w:t>
      </w:r>
    </w:p>
    <w:p w14:paraId="202F0C71" w14:textId="77777777" w:rsidR="004953DF" w:rsidRPr="00960796" w:rsidRDefault="004953DF" w:rsidP="004953D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In relation to crime data, I would advise you that crimes in Scotland are recorded in accordance with the Scottish Government Justice Department offence classifications. </w:t>
      </w:r>
    </w:p>
    <w:p w14:paraId="47FCFD07" w14:textId="77777777" w:rsidR="004953DF" w:rsidRPr="00960796" w:rsidRDefault="004953DF" w:rsidP="004953D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Whilst there is no classification for ‘spiking’ specifically, I have considered your request in terms of the most </w:t>
      </w:r>
      <w:r w:rsidRPr="00960796">
        <w:rPr>
          <w:rFonts w:eastAsiaTheme="majorEastAsia" w:cstheme="majorBidi"/>
          <w:bCs/>
          <w:i/>
          <w:iCs/>
          <w:color w:val="000000" w:themeColor="text1"/>
          <w:szCs w:val="26"/>
        </w:rPr>
        <w:t xml:space="preserve">potentially relevant </w:t>
      </w:r>
      <w:r w:rsidRPr="00960796">
        <w:rPr>
          <w:rFonts w:eastAsiaTheme="majorEastAsia" w:cstheme="majorBidi"/>
          <w:bCs/>
          <w:color w:val="000000" w:themeColor="text1"/>
          <w:szCs w:val="26"/>
        </w:rPr>
        <w:t xml:space="preserve">crime classifications as follows: </w:t>
      </w:r>
    </w:p>
    <w:p w14:paraId="4F83D54D" w14:textId="77777777" w:rsidR="004953DF" w:rsidRPr="00A31EE7" w:rsidRDefault="004953DF" w:rsidP="00A31EE7">
      <w:pPr>
        <w:pStyle w:val="ListParagraph"/>
        <w:numPr>
          <w:ilvl w:val="0"/>
          <w:numId w:val="4"/>
        </w:numPr>
        <w:tabs>
          <w:tab w:val="left" w:pos="5400"/>
        </w:tabs>
        <w:rPr>
          <w:rFonts w:eastAsiaTheme="majorEastAsia" w:cstheme="majorBidi"/>
          <w:bCs/>
          <w:color w:val="000000" w:themeColor="text1"/>
          <w:szCs w:val="26"/>
        </w:rPr>
      </w:pPr>
      <w:r w:rsidRPr="00A31EE7">
        <w:rPr>
          <w:rFonts w:eastAsiaTheme="majorEastAsia" w:cstheme="majorBidi"/>
          <w:bCs/>
          <w:color w:val="000000" w:themeColor="text1"/>
          <w:szCs w:val="26"/>
        </w:rPr>
        <w:t xml:space="preserve">Drugging - Is a Crime at Common Law when drugs are feloniously administered with intent to produce stupefaction.  There need be no further intent, and it is not necessary that injury to the person be caused. </w:t>
      </w:r>
    </w:p>
    <w:p w14:paraId="0F9ACA0F" w14:textId="77777777" w:rsidR="004953DF" w:rsidRPr="00A31EE7" w:rsidRDefault="004953DF" w:rsidP="00A31EE7">
      <w:pPr>
        <w:pStyle w:val="ListParagraph"/>
        <w:numPr>
          <w:ilvl w:val="0"/>
          <w:numId w:val="4"/>
        </w:numPr>
        <w:tabs>
          <w:tab w:val="left" w:pos="5400"/>
        </w:tabs>
        <w:rPr>
          <w:rFonts w:eastAsiaTheme="majorEastAsia" w:cstheme="majorBidi"/>
          <w:bCs/>
          <w:color w:val="000000" w:themeColor="text1"/>
          <w:szCs w:val="26"/>
        </w:rPr>
      </w:pPr>
      <w:r w:rsidRPr="00A31EE7">
        <w:rPr>
          <w:rFonts w:eastAsiaTheme="majorEastAsia" w:cstheme="majorBidi"/>
          <w:bCs/>
          <w:color w:val="000000" w:themeColor="text1"/>
          <w:szCs w:val="26"/>
        </w:rPr>
        <w:lastRenderedPageBreak/>
        <w:t xml:space="preserve">Administering a substance for sexual purposes - Section 11 of the </w:t>
      </w:r>
      <w:hyperlink r:id="rId11" w:history="1">
        <w:r w:rsidRPr="00A31EE7">
          <w:rPr>
            <w:rStyle w:val="Hyperlink"/>
            <w:rFonts w:eastAsiaTheme="majorEastAsia" w:cstheme="majorBidi"/>
            <w:bCs/>
            <w:szCs w:val="26"/>
          </w:rPr>
          <w:t>Sexual Offences Scotland Act 2009</w:t>
        </w:r>
      </w:hyperlink>
      <w:r w:rsidRPr="00A31EE7">
        <w:rPr>
          <w:rFonts w:eastAsiaTheme="majorEastAsia" w:cstheme="majorBidi"/>
          <w:bCs/>
          <w:color w:val="000000" w:themeColor="text1"/>
          <w:szCs w:val="26"/>
        </w:rPr>
        <w:t xml:space="preserve"> refers.</w:t>
      </w:r>
    </w:p>
    <w:p w14:paraId="0792DD01" w14:textId="5F4A108C" w:rsidR="005B4414" w:rsidRPr="005B4414" w:rsidRDefault="005B4414" w:rsidP="005B4414">
      <w:r>
        <w:t xml:space="preserve">Please see </w:t>
      </w:r>
      <w:r w:rsidR="00A31EE7">
        <w:t xml:space="preserve">the </w:t>
      </w:r>
      <w:r>
        <w:t xml:space="preserve">table below which </w:t>
      </w:r>
      <w:r w:rsidR="00A31EE7">
        <w:t>details</w:t>
      </w:r>
      <w:r>
        <w:t xml:space="preserve"> </w:t>
      </w:r>
      <w:r w:rsidR="00A31EE7">
        <w:t xml:space="preserve">relevant </w:t>
      </w:r>
      <w:r>
        <w:t xml:space="preserve">recorded crimes from </w:t>
      </w:r>
      <w:r w:rsidR="00A31EE7">
        <w:t xml:space="preserve">1 April </w:t>
      </w:r>
      <w:r>
        <w:t xml:space="preserve">2019 to </w:t>
      </w:r>
      <w:r w:rsidR="00A31EE7">
        <w:t xml:space="preserve">31 March </w:t>
      </w:r>
      <w:r>
        <w:t>2024:</w:t>
      </w:r>
    </w:p>
    <w:tbl>
      <w:tblPr>
        <w:tblStyle w:val="TableGrid"/>
        <w:tblW w:w="9918" w:type="dxa"/>
        <w:tblLook w:val="04A0" w:firstRow="1" w:lastRow="0" w:firstColumn="1" w:lastColumn="0" w:noHBand="0" w:noVBand="1"/>
        <w:tblCaption w:val="Recorded Crimes, 2019 to 2024, Administering a substance for sexual purposes"/>
        <w:tblDescription w:val="Recorded Crimes, 2019 to 2024, Administering a substance for sexual purposes"/>
      </w:tblPr>
      <w:tblGrid>
        <w:gridCol w:w="4609"/>
        <w:gridCol w:w="1084"/>
        <w:gridCol w:w="1084"/>
        <w:gridCol w:w="1084"/>
        <w:gridCol w:w="1084"/>
        <w:gridCol w:w="1084"/>
      </w:tblGrid>
      <w:tr w:rsidR="005B4414" w:rsidRPr="005B4414" w14:paraId="29355AB1" w14:textId="77777777" w:rsidTr="00A31EE7">
        <w:trPr>
          <w:trHeight w:val="315"/>
        </w:trPr>
        <w:tc>
          <w:tcPr>
            <w:tcW w:w="4609" w:type="dxa"/>
            <w:shd w:val="clear" w:color="auto" w:fill="E7E6E6" w:themeFill="background2"/>
            <w:noWrap/>
            <w:hideMark/>
          </w:tcPr>
          <w:p w14:paraId="07218015" w14:textId="54E423F3" w:rsidR="005B4414" w:rsidRPr="005B4414" w:rsidRDefault="00A31EE7" w:rsidP="00A31EE7">
            <w:pPr>
              <w:tabs>
                <w:tab w:val="left" w:pos="5400"/>
              </w:tabs>
              <w:spacing w:line="240" w:lineRule="auto"/>
              <w:rPr>
                <w:rFonts w:eastAsiaTheme="majorEastAsia" w:cstheme="majorBidi"/>
                <w:b/>
                <w:bCs/>
                <w:color w:val="000000" w:themeColor="text1"/>
                <w:szCs w:val="26"/>
              </w:rPr>
            </w:pPr>
            <w:r w:rsidRPr="005B4414">
              <w:rPr>
                <w:rFonts w:eastAsiaTheme="majorEastAsia" w:cstheme="majorBidi"/>
                <w:b/>
                <w:color w:val="000000" w:themeColor="text1"/>
                <w:szCs w:val="26"/>
              </w:rPr>
              <w:t xml:space="preserve">Recorded </w:t>
            </w:r>
            <w:r>
              <w:rPr>
                <w:rFonts w:eastAsiaTheme="majorEastAsia" w:cstheme="majorBidi"/>
                <w:b/>
                <w:color w:val="000000" w:themeColor="text1"/>
                <w:szCs w:val="26"/>
              </w:rPr>
              <w:t>Crimes</w:t>
            </w:r>
          </w:p>
        </w:tc>
        <w:tc>
          <w:tcPr>
            <w:tcW w:w="1084" w:type="dxa"/>
            <w:shd w:val="clear" w:color="auto" w:fill="E7E6E6" w:themeFill="background2"/>
            <w:noWrap/>
            <w:hideMark/>
          </w:tcPr>
          <w:p w14:paraId="2B3B6492" w14:textId="77777777" w:rsidR="005B4414" w:rsidRPr="005B4414" w:rsidRDefault="005B4414" w:rsidP="00A31EE7">
            <w:pPr>
              <w:tabs>
                <w:tab w:val="left" w:pos="5400"/>
              </w:tabs>
              <w:spacing w:line="240" w:lineRule="auto"/>
              <w:rPr>
                <w:rFonts w:eastAsiaTheme="majorEastAsia" w:cstheme="majorBidi"/>
                <w:b/>
                <w:bCs/>
                <w:color w:val="000000" w:themeColor="text1"/>
                <w:szCs w:val="26"/>
              </w:rPr>
            </w:pPr>
            <w:r w:rsidRPr="005B4414">
              <w:rPr>
                <w:rFonts w:eastAsiaTheme="majorEastAsia" w:cstheme="majorBidi"/>
                <w:b/>
                <w:bCs/>
                <w:color w:val="000000" w:themeColor="text1"/>
                <w:szCs w:val="26"/>
              </w:rPr>
              <w:t>2019/20</w:t>
            </w:r>
          </w:p>
        </w:tc>
        <w:tc>
          <w:tcPr>
            <w:tcW w:w="1084" w:type="dxa"/>
            <w:shd w:val="clear" w:color="auto" w:fill="E7E6E6" w:themeFill="background2"/>
            <w:noWrap/>
            <w:hideMark/>
          </w:tcPr>
          <w:p w14:paraId="208DFEB2" w14:textId="77777777" w:rsidR="005B4414" w:rsidRPr="005B4414" w:rsidRDefault="005B4414" w:rsidP="00A31EE7">
            <w:pPr>
              <w:tabs>
                <w:tab w:val="left" w:pos="5400"/>
              </w:tabs>
              <w:spacing w:line="240" w:lineRule="auto"/>
              <w:rPr>
                <w:rFonts w:eastAsiaTheme="majorEastAsia" w:cstheme="majorBidi"/>
                <w:b/>
                <w:bCs/>
                <w:color w:val="000000" w:themeColor="text1"/>
                <w:szCs w:val="26"/>
              </w:rPr>
            </w:pPr>
            <w:r w:rsidRPr="005B4414">
              <w:rPr>
                <w:rFonts w:eastAsiaTheme="majorEastAsia" w:cstheme="majorBidi"/>
                <w:b/>
                <w:bCs/>
                <w:color w:val="000000" w:themeColor="text1"/>
                <w:szCs w:val="26"/>
              </w:rPr>
              <w:t>2020/21</w:t>
            </w:r>
          </w:p>
        </w:tc>
        <w:tc>
          <w:tcPr>
            <w:tcW w:w="1084" w:type="dxa"/>
            <w:shd w:val="clear" w:color="auto" w:fill="E7E6E6" w:themeFill="background2"/>
            <w:noWrap/>
            <w:hideMark/>
          </w:tcPr>
          <w:p w14:paraId="0270BB59" w14:textId="77777777" w:rsidR="005B4414" w:rsidRPr="005B4414" w:rsidRDefault="005B4414" w:rsidP="00A31EE7">
            <w:pPr>
              <w:tabs>
                <w:tab w:val="left" w:pos="5400"/>
              </w:tabs>
              <w:spacing w:line="240" w:lineRule="auto"/>
              <w:rPr>
                <w:rFonts w:eastAsiaTheme="majorEastAsia" w:cstheme="majorBidi"/>
                <w:b/>
                <w:bCs/>
                <w:color w:val="000000" w:themeColor="text1"/>
                <w:szCs w:val="26"/>
              </w:rPr>
            </w:pPr>
            <w:r w:rsidRPr="005B4414">
              <w:rPr>
                <w:rFonts w:eastAsiaTheme="majorEastAsia" w:cstheme="majorBidi"/>
                <w:b/>
                <w:bCs/>
                <w:color w:val="000000" w:themeColor="text1"/>
                <w:szCs w:val="26"/>
              </w:rPr>
              <w:t>2021/22</w:t>
            </w:r>
          </w:p>
        </w:tc>
        <w:tc>
          <w:tcPr>
            <w:tcW w:w="1084" w:type="dxa"/>
            <w:shd w:val="clear" w:color="auto" w:fill="E7E6E6" w:themeFill="background2"/>
            <w:noWrap/>
            <w:hideMark/>
          </w:tcPr>
          <w:p w14:paraId="39D00027" w14:textId="77777777" w:rsidR="005B4414" w:rsidRPr="005B4414" w:rsidRDefault="005B4414" w:rsidP="00A31EE7">
            <w:pPr>
              <w:tabs>
                <w:tab w:val="left" w:pos="5400"/>
              </w:tabs>
              <w:spacing w:line="240" w:lineRule="auto"/>
              <w:rPr>
                <w:rFonts w:eastAsiaTheme="majorEastAsia" w:cstheme="majorBidi"/>
                <w:b/>
                <w:bCs/>
                <w:color w:val="000000" w:themeColor="text1"/>
                <w:szCs w:val="26"/>
              </w:rPr>
            </w:pPr>
            <w:r w:rsidRPr="005B4414">
              <w:rPr>
                <w:rFonts w:eastAsiaTheme="majorEastAsia" w:cstheme="majorBidi"/>
                <w:b/>
                <w:bCs/>
                <w:color w:val="000000" w:themeColor="text1"/>
                <w:szCs w:val="26"/>
              </w:rPr>
              <w:t>2022/23</w:t>
            </w:r>
          </w:p>
        </w:tc>
        <w:tc>
          <w:tcPr>
            <w:tcW w:w="973" w:type="dxa"/>
            <w:shd w:val="clear" w:color="auto" w:fill="E7E6E6" w:themeFill="background2"/>
            <w:noWrap/>
            <w:hideMark/>
          </w:tcPr>
          <w:p w14:paraId="7BA2A232" w14:textId="77777777" w:rsidR="005B4414" w:rsidRPr="005B4414" w:rsidRDefault="005B4414" w:rsidP="00A31EE7">
            <w:pPr>
              <w:tabs>
                <w:tab w:val="left" w:pos="5400"/>
              </w:tabs>
              <w:spacing w:line="240" w:lineRule="auto"/>
              <w:rPr>
                <w:rFonts w:eastAsiaTheme="majorEastAsia" w:cstheme="majorBidi"/>
                <w:b/>
                <w:bCs/>
                <w:color w:val="000000" w:themeColor="text1"/>
                <w:szCs w:val="26"/>
              </w:rPr>
            </w:pPr>
            <w:r w:rsidRPr="005B4414">
              <w:rPr>
                <w:rFonts w:eastAsiaTheme="majorEastAsia" w:cstheme="majorBidi"/>
                <w:b/>
                <w:bCs/>
                <w:color w:val="000000" w:themeColor="text1"/>
                <w:szCs w:val="26"/>
              </w:rPr>
              <w:t>2023/24</w:t>
            </w:r>
          </w:p>
        </w:tc>
      </w:tr>
      <w:tr w:rsidR="005B4414" w:rsidRPr="00A31EE7" w14:paraId="091390B2" w14:textId="77777777" w:rsidTr="00A31EE7">
        <w:trPr>
          <w:trHeight w:val="285"/>
        </w:trPr>
        <w:tc>
          <w:tcPr>
            <w:tcW w:w="4609" w:type="dxa"/>
            <w:noWrap/>
            <w:hideMark/>
          </w:tcPr>
          <w:p w14:paraId="10005AF0" w14:textId="7781F4CA" w:rsidR="005B4414" w:rsidRPr="00A31EE7" w:rsidRDefault="00A31EE7" w:rsidP="00A31EE7">
            <w:pPr>
              <w:tabs>
                <w:tab w:val="left" w:pos="5400"/>
              </w:tabs>
              <w:spacing w:line="240" w:lineRule="auto"/>
              <w:rPr>
                <w:rFonts w:eastAsiaTheme="majorEastAsia" w:cstheme="majorBidi"/>
                <w:color w:val="000000" w:themeColor="text1"/>
                <w:szCs w:val="26"/>
              </w:rPr>
            </w:pPr>
            <w:r w:rsidRPr="00A31EE7">
              <w:rPr>
                <w:rFonts w:eastAsiaTheme="majorEastAsia" w:cstheme="majorBidi"/>
                <w:color w:val="000000" w:themeColor="text1"/>
                <w:szCs w:val="26"/>
              </w:rPr>
              <w:t>Administering a substance for sexual Purposes</w:t>
            </w:r>
          </w:p>
        </w:tc>
        <w:tc>
          <w:tcPr>
            <w:tcW w:w="1084" w:type="dxa"/>
            <w:noWrap/>
            <w:hideMark/>
          </w:tcPr>
          <w:p w14:paraId="78AD5937" w14:textId="77777777" w:rsidR="005B4414" w:rsidRPr="00A31EE7" w:rsidRDefault="005B4414" w:rsidP="00A31EE7">
            <w:pPr>
              <w:tabs>
                <w:tab w:val="left" w:pos="5400"/>
              </w:tabs>
              <w:spacing w:line="240" w:lineRule="auto"/>
              <w:rPr>
                <w:rFonts w:eastAsiaTheme="majorEastAsia" w:cstheme="majorBidi"/>
                <w:color w:val="000000" w:themeColor="text1"/>
                <w:szCs w:val="26"/>
              </w:rPr>
            </w:pPr>
            <w:r w:rsidRPr="00A31EE7">
              <w:rPr>
                <w:rFonts w:eastAsiaTheme="majorEastAsia" w:cstheme="majorBidi"/>
                <w:color w:val="000000" w:themeColor="text1"/>
                <w:szCs w:val="26"/>
              </w:rPr>
              <w:t>20</w:t>
            </w:r>
          </w:p>
        </w:tc>
        <w:tc>
          <w:tcPr>
            <w:tcW w:w="1084" w:type="dxa"/>
            <w:noWrap/>
            <w:hideMark/>
          </w:tcPr>
          <w:p w14:paraId="2D447D61" w14:textId="77777777" w:rsidR="005B4414" w:rsidRPr="00A31EE7" w:rsidRDefault="005B4414" w:rsidP="00A31EE7">
            <w:pPr>
              <w:tabs>
                <w:tab w:val="left" w:pos="5400"/>
              </w:tabs>
              <w:spacing w:line="240" w:lineRule="auto"/>
              <w:rPr>
                <w:rFonts w:eastAsiaTheme="majorEastAsia" w:cstheme="majorBidi"/>
                <w:color w:val="000000" w:themeColor="text1"/>
                <w:szCs w:val="26"/>
              </w:rPr>
            </w:pPr>
            <w:r w:rsidRPr="00A31EE7">
              <w:rPr>
                <w:rFonts w:eastAsiaTheme="majorEastAsia" w:cstheme="majorBidi"/>
                <w:color w:val="000000" w:themeColor="text1"/>
                <w:szCs w:val="26"/>
              </w:rPr>
              <w:t>17</w:t>
            </w:r>
          </w:p>
        </w:tc>
        <w:tc>
          <w:tcPr>
            <w:tcW w:w="1084" w:type="dxa"/>
            <w:noWrap/>
            <w:hideMark/>
          </w:tcPr>
          <w:p w14:paraId="378AC961" w14:textId="77777777" w:rsidR="005B4414" w:rsidRPr="00A31EE7" w:rsidRDefault="005B4414" w:rsidP="00A31EE7">
            <w:pPr>
              <w:tabs>
                <w:tab w:val="left" w:pos="5400"/>
              </w:tabs>
              <w:spacing w:line="240" w:lineRule="auto"/>
              <w:rPr>
                <w:rFonts w:eastAsiaTheme="majorEastAsia" w:cstheme="majorBidi"/>
                <w:color w:val="000000" w:themeColor="text1"/>
                <w:szCs w:val="26"/>
              </w:rPr>
            </w:pPr>
            <w:r w:rsidRPr="00A31EE7">
              <w:rPr>
                <w:rFonts w:eastAsiaTheme="majorEastAsia" w:cstheme="majorBidi"/>
                <w:color w:val="000000" w:themeColor="text1"/>
                <w:szCs w:val="26"/>
              </w:rPr>
              <w:t>19</w:t>
            </w:r>
          </w:p>
        </w:tc>
        <w:tc>
          <w:tcPr>
            <w:tcW w:w="1084" w:type="dxa"/>
            <w:noWrap/>
            <w:hideMark/>
          </w:tcPr>
          <w:p w14:paraId="625C7197" w14:textId="77777777" w:rsidR="005B4414" w:rsidRPr="00A31EE7" w:rsidRDefault="005B4414" w:rsidP="00A31EE7">
            <w:pPr>
              <w:tabs>
                <w:tab w:val="left" w:pos="5400"/>
              </w:tabs>
              <w:spacing w:line="240" w:lineRule="auto"/>
              <w:rPr>
                <w:rFonts w:eastAsiaTheme="majorEastAsia" w:cstheme="majorBidi"/>
                <w:color w:val="000000" w:themeColor="text1"/>
                <w:szCs w:val="26"/>
              </w:rPr>
            </w:pPr>
            <w:r w:rsidRPr="00A31EE7">
              <w:rPr>
                <w:rFonts w:eastAsiaTheme="majorEastAsia" w:cstheme="majorBidi"/>
                <w:color w:val="000000" w:themeColor="text1"/>
                <w:szCs w:val="26"/>
              </w:rPr>
              <w:t>12</w:t>
            </w:r>
          </w:p>
        </w:tc>
        <w:tc>
          <w:tcPr>
            <w:tcW w:w="973" w:type="dxa"/>
            <w:noWrap/>
            <w:hideMark/>
          </w:tcPr>
          <w:p w14:paraId="0F7EA884" w14:textId="77777777" w:rsidR="005B4414" w:rsidRPr="00A31EE7" w:rsidRDefault="005B4414" w:rsidP="00A31EE7">
            <w:pPr>
              <w:tabs>
                <w:tab w:val="left" w:pos="5400"/>
              </w:tabs>
              <w:spacing w:line="240" w:lineRule="auto"/>
              <w:rPr>
                <w:rFonts w:eastAsiaTheme="majorEastAsia" w:cstheme="majorBidi"/>
                <w:color w:val="000000" w:themeColor="text1"/>
                <w:szCs w:val="26"/>
              </w:rPr>
            </w:pPr>
            <w:r w:rsidRPr="00A31EE7">
              <w:rPr>
                <w:rFonts w:eastAsiaTheme="majorEastAsia" w:cstheme="majorBidi"/>
                <w:color w:val="000000" w:themeColor="text1"/>
                <w:szCs w:val="26"/>
              </w:rPr>
              <w:t>13</w:t>
            </w:r>
          </w:p>
        </w:tc>
      </w:tr>
      <w:tr w:rsidR="005B4414" w:rsidRPr="00A31EE7" w14:paraId="745E7289" w14:textId="77777777" w:rsidTr="00A31EE7">
        <w:trPr>
          <w:trHeight w:val="285"/>
        </w:trPr>
        <w:tc>
          <w:tcPr>
            <w:tcW w:w="4609" w:type="dxa"/>
            <w:noWrap/>
            <w:hideMark/>
          </w:tcPr>
          <w:p w14:paraId="41EEA87C" w14:textId="2A896BEA" w:rsidR="005B4414" w:rsidRPr="00A31EE7" w:rsidRDefault="00A31EE7" w:rsidP="00A31EE7">
            <w:pPr>
              <w:tabs>
                <w:tab w:val="center" w:pos="2196"/>
              </w:tabs>
              <w:spacing w:line="240" w:lineRule="auto"/>
              <w:rPr>
                <w:rFonts w:eastAsiaTheme="majorEastAsia" w:cstheme="majorBidi"/>
                <w:color w:val="000000" w:themeColor="text1"/>
                <w:szCs w:val="26"/>
              </w:rPr>
            </w:pPr>
            <w:r w:rsidRPr="00A31EE7">
              <w:rPr>
                <w:rFonts w:eastAsiaTheme="majorEastAsia" w:cstheme="majorBidi"/>
                <w:color w:val="000000" w:themeColor="text1"/>
                <w:szCs w:val="26"/>
              </w:rPr>
              <w:t>Drugging</w:t>
            </w:r>
          </w:p>
        </w:tc>
        <w:tc>
          <w:tcPr>
            <w:tcW w:w="1084" w:type="dxa"/>
            <w:noWrap/>
            <w:hideMark/>
          </w:tcPr>
          <w:p w14:paraId="7BC26799" w14:textId="77777777" w:rsidR="005B4414" w:rsidRPr="00A31EE7" w:rsidRDefault="005B4414" w:rsidP="00A31EE7">
            <w:pPr>
              <w:tabs>
                <w:tab w:val="left" w:pos="5400"/>
              </w:tabs>
              <w:spacing w:line="240" w:lineRule="auto"/>
              <w:rPr>
                <w:rFonts w:eastAsiaTheme="majorEastAsia" w:cstheme="majorBidi"/>
                <w:color w:val="000000" w:themeColor="text1"/>
                <w:szCs w:val="26"/>
              </w:rPr>
            </w:pPr>
            <w:r w:rsidRPr="00A31EE7">
              <w:rPr>
                <w:rFonts w:eastAsiaTheme="majorEastAsia" w:cstheme="majorBidi"/>
                <w:color w:val="000000" w:themeColor="text1"/>
                <w:szCs w:val="26"/>
              </w:rPr>
              <w:t>24</w:t>
            </w:r>
          </w:p>
        </w:tc>
        <w:tc>
          <w:tcPr>
            <w:tcW w:w="1084" w:type="dxa"/>
            <w:noWrap/>
            <w:hideMark/>
          </w:tcPr>
          <w:p w14:paraId="6C0D4E84" w14:textId="77777777" w:rsidR="005B4414" w:rsidRPr="00A31EE7" w:rsidRDefault="005B4414" w:rsidP="00A31EE7">
            <w:pPr>
              <w:tabs>
                <w:tab w:val="left" w:pos="5400"/>
              </w:tabs>
              <w:spacing w:line="240" w:lineRule="auto"/>
              <w:rPr>
                <w:rFonts w:eastAsiaTheme="majorEastAsia" w:cstheme="majorBidi"/>
                <w:color w:val="000000" w:themeColor="text1"/>
                <w:szCs w:val="26"/>
              </w:rPr>
            </w:pPr>
            <w:r w:rsidRPr="00A31EE7">
              <w:rPr>
                <w:rFonts w:eastAsiaTheme="majorEastAsia" w:cstheme="majorBidi"/>
                <w:color w:val="000000" w:themeColor="text1"/>
                <w:szCs w:val="26"/>
              </w:rPr>
              <w:t>18</w:t>
            </w:r>
          </w:p>
        </w:tc>
        <w:tc>
          <w:tcPr>
            <w:tcW w:w="1084" w:type="dxa"/>
            <w:noWrap/>
            <w:hideMark/>
          </w:tcPr>
          <w:p w14:paraId="558A1A8F" w14:textId="77777777" w:rsidR="005B4414" w:rsidRPr="00A31EE7" w:rsidRDefault="005B4414" w:rsidP="00A31EE7">
            <w:pPr>
              <w:tabs>
                <w:tab w:val="left" w:pos="5400"/>
              </w:tabs>
              <w:spacing w:line="240" w:lineRule="auto"/>
              <w:rPr>
                <w:rFonts w:eastAsiaTheme="majorEastAsia" w:cstheme="majorBidi"/>
                <w:color w:val="000000" w:themeColor="text1"/>
                <w:szCs w:val="26"/>
              </w:rPr>
            </w:pPr>
            <w:r w:rsidRPr="00A31EE7">
              <w:rPr>
                <w:rFonts w:eastAsiaTheme="majorEastAsia" w:cstheme="majorBidi"/>
                <w:color w:val="000000" w:themeColor="text1"/>
                <w:szCs w:val="26"/>
              </w:rPr>
              <w:t>276</w:t>
            </w:r>
          </w:p>
        </w:tc>
        <w:tc>
          <w:tcPr>
            <w:tcW w:w="1084" w:type="dxa"/>
            <w:noWrap/>
            <w:hideMark/>
          </w:tcPr>
          <w:p w14:paraId="2E29BC7D" w14:textId="77777777" w:rsidR="005B4414" w:rsidRPr="00A31EE7" w:rsidRDefault="005B4414" w:rsidP="00A31EE7">
            <w:pPr>
              <w:tabs>
                <w:tab w:val="left" w:pos="5400"/>
              </w:tabs>
              <w:spacing w:line="240" w:lineRule="auto"/>
              <w:rPr>
                <w:rFonts w:eastAsiaTheme="majorEastAsia" w:cstheme="majorBidi"/>
                <w:color w:val="000000" w:themeColor="text1"/>
                <w:szCs w:val="26"/>
              </w:rPr>
            </w:pPr>
            <w:r w:rsidRPr="00A31EE7">
              <w:rPr>
                <w:rFonts w:eastAsiaTheme="majorEastAsia" w:cstheme="majorBidi"/>
                <w:color w:val="000000" w:themeColor="text1"/>
                <w:szCs w:val="26"/>
              </w:rPr>
              <w:t>172</w:t>
            </w:r>
          </w:p>
        </w:tc>
        <w:tc>
          <w:tcPr>
            <w:tcW w:w="973" w:type="dxa"/>
            <w:noWrap/>
            <w:hideMark/>
          </w:tcPr>
          <w:p w14:paraId="1230C767" w14:textId="77777777" w:rsidR="005B4414" w:rsidRPr="00A31EE7" w:rsidRDefault="005B4414" w:rsidP="00A31EE7">
            <w:pPr>
              <w:tabs>
                <w:tab w:val="left" w:pos="5400"/>
              </w:tabs>
              <w:spacing w:line="240" w:lineRule="auto"/>
              <w:rPr>
                <w:rFonts w:eastAsiaTheme="majorEastAsia" w:cstheme="majorBidi"/>
                <w:color w:val="000000" w:themeColor="text1"/>
                <w:szCs w:val="26"/>
              </w:rPr>
            </w:pPr>
            <w:r w:rsidRPr="00A31EE7">
              <w:rPr>
                <w:rFonts w:eastAsiaTheme="majorEastAsia" w:cstheme="majorBidi"/>
                <w:color w:val="000000" w:themeColor="text1"/>
                <w:szCs w:val="26"/>
              </w:rPr>
              <w:t>155</w:t>
            </w:r>
          </w:p>
        </w:tc>
      </w:tr>
    </w:tbl>
    <w:p w14:paraId="7D9CF735" w14:textId="15EE2779" w:rsidR="00006CFB" w:rsidRDefault="00006CFB" w:rsidP="00006CFB">
      <w:r w:rsidRPr="00006CFB">
        <w:t xml:space="preserve">All statistics are provisional and should be treated as management information. </w:t>
      </w:r>
      <w:r w:rsidR="00A31EE7">
        <w:br/>
        <w:t>Data was</w:t>
      </w:r>
      <w:r w:rsidRPr="00006CFB">
        <w:t xml:space="preserve"> extracted from Police Scotland internal systems and are correct as at 18/6/2024.</w:t>
      </w:r>
      <w:r w:rsidR="00A31EE7">
        <w:br/>
        <w:t>Data</w:t>
      </w:r>
      <w:r w:rsidRPr="00006CFB">
        <w:t xml:space="preserve"> was extracted using the crime's raised date</w:t>
      </w:r>
      <w:r w:rsidR="00A31EE7">
        <w:t>.</w:t>
      </w:r>
    </w:p>
    <w:p w14:paraId="31860DFF" w14:textId="77777777" w:rsidR="00A31EE7" w:rsidRDefault="00A31EE7" w:rsidP="005B4414">
      <w:pPr>
        <w:tabs>
          <w:tab w:val="left" w:pos="5400"/>
        </w:tabs>
      </w:pPr>
    </w:p>
    <w:p w14:paraId="63BA8DB8" w14:textId="59F545DD" w:rsidR="005B4414" w:rsidRDefault="005B4414" w:rsidP="005B4414">
      <w:pPr>
        <w:tabs>
          <w:tab w:val="left" w:pos="5400"/>
        </w:tabs>
        <w:rPr>
          <w:rFonts w:eastAsiaTheme="majorEastAsia" w:cstheme="majorBidi"/>
          <w:b/>
          <w:color w:val="000000" w:themeColor="text1"/>
          <w:szCs w:val="26"/>
        </w:rPr>
      </w:pPr>
      <w:r w:rsidRPr="005B4414">
        <w:rPr>
          <w:rFonts w:eastAsiaTheme="majorEastAsia" w:cstheme="majorBidi"/>
          <w:b/>
          <w:color w:val="000000" w:themeColor="text1"/>
          <w:szCs w:val="26"/>
        </w:rPr>
        <w:t>How many of these cases were reported to the COFPS?</w:t>
      </w:r>
    </w:p>
    <w:p w14:paraId="5FFFDD5B" w14:textId="1B699625" w:rsidR="00A31EE7" w:rsidRPr="005B4414" w:rsidRDefault="00A31EE7" w:rsidP="00A31EE7">
      <w:r>
        <w:t>Please see the table below which details relevant detected crimes from 1 April 2019 to 31 March 2024.  Detected crimes are those</w:t>
      </w:r>
      <w:r w:rsidRPr="007D1918">
        <w:t xml:space="preserve"> where an accused has been identified and there exists a sufficiency of evidence under Scots Law to justify consideration of criminal proceedings</w:t>
      </w:r>
      <w:r>
        <w:t>:</w:t>
      </w:r>
    </w:p>
    <w:tbl>
      <w:tblPr>
        <w:tblStyle w:val="TableGrid"/>
        <w:tblW w:w="9742" w:type="dxa"/>
        <w:tblLook w:val="04A0" w:firstRow="1" w:lastRow="0" w:firstColumn="1" w:lastColumn="0" w:noHBand="0" w:noVBand="1"/>
        <w:tblCaption w:val="Detected crimes, 2019 to 2024, administering a substance for sexual purposes"/>
        <w:tblDescription w:val="Detected crimes, 2019 to 2024, administering a substance for sexual purposes"/>
      </w:tblPr>
      <w:tblGrid>
        <w:gridCol w:w="4312"/>
        <w:gridCol w:w="1084"/>
        <w:gridCol w:w="1084"/>
        <w:gridCol w:w="1084"/>
        <w:gridCol w:w="1084"/>
        <w:gridCol w:w="1162"/>
      </w:tblGrid>
      <w:tr w:rsidR="00006CFB" w:rsidRPr="00A31EE7" w14:paraId="1C949674" w14:textId="77777777" w:rsidTr="00A31EE7">
        <w:trPr>
          <w:trHeight w:val="315"/>
        </w:trPr>
        <w:tc>
          <w:tcPr>
            <w:tcW w:w="4312" w:type="dxa"/>
            <w:shd w:val="clear" w:color="auto" w:fill="E7E6E6" w:themeFill="background2"/>
            <w:noWrap/>
            <w:hideMark/>
          </w:tcPr>
          <w:p w14:paraId="4F81A950" w14:textId="77777777" w:rsidR="00A31EE7" w:rsidRPr="00A31EE7" w:rsidRDefault="00A31EE7" w:rsidP="00A31EE7">
            <w:pPr>
              <w:spacing w:line="240" w:lineRule="auto"/>
              <w:rPr>
                <w:b/>
                <w:bCs/>
              </w:rPr>
            </w:pPr>
            <w:r w:rsidRPr="00A31EE7">
              <w:rPr>
                <w:b/>
                <w:bCs/>
              </w:rPr>
              <w:t>Detected Crimes</w:t>
            </w:r>
          </w:p>
          <w:p w14:paraId="6A946D05" w14:textId="13F4192A" w:rsidR="00006CFB" w:rsidRPr="00A31EE7" w:rsidRDefault="00006CFB" w:rsidP="00A31EE7">
            <w:pPr>
              <w:spacing w:line="240" w:lineRule="auto"/>
              <w:rPr>
                <w:b/>
                <w:bCs/>
              </w:rPr>
            </w:pPr>
          </w:p>
        </w:tc>
        <w:tc>
          <w:tcPr>
            <w:tcW w:w="1067" w:type="dxa"/>
            <w:shd w:val="clear" w:color="auto" w:fill="E7E6E6" w:themeFill="background2"/>
            <w:noWrap/>
            <w:hideMark/>
          </w:tcPr>
          <w:p w14:paraId="5B275605" w14:textId="77777777" w:rsidR="00006CFB" w:rsidRPr="00A31EE7" w:rsidRDefault="00006CFB" w:rsidP="00A31EE7">
            <w:pPr>
              <w:spacing w:line="240" w:lineRule="auto"/>
              <w:rPr>
                <w:b/>
                <w:bCs/>
              </w:rPr>
            </w:pPr>
            <w:r w:rsidRPr="00A31EE7">
              <w:rPr>
                <w:b/>
                <w:bCs/>
              </w:rPr>
              <w:t>2019/20</w:t>
            </w:r>
          </w:p>
        </w:tc>
        <w:tc>
          <w:tcPr>
            <w:tcW w:w="1067" w:type="dxa"/>
            <w:shd w:val="clear" w:color="auto" w:fill="E7E6E6" w:themeFill="background2"/>
            <w:noWrap/>
            <w:hideMark/>
          </w:tcPr>
          <w:p w14:paraId="0F1BEBAA" w14:textId="77777777" w:rsidR="00006CFB" w:rsidRPr="00A31EE7" w:rsidRDefault="00006CFB" w:rsidP="00A31EE7">
            <w:pPr>
              <w:spacing w:line="240" w:lineRule="auto"/>
              <w:rPr>
                <w:b/>
                <w:bCs/>
              </w:rPr>
            </w:pPr>
            <w:r w:rsidRPr="00A31EE7">
              <w:rPr>
                <w:b/>
                <w:bCs/>
              </w:rPr>
              <w:t>2020/21</w:t>
            </w:r>
          </w:p>
        </w:tc>
        <w:tc>
          <w:tcPr>
            <w:tcW w:w="1067" w:type="dxa"/>
            <w:shd w:val="clear" w:color="auto" w:fill="E7E6E6" w:themeFill="background2"/>
            <w:noWrap/>
            <w:hideMark/>
          </w:tcPr>
          <w:p w14:paraId="3D2C972C" w14:textId="77777777" w:rsidR="00006CFB" w:rsidRPr="00A31EE7" w:rsidRDefault="00006CFB" w:rsidP="00A31EE7">
            <w:pPr>
              <w:spacing w:line="240" w:lineRule="auto"/>
              <w:rPr>
                <w:b/>
                <w:bCs/>
              </w:rPr>
            </w:pPr>
            <w:r w:rsidRPr="00A31EE7">
              <w:rPr>
                <w:b/>
                <w:bCs/>
              </w:rPr>
              <w:t>2021/22</w:t>
            </w:r>
          </w:p>
        </w:tc>
        <w:tc>
          <w:tcPr>
            <w:tcW w:w="1067" w:type="dxa"/>
            <w:shd w:val="clear" w:color="auto" w:fill="E7E6E6" w:themeFill="background2"/>
            <w:noWrap/>
            <w:hideMark/>
          </w:tcPr>
          <w:p w14:paraId="72B05896" w14:textId="77777777" w:rsidR="00006CFB" w:rsidRPr="00A31EE7" w:rsidRDefault="00006CFB" w:rsidP="00A31EE7">
            <w:pPr>
              <w:spacing w:line="240" w:lineRule="auto"/>
              <w:rPr>
                <w:b/>
                <w:bCs/>
              </w:rPr>
            </w:pPr>
            <w:r w:rsidRPr="00A31EE7">
              <w:rPr>
                <w:b/>
                <w:bCs/>
              </w:rPr>
              <w:t>2022/23</w:t>
            </w:r>
          </w:p>
        </w:tc>
        <w:tc>
          <w:tcPr>
            <w:tcW w:w="1162" w:type="dxa"/>
            <w:shd w:val="clear" w:color="auto" w:fill="E7E6E6" w:themeFill="background2"/>
            <w:noWrap/>
            <w:hideMark/>
          </w:tcPr>
          <w:p w14:paraId="72435804" w14:textId="77777777" w:rsidR="00006CFB" w:rsidRPr="00A31EE7" w:rsidRDefault="00006CFB" w:rsidP="00A31EE7">
            <w:pPr>
              <w:spacing w:line="240" w:lineRule="auto"/>
              <w:rPr>
                <w:b/>
                <w:bCs/>
              </w:rPr>
            </w:pPr>
            <w:r w:rsidRPr="00A31EE7">
              <w:rPr>
                <w:b/>
                <w:bCs/>
              </w:rPr>
              <w:t>2023/24</w:t>
            </w:r>
          </w:p>
        </w:tc>
      </w:tr>
      <w:tr w:rsidR="00006CFB" w:rsidRPr="00A31EE7" w14:paraId="0E2CB572" w14:textId="77777777" w:rsidTr="00A31EE7">
        <w:trPr>
          <w:trHeight w:val="285"/>
        </w:trPr>
        <w:tc>
          <w:tcPr>
            <w:tcW w:w="4312" w:type="dxa"/>
            <w:noWrap/>
            <w:hideMark/>
          </w:tcPr>
          <w:p w14:paraId="3588D7D0" w14:textId="16761A42" w:rsidR="00006CFB" w:rsidRPr="00A31EE7" w:rsidRDefault="00A31EE7" w:rsidP="00A31EE7">
            <w:pPr>
              <w:spacing w:line="240" w:lineRule="auto"/>
            </w:pPr>
            <w:r w:rsidRPr="00A31EE7">
              <w:t>Administering a substance for sexual Purposes</w:t>
            </w:r>
          </w:p>
        </w:tc>
        <w:tc>
          <w:tcPr>
            <w:tcW w:w="1067" w:type="dxa"/>
            <w:noWrap/>
            <w:hideMark/>
          </w:tcPr>
          <w:p w14:paraId="5DCC1D07" w14:textId="77777777" w:rsidR="00006CFB" w:rsidRPr="00A31EE7" w:rsidRDefault="00006CFB" w:rsidP="00A31EE7">
            <w:pPr>
              <w:spacing w:line="240" w:lineRule="auto"/>
            </w:pPr>
            <w:r w:rsidRPr="00A31EE7">
              <w:t>8</w:t>
            </w:r>
          </w:p>
        </w:tc>
        <w:tc>
          <w:tcPr>
            <w:tcW w:w="1067" w:type="dxa"/>
            <w:noWrap/>
            <w:hideMark/>
          </w:tcPr>
          <w:p w14:paraId="7A8286E8" w14:textId="77777777" w:rsidR="00006CFB" w:rsidRPr="00A31EE7" w:rsidRDefault="00006CFB" w:rsidP="00A31EE7">
            <w:pPr>
              <w:spacing w:line="240" w:lineRule="auto"/>
            </w:pPr>
            <w:r w:rsidRPr="00A31EE7">
              <w:t>7</w:t>
            </w:r>
          </w:p>
        </w:tc>
        <w:tc>
          <w:tcPr>
            <w:tcW w:w="1067" w:type="dxa"/>
            <w:noWrap/>
            <w:hideMark/>
          </w:tcPr>
          <w:p w14:paraId="7C7E6BA9" w14:textId="77777777" w:rsidR="00006CFB" w:rsidRPr="00A31EE7" w:rsidRDefault="00006CFB" w:rsidP="00A31EE7">
            <w:pPr>
              <w:spacing w:line="240" w:lineRule="auto"/>
            </w:pPr>
            <w:r w:rsidRPr="00A31EE7">
              <w:t>5</w:t>
            </w:r>
          </w:p>
        </w:tc>
        <w:tc>
          <w:tcPr>
            <w:tcW w:w="1067" w:type="dxa"/>
            <w:noWrap/>
            <w:hideMark/>
          </w:tcPr>
          <w:p w14:paraId="18F53C7D" w14:textId="77777777" w:rsidR="00006CFB" w:rsidRPr="00A31EE7" w:rsidRDefault="00006CFB" w:rsidP="00A31EE7">
            <w:pPr>
              <w:spacing w:line="240" w:lineRule="auto"/>
            </w:pPr>
            <w:r w:rsidRPr="00A31EE7">
              <w:t>2</w:t>
            </w:r>
          </w:p>
        </w:tc>
        <w:tc>
          <w:tcPr>
            <w:tcW w:w="1162" w:type="dxa"/>
            <w:noWrap/>
            <w:hideMark/>
          </w:tcPr>
          <w:p w14:paraId="131E5843" w14:textId="77777777" w:rsidR="00006CFB" w:rsidRPr="00A31EE7" w:rsidRDefault="00006CFB" w:rsidP="00A31EE7">
            <w:pPr>
              <w:spacing w:line="240" w:lineRule="auto"/>
            </w:pPr>
            <w:r w:rsidRPr="00A31EE7">
              <w:t>2</w:t>
            </w:r>
          </w:p>
        </w:tc>
      </w:tr>
      <w:tr w:rsidR="00D33525" w:rsidRPr="00A31EE7" w14:paraId="20FB1DF4" w14:textId="77777777" w:rsidTr="00A31EE7">
        <w:trPr>
          <w:trHeight w:val="285"/>
        </w:trPr>
        <w:tc>
          <w:tcPr>
            <w:tcW w:w="4312" w:type="dxa"/>
            <w:noWrap/>
            <w:hideMark/>
          </w:tcPr>
          <w:p w14:paraId="1495B82B" w14:textId="20ADCD0E" w:rsidR="00D33525" w:rsidRPr="00A31EE7" w:rsidRDefault="00A31EE7" w:rsidP="00A31EE7">
            <w:pPr>
              <w:spacing w:line="240" w:lineRule="auto"/>
            </w:pPr>
            <w:r w:rsidRPr="00A31EE7">
              <w:t>Drugging</w:t>
            </w:r>
          </w:p>
        </w:tc>
        <w:tc>
          <w:tcPr>
            <w:tcW w:w="1067" w:type="dxa"/>
            <w:noWrap/>
            <w:hideMark/>
          </w:tcPr>
          <w:p w14:paraId="4EC70543" w14:textId="77777777" w:rsidR="00D33525" w:rsidRPr="00A31EE7" w:rsidRDefault="00D33525" w:rsidP="00A31EE7">
            <w:pPr>
              <w:spacing w:line="240" w:lineRule="auto"/>
            </w:pPr>
            <w:r w:rsidRPr="00A31EE7">
              <w:t>6</w:t>
            </w:r>
          </w:p>
        </w:tc>
        <w:tc>
          <w:tcPr>
            <w:tcW w:w="1067" w:type="dxa"/>
            <w:noWrap/>
            <w:hideMark/>
          </w:tcPr>
          <w:p w14:paraId="4421CBA8" w14:textId="77777777" w:rsidR="00D33525" w:rsidRPr="00A31EE7" w:rsidRDefault="00D33525" w:rsidP="00A31EE7">
            <w:pPr>
              <w:spacing w:line="240" w:lineRule="auto"/>
            </w:pPr>
            <w:r w:rsidRPr="00A31EE7">
              <w:t>6</w:t>
            </w:r>
          </w:p>
        </w:tc>
        <w:tc>
          <w:tcPr>
            <w:tcW w:w="1067" w:type="dxa"/>
            <w:noWrap/>
            <w:hideMark/>
          </w:tcPr>
          <w:p w14:paraId="5F8ED095" w14:textId="77777777" w:rsidR="00D33525" w:rsidRPr="00A31EE7" w:rsidRDefault="00D33525" w:rsidP="00A31EE7">
            <w:pPr>
              <w:spacing w:line="240" w:lineRule="auto"/>
            </w:pPr>
            <w:r w:rsidRPr="00A31EE7">
              <w:t>17</w:t>
            </w:r>
          </w:p>
        </w:tc>
        <w:tc>
          <w:tcPr>
            <w:tcW w:w="1067" w:type="dxa"/>
            <w:noWrap/>
            <w:hideMark/>
          </w:tcPr>
          <w:p w14:paraId="04E4DB32" w14:textId="77777777" w:rsidR="00D33525" w:rsidRPr="00A31EE7" w:rsidRDefault="00D33525" w:rsidP="00A31EE7">
            <w:pPr>
              <w:spacing w:line="240" w:lineRule="auto"/>
            </w:pPr>
            <w:r w:rsidRPr="00A31EE7">
              <w:t>7</w:t>
            </w:r>
          </w:p>
        </w:tc>
        <w:tc>
          <w:tcPr>
            <w:tcW w:w="1162" w:type="dxa"/>
            <w:noWrap/>
            <w:hideMark/>
          </w:tcPr>
          <w:p w14:paraId="5AB9B254" w14:textId="77777777" w:rsidR="00D33525" w:rsidRPr="00A31EE7" w:rsidRDefault="00D33525" w:rsidP="00A31EE7">
            <w:pPr>
              <w:spacing w:line="240" w:lineRule="auto"/>
            </w:pPr>
            <w:r w:rsidRPr="00A31EE7">
              <w:t>7</w:t>
            </w:r>
          </w:p>
        </w:tc>
      </w:tr>
    </w:tbl>
    <w:p w14:paraId="100D2B7C" w14:textId="1AF7A320" w:rsidR="00006CFB" w:rsidRPr="00A31EE7" w:rsidRDefault="00D33525" w:rsidP="00A31EE7">
      <w:r w:rsidRPr="00006CFB">
        <w:t xml:space="preserve">All statistics are provisional and should be treated as management information. </w:t>
      </w:r>
      <w:r w:rsidR="00A31EE7">
        <w:br/>
        <w:t>Data was</w:t>
      </w:r>
      <w:r w:rsidRPr="00006CFB">
        <w:t xml:space="preserve"> extracted from Police Scotland internal systems and are correct as at 18/6/2024.</w:t>
      </w:r>
      <w:r w:rsidR="00A31EE7">
        <w:br/>
        <w:t xml:space="preserve">Data was </w:t>
      </w:r>
      <w:r w:rsidRPr="00006CFB">
        <w:t xml:space="preserve">extracted based on the </w:t>
      </w:r>
      <w:r w:rsidR="00A31EE7">
        <w:t>c</w:t>
      </w:r>
      <w:r w:rsidRPr="00006CFB">
        <w:t xml:space="preserve">rime's </w:t>
      </w:r>
      <w:r w:rsidR="00A31EE7">
        <w:t>d</w:t>
      </w:r>
      <w:r w:rsidRPr="00006CFB">
        <w:t xml:space="preserve">etected </w:t>
      </w:r>
      <w:r w:rsidR="00A31EE7">
        <w:t>d</w:t>
      </w:r>
      <w:r w:rsidRPr="00006CFB">
        <w:t>ate.</w:t>
      </w:r>
      <w:r w:rsidRPr="00006CFB">
        <w:tab/>
      </w:r>
    </w:p>
    <w:p w14:paraId="5AC1C6E3" w14:textId="77777777" w:rsidR="009C7186" w:rsidRPr="00B11A55" w:rsidRDefault="009C7186" w:rsidP="009C7186"/>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20B70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60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2AF29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60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407D8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60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8B93BE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603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7C3070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603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C179A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603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4183"/>
    <w:multiLevelType w:val="hybridMultilevel"/>
    <w:tmpl w:val="02E0B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493320"/>
    <w:multiLevelType w:val="hybridMultilevel"/>
    <w:tmpl w:val="9C64448E"/>
    <w:lvl w:ilvl="0" w:tplc="8A181D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D6116C"/>
    <w:multiLevelType w:val="hybridMultilevel"/>
    <w:tmpl w:val="9306D492"/>
    <w:lvl w:ilvl="0" w:tplc="86BC6566">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212618764">
    <w:abstractNumId w:val="2"/>
  </w:num>
  <w:num w:numId="3" w16cid:durableId="799225163">
    <w:abstractNumId w:val="1"/>
  </w:num>
  <w:num w:numId="4" w16cid:durableId="1913419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6CFB"/>
    <w:rsid w:val="00090F3B"/>
    <w:rsid w:val="000E2F19"/>
    <w:rsid w:val="000E6526"/>
    <w:rsid w:val="00141533"/>
    <w:rsid w:val="00167528"/>
    <w:rsid w:val="00195CC4"/>
    <w:rsid w:val="00207326"/>
    <w:rsid w:val="00253DF6"/>
    <w:rsid w:val="00255F1E"/>
    <w:rsid w:val="0036503B"/>
    <w:rsid w:val="003D6D03"/>
    <w:rsid w:val="003E12CA"/>
    <w:rsid w:val="004010DC"/>
    <w:rsid w:val="00410950"/>
    <w:rsid w:val="004341F0"/>
    <w:rsid w:val="00456324"/>
    <w:rsid w:val="00475460"/>
    <w:rsid w:val="00490317"/>
    <w:rsid w:val="00491644"/>
    <w:rsid w:val="004953DF"/>
    <w:rsid w:val="00496A08"/>
    <w:rsid w:val="004E1605"/>
    <w:rsid w:val="004F653C"/>
    <w:rsid w:val="00540A52"/>
    <w:rsid w:val="00557306"/>
    <w:rsid w:val="005B4414"/>
    <w:rsid w:val="00645CFA"/>
    <w:rsid w:val="006D5799"/>
    <w:rsid w:val="00750D83"/>
    <w:rsid w:val="00752ED6"/>
    <w:rsid w:val="00785DBC"/>
    <w:rsid w:val="00793DD5"/>
    <w:rsid w:val="007D55F6"/>
    <w:rsid w:val="007F490F"/>
    <w:rsid w:val="008537B4"/>
    <w:rsid w:val="0086779C"/>
    <w:rsid w:val="00874BFD"/>
    <w:rsid w:val="008964EF"/>
    <w:rsid w:val="00915E01"/>
    <w:rsid w:val="009631A4"/>
    <w:rsid w:val="00977296"/>
    <w:rsid w:val="009C7186"/>
    <w:rsid w:val="00A25E93"/>
    <w:rsid w:val="00A31EE7"/>
    <w:rsid w:val="00A320FF"/>
    <w:rsid w:val="00A70AC0"/>
    <w:rsid w:val="00A84EA9"/>
    <w:rsid w:val="00AC443C"/>
    <w:rsid w:val="00B11A55"/>
    <w:rsid w:val="00B17211"/>
    <w:rsid w:val="00B461B2"/>
    <w:rsid w:val="00B654B6"/>
    <w:rsid w:val="00B71B3C"/>
    <w:rsid w:val="00BA638B"/>
    <w:rsid w:val="00BC389E"/>
    <w:rsid w:val="00BE1888"/>
    <w:rsid w:val="00BF6B81"/>
    <w:rsid w:val="00C077A8"/>
    <w:rsid w:val="00C14FF4"/>
    <w:rsid w:val="00C606A2"/>
    <w:rsid w:val="00C63872"/>
    <w:rsid w:val="00C84948"/>
    <w:rsid w:val="00CB3707"/>
    <w:rsid w:val="00CF1111"/>
    <w:rsid w:val="00D05706"/>
    <w:rsid w:val="00D27DC5"/>
    <w:rsid w:val="00D33525"/>
    <w:rsid w:val="00D47E36"/>
    <w:rsid w:val="00E3603D"/>
    <w:rsid w:val="00E55D79"/>
    <w:rsid w:val="00E6281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Strong">
    <w:name w:val="Strong"/>
    <w:basedOn w:val="DefaultParagraphFont"/>
    <w:uiPriority w:val="22"/>
    <w:qFormat/>
    <w:rsid w:val="00E628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43439">
      <w:bodyDiv w:val="1"/>
      <w:marLeft w:val="0"/>
      <w:marRight w:val="0"/>
      <w:marTop w:val="0"/>
      <w:marBottom w:val="0"/>
      <w:divBdr>
        <w:top w:val="none" w:sz="0" w:space="0" w:color="auto"/>
        <w:left w:val="none" w:sz="0" w:space="0" w:color="auto"/>
        <w:bottom w:val="none" w:sz="0" w:space="0" w:color="auto"/>
        <w:right w:val="none" w:sz="0" w:space="0" w:color="auto"/>
      </w:divBdr>
    </w:div>
    <w:div w:id="795611270">
      <w:bodyDiv w:val="1"/>
      <w:marLeft w:val="0"/>
      <w:marRight w:val="0"/>
      <w:marTop w:val="0"/>
      <w:marBottom w:val="0"/>
      <w:divBdr>
        <w:top w:val="none" w:sz="0" w:space="0" w:color="auto"/>
        <w:left w:val="none" w:sz="0" w:space="0" w:color="auto"/>
        <w:bottom w:val="none" w:sz="0" w:space="0" w:color="auto"/>
        <w:right w:val="none" w:sz="0" w:space="0" w:color="auto"/>
      </w:divBdr>
    </w:div>
    <w:div w:id="1848211485">
      <w:bodyDiv w:val="1"/>
      <w:marLeft w:val="0"/>
      <w:marRight w:val="0"/>
      <w:marTop w:val="0"/>
      <w:marBottom w:val="0"/>
      <w:divBdr>
        <w:top w:val="none" w:sz="0" w:space="0" w:color="auto"/>
        <w:left w:val="none" w:sz="0" w:space="0" w:color="auto"/>
        <w:bottom w:val="none" w:sz="0" w:space="0" w:color="auto"/>
        <w:right w:val="none" w:sz="0" w:space="0" w:color="auto"/>
      </w:divBdr>
    </w:div>
    <w:div w:id="200482004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9/9/section/11"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667</Words>
  <Characters>3802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2024-06-21T08:18:00Z</cp:lastPrinted>
  <dcterms:created xsi:type="dcterms:W3CDTF">2023-12-08T11:52:00Z</dcterms:created>
  <dcterms:modified xsi:type="dcterms:W3CDTF">2024-06-21T08:29:00Z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