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802C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94432">
              <w:t>1075</w:t>
            </w:r>
          </w:p>
          <w:p w14:paraId="34BDABA6" w14:textId="445822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5668">
              <w:t>25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CD1A0E" w14:textId="77777777" w:rsidR="00F94432" w:rsidRDefault="00F94432" w:rsidP="00F94432">
      <w:pPr>
        <w:pStyle w:val="Heading2"/>
      </w:pPr>
      <w:r w:rsidRPr="00F94432">
        <w:t xml:space="preserve">The number of 999 calls graded “IMMEDIATE” by STORM Unity which did not result in an officer being deployed in the financial years 2022-23, 2023-24 and 2024-25 so far. </w:t>
      </w:r>
    </w:p>
    <w:p w14:paraId="4C2126F8" w14:textId="77777777" w:rsidR="00C2586B" w:rsidRDefault="00C2586B" w:rsidP="00C2586B">
      <w:pPr>
        <w:tabs>
          <w:tab w:val="left" w:pos="5400"/>
        </w:tabs>
      </w:pPr>
      <w:r>
        <w:t xml:space="preserve">Incidents are </w:t>
      </w:r>
      <w:r w:rsidRPr="0025687A">
        <w:t>created</w:t>
      </w:r>
      <w:r>
        <w:t xml:space="preserve"> where it is assessed that some form of police response is required.</w:t>
      </w:r>
    </w:p>
    <w:p w14:paraId="2EE0CEA3" w14:textId="77777777" w:rsidR="00C2586B" w:rsidRDefault="00C2586B" w:rsidP="00C2586B">
      <w:pPr>
        <w:tabs>
          <w:tab w:val="left" w:pos="5400"/>
        </w:tabs>
      </w:pPr>
      <w:r>
        <w:t>This can be in response to contact by telephone or any other means, or at the request of officers or partners.</w:t>
      </w:r>
    </w:p>
    <w:p w14:paraId="01641531" w14:textId="77777777" w:rsidR="00C2586B" w:rsidRDefault="00C2586B" w:rsidP="00C2586B">
      <w:pPr>
        <w:tabs>
          <w:tab w:val="left" w:pos="5400"/>
        </w:tabs>
      </w:pPr>
      <w:r>
        <w:t xml:space="preserve">STORM Unity is the system used by Police Scotland for the management of police incidents and resources and is the source of the data provided in this response. </w:t>
      </w:r>
    </w:p>
    <w:p w14:paraId="778DA155" w14:textId="77777777" w:rsidR="00C2586B" w:rsidRDefault="00C2586B" w:rsidP="00C2586B">
      <w:pPr>
        <w:tabs>
          <w:tab w:val="left" w:pos="5400"/>
        </w:tabs>
      </w:pPr>
      <w:r>
        <w:t xml:space="preserve">It is worth noting that STORM is primarily a command &amp; control system and has limited value as a statistical tool. </w:t>
      </w:r>
    </w:p>
    <w:p w14:paraId="0F73445A" w14:textId="77777777" w:rsidR="00C2586B" w:rsidRDefault="00C2586B" w:rsidP="00C2586B">
      <w:pPr>
        <w:tabs>
          <w:tab w:val="left" w:pos="5400"/>
        </w:tabs>
      </w:pPr>
      <w:r>
        <w:t xml:space="preserve">Most data obtained from the system requires further analysis to establish context. </w:t>
      </w:r>
    </w:p>
    <w:p w14:paraId="5411E31F" w14:textId="77777777" w:rsidR="00C2586B" w:rsidRDefault="00C2586B" w:rsidP="00C2586B">
      <w:pPr>
        <w:tabs>
          <w:tab w:val="left" w:pos="5400"/>
        </w:tabs>
      </w:pPr>
      <w:r>
        <w:t xml:space="preserve">In large volumes, this can be extremely difficult to do, and, in some cases, it is not possible to filter or structure data to adequately answer a specific request. </w:t>
      </w:r>
    </w:p>
    <w:p w14:paraId="4D42FF77" w14:textId="77777777" w:rsidR="00C2586B" w:rsidRDefault="00C2586B" w:rsidP="00C2586B">
      <w:pPr>
        <w:tabs>
          <w:tab w:val="left" w:pos="5400"/>
        </w:tabs>
      </w:pPr>
      <w:r>
        <w:t xml:space="preserve">STORM automatically captures timing data when an incident is raised and dispatched. </w:t>
      </w:r>
    </w:p>
    <w:p w14:paraId="54718374" w14:textId="2BF5709A" w:rsidR="00C2586B" w:rsidRDefault="00C2586B" w:rsidP="006F4198">
      <w:pPr>
        <w:tabs>
          <w:tab w:val="left" w:pos="5400"/>
        </w:tabs>
      </w:pPr>
      <w:r>
        <w:t xml:space="preserve">The arrival of a resource at the locus of an incident is </w:t>
      </w:r>
      <w:r w:rsidR="006F4198">
        <w:t xml:space="preserve">however </w:t>
      </w:r>
      <w:r>
        <w:t xml:space="preserve">recorded via </w:t>
      </w:r>
      <w:r w:rsidRPr="0025687A">
        <w:t xml:space="preserve">officers pressing their ‘At Scene’ button </w:t>
      </w:r>
      <w:r w:rsidR="006F4198">
        <w:t>when</w:t>
      </w:r>
      <w:r w:rsidRPr="0025687A">
        <w:t xml:space="preserve"> they arrive</w:t>
      </w:r>
      <w:r w:rsidR="006F4198">
        <w:t>,</w:t>
      </w:r>
      <w:r w:rsidRPr="0025687A">
        <w:t xml:space="preserve"> or by verbally communicating this to the Area Control Room for updating the incident. </w:t>
      </w:r>
    </w:p>
    <w:p w14:paraId="69630DF4" w14:textId="77777777" w:rsidR="006F4198" w:rsidRDefault="00C2586B" w:rsidP="00C2586B">
      <w:pPr>
        <w:jc w:val="both"/>
      </w:pPr>
      <w:r w:rsidRPr="0025687A">
        <w:t>The</w:t>
      </w:r>
      <w:r w:rsidR="006F4198">
        <w:t xml:space="preserve"> process is therefore open to error, particularly on arrival at a dynamic incident/ emergency situation.</w:t>
      </w:r>
    </w:p>
    <w:p w14:paraId="69DB75EA" w14:textId="77777777" w:rsidR="006F4198" w:rsidRDefault="006F4198">
      <w:pPr>
        <w:rPr>
          <w:i/>
          <w:iCs/>
        </w:rPr>
      </w:pPr>
      <w:r>
        <w:rPr>
          <w:i/>
          <w:iCs/>
        </w:rPr>
        <w:br w:type="page"/>
      </w:r>
    </w:p>
    <w:p w14:paraId="34BDABAB" w14:textId="766AD84A" w:rsidR="00255F1E" w:rsidRPr="00707342" w:rsidRDefault="007472ED" w:rsidP="00793DD5">
      <w:pPr>
        <w:tabs>
          <w:tab w:val="left" w:pos="5400"/>
        </w:tabs>
        <w:rPr>
          <w:i/>
          <w:iCs/>
        </w:rPr>
      </w:pPr>
      <w:r w:rsidRPr="00707342">
        <w:rPr>
          <w:i/>
          <w:iCs/>
        </w:rPr>
        <w:lastRenderedPageBreak/>
        <w:t xml:space="preserve">Table: </w:t>
      </w:r>
      <w:r w:rsidR="006F4198">
        <w:rPr>
          <w:i/>
          <w:iCs/>
        </w:rPr>
        <w:t>Non</w:t>
      </w:r>
      <w:r w:rsidR="008E2F1E" w:rsidRPr="00707342">
        <w:rPr>
          <w:i/>
          <w:iCs/>
        </w:rPr>
        <w:t>-attended</w:t>
      </w:r>
      <w:r w:rsidRPr="00707342">
        <w:rPr>
          <w:i/>
          <w:iCs/>
        </w:rPr>
        <w:t xml:space="preserve"> 999</w:t>
      </w:r>
      <w:r w:rsidR="00707342" w:rsidRPr="00707342">
        <w:rPr>
          <w:i/>
          <w:iCs/>
        </w:rPr>
        <w:t xml:space="preserve"> immediate priority incidents – Financial years 2022/23 – 2024/25 </w:t>
      </w:r>
    </w:p>
    <w:tbl>
      <w:tblPr>
        <w:tblStyle w:val="TableGrid"/>
        <w:tblW w:w="5168" w:type="dxa"/>
        <w:tblLook w:val="04A0" w:firstRow="1" w:lastRow="0" w:firstColumn="1" w:lastColumn="0" w:noHBand="0" w:noVBand="1"/>
        <w:tblCaption w:val="Table: Number of non-attended 999 immediate priority incidents – Financial years 2022/23 – 2024/25 "/>
        <w:tblDescription w:val="Table: Number of non-attended 999 immediate priority incidents – Financial years 2022/23 – 2024/25 "/>
      </w:tblPr>
      <w:tblGrid>
        <w:gridCol w:w="1898"/>
        <w:gridCol w:w="3270"/>
      </w:tblGrid>
      <w:tr w:rsidR="007472ED" w:rsidRPr="00557306" w14:paraId="34BDABB1" w14:textId="77777777" w:rsidTr="007472ED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3575C4C6" w:rsidR="007472ED" w:rsidRPr="00557306" w:rsidRDefault="007472ED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3270" w:type="dxa"/>
            <w:shd w:val="clear" w:color="auto" w:fill="D9D9D9" w:themeFill="background1" w:themeFillShade="D9"/>
          </w:tcPr>
          <w:p w14:paraId="34BDABAD" w14:textId="4D37712D" w:rsidR="007472ED" w:rsidRPr="00557306" w:rsidRDefault="007472ED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Non-attend</w:t>
            </w:r>
            <w:r w:rsidR="006F4198">
              <w:rPr>
                <w:b/>
              </w:rPr>
              <w:t>ed</w:t>
            </w:r>
            <w:r>
              <w:rPr>
                <w:b/>
              </w:rPr>
              <w:t xml:space="preserve"> incidents</w:t>
            </w:r>
          </w:p>
        </w:tc>
      </w:tr>
      <w:tr w:rsidR="007472ED" w14:paraId="34BDABB7" w14:textId="77777777" w:rsidTr="007472ED">
        <w:tc>
          <w:tcPr>
            <w:tcW w:w="1898" w:type="dxa"/>
          </w:tcPr>
          <w:p w14:paraId="34BDABB2" w14:textId="54D7FEF1" w:rsidR="007472ED" w:rsidRDefault="007472ED" w:rsidP="00EF0FBB">
            <w:pPr>
              <w:tabs>
                <w:tab w:val="left" w:pos="5400"/>
              </w:tabs>
              <w:spacing w:line="240" w:lineRule="auto"/>
            </w:pPr>
            <w:r>
              <w:t>2022/23</w:t>
            </w:r>
          </w:p>
        </w:tc>
        <w:tc>
          <w:tcPr>
            <w:tcW w:w="3270" w:type="dxa"/>
          </w:tcPr>
          <w:p w14:paraId="34BDABB3" w14:textId="0B5EBF96" w:rsidR="007472ED" w:rsidRDefault="007472ED" w:rsidP="00EF0FBB">
            <w:pPr>
              <w:tabs>
                <w:tab w:val="left" w:pos="5400"/>
              </w:tabs>
              <w:spacing w:line="240" w:lineRule="auto"/>
            </w:pPr>
            <w:r>
              <w:t>1,398</w:t>
            </w:r>
          </w:p>
        </w:tc>
      </w:tr>
      <w:tr w:rsidR="007472ED" w14:paraId="2C91751A" w14:textId="77777777" w:rsidTr="007472ED">
        <w:tc>
          <w:tcPr>
            <w:tcW w:w="1898" w:type="dxa"/>
          </w:tcPr>
          <w:p w14:paraId="1943A8E8" w14:textId="0475AA49" w:rsidR="007472ED" w:rsidRDefault="007472ED" w:rsidP="00EF0FBB">
            <w:pPr>
              <w:tabs>
                <w:tab w:val="left" w:pos="5400"/>
              </w:tabs>
              <w:spacing w:line="240" w:lineRule="auto"/>
            </w:pPr>
            <w:r>
              <w:t>2023/24</w:t>
            </w:r>
          </w:p>
        </w:tc>
        <w:tc>
          <w:tcPr>
            <w:tcW w:w="3270" w:type="dxa"/>
          </w:tcPr>
          <w:p w14:paraId="53B39CC1" w14:textId="3452387C" w:rsidR="007472ED" w:rsidRDefault="007472ED" w:rsidP="00EF0FBB">
            <w:pPr>
              <w:tabs>
                <w:tab w:val="left" w:pos="5400"/>
              </w:tabs>
              <w:spacing w:line="240" w:lineRule="auto"/>
            </w:pPr>
            <w:r>
              <w:t>1,663</w:t>
            </w:r>
          </w:p>
        </w:tc>
      </w:tr>
      <w:tr w:rsidR="007472ED" w14:paraId="3CAC3DE2" w14:textId="77777777" w:rsidTr="007472ED">
        <w:tc>
          <w:tcPr>
            <w:tcW w:w="1898" w:type="dxa"/>
          </w:tcPr>
          <w:p w14:paraId="634629E1" w14:textId="7CB7F2D5" w:rsidR="007472ED" w:rsidRDefault="007472ED" w:rsidP="00EF0FBB">
            <w:pPr>
              <w:tabs>
                <w:tab w:val="left" w:pos="5400"/>
              </w:tabs>
              <w:spacing w:line="240" w:lineRule="auto"/>
            </w:pPr>
            <w:r>
              <w:t>2024/25</w:t>
            </w:r>
          </w:p>
        </w:tc>
        <w:tc>
          <w:tcPr>
            <w:tcW w:w="3270" w:type="dxa"/>
          </w:tcPr>
          <w:p w14:paraId="15C188DD" w14:textId="053A123E" w:rsidR="007472ED" w:rsidRDefault="007472ED" w:rsidP="00EF0FBB">
            <w:pPr>
              <w:tabs>
                <w:tab w:val="left" w:pos="5400"/>
              </w:tabs>
              <w:spacing w:line="240" w:lineRule="auto"/>
            </w:pPr>
            <w:r>
              <w:t>1,563</w:t>
            </w:r>
          </w:p>
        </w:tc>
      </w:tr>
    </w:tbl>
    <w:p w14:paraId="34BDABBD" w14:textId="62FDAE67" w:rsidR="00BF6B81" w:rsidRPr="00B11A55" w:rsidRDefault="00707342" w:rsidP="00793DD5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ED7D5A">
        <w:br/>
        <w:t xml:space="preserve">Data was </w:t>
      </w:r>
      <w:r>
        <w:t xml:space="preserve">extracted from Police Scotland systems and are correct as at 20 June 2025. Data has been extracted based on the incident raised date. </w:t>
      </w:r>
      <w:r>
        <w:tab/>
      </w:r>
      <w:r w:rsidR="00ED7D5A">
        <w:br/>
      </w:r>
      <w:r>
        <w:t>Non attended 999 Immediate priority incidents are defined as: incidents where the call was received via '999' or '999 MOB', the final priority was '7 - Immediate' and where the At_Scene field did not have a datetime recorded.</w:t>
      </w:r>
      <w:r>
        <w:tab/>
      </w:r>
      <w:r w:rsidR="00ED7D5A">
        <w:br/>
      </w:r>
      <w:r>
        <w:t>Duplicate, transferred (to other force) and (raised in) error incidents have been removed.</w:t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8E1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4AD3"/>
    <w:rsid w:val="0036503B"/>
    <w:rsid w:val="00376A4A"/>
    <w:rsid w:val="003D6D03"/>
    <w:rsid w:val="003E12CA"/>
    <w:rsid w:val="004010DC"/>
    <w:rsid w:val="004341F0"/>
    <w:rsid w:val="00455668"/>
    <w:rsid w:val="00456324"/>
    <w:rsid w:val="00475460"/>
    <w:rsid w:val="00490317"/>
    <w:rsid w:val="00491644"/>
    <w:rsid w:val="0049403D"/>
    <w:rsid w:val="00496A08"/>
    <w:rsid w:val="004E1605"/>
    <w:rsid w:val="004E4DFE"/>
    <w:rsid w:val="004F653C"/>
    <w:rsid w:val="00540A52"/>
    <w:rsid w:val="005506B0"/>
    <w:rsid w:val="00554F67"/>
    <w:rsid w:val="00557306"/>
    <w:rsid w:val="005943A9"/>
    <w:rsid w:val="00645CFA"/>
    <w:rsid w:val="00685219"/>
    <w:rsid w:val="006B7CE6"/>
    <w:rsid w:val="006D5799"/>
    <w:rsid w:val="006F4198"/>
    <w:rsid w:val="007016B1"/>
    <w:rsid w:val="00707342"/>
    <w:rsid w:val="007440EA"/>
    <w:rsid w:val="007472ED"/>
    <w:rsid w:val="00750D83"/>
    <w:rsid w:val="00785DBC"/>
    <w:rsid w:val="007877FA"/>
    <w:rsid w:val="00793DD5"/>
    <w:rsid w:val="007D55F6"/>
    <w:rsid w:val="007F490F"/>
    <w:rsid w:val="00854A15"/>
    <w:rsid w:val="0086779C"/>
    <w:rsid w:val="00874BFD"/>
    <w:rsid w:val="008964EF"/>
    <w:rsid w:val="008E2F1E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586B"/>
    <w:rsid w:val="00C606A2"/>
    <w:rsid w:val="00C63872"/>
    <w:rsid w:val="00C84948"/>
    <w:rsid w:val="00C94ED8"/>
    <w:rsid w:val="00CF1111"/>
    <w:rsid w:val="00D05706"/>
    <w:rsid w:val="00D17F8A"/>
    <w:rsid w:val="00D27DC5"/>
    <w:rsid w:val="00D47E36"/>
    <w:rsid w:val="00DA1167"/>
    <w:rsid w:val="00DF3689"/>
    <w:rsid w:val="00E25AB4"/>
    <w:rsid w:val="00E366D4"/>
    <w:rsid w:val="00E402E1"/>
    <w:rsid w:val="00E55D79"/>
    <w:rsid w:val="00ED7D5A"/>
    <w:rsid w:val="00EE2373"/>
    <w:rsid w:val="00EF0FBB"/>
    <w:rsid w:val="00EF4761"/>
    <w:rsid w:val="00F94432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503</Words>
  <Characters>2869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