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EEEDE14" w:rsidR="00B17211" w:rsidRPr="00B17211" w:rsidRDefault="00B17211" w:rsidP="007F490F">
            <w:r w:rsidRPr="007F490F">
              <w:rPr>
                <w:rStyle w:val="Heading2Char"/>
              </w:rPr>
              <w:t>Our reference:</w:t>
            </w:r>
            <w:r>
              <w:t xml:space="preserve">  FOI 2</w:t>
            </w:r>
            <w:r w:rsidR="00EF0FBB">
              <w:t>5</w:t>
            </w:r>
            <w:r>
              <w:t>-</w:t>
            </w:r>
            <w:r w:rsidR="0059519E">
              <w:t>1084</w:t>
            </w:r>
          </w:p>
          <w:p w14:paraId="34BDABA6" w14:textId="30696A65" w:rsidR="00B17211" w:rsidRDefault="00456324" w:rsidP="00EE2373">
            <w:r w:rsidRPr="007F490F">
              <w:rPr>
                <w:rStyle w:val="Heading2Char"/>
              </w:rPr>
              <w:t>Respon</w:t>
            </w:r>
            <w:r w:rsidR="007D55F6">
              <w:rPr>
                <w:rStyle w:val="Heading2Char"/>
              </w:rPr>
              <w:t>ded to:</w:t>
            </w:r>
            <w:r w:rsidR="007F490F">
              <w:t xml:space="preserve">  </w:t>
            </w:r>
            <w:r w:rsidR="0059519E">
              <w:t>30</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2BB184" w14:textId="77777777" w:rsidR="0059519E" w:rsidRDefault="0059519E" w:rsidP="0059519E">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V</w:t>
      </w:r>
      <w:r w:rsidRPr="0059519E">
        <w:rPr>
          <w:rFonts w:eastAsiaTheme="majorEastAsia" w:cstheme="majorBidi"/>
          <w:b/>
          <w:color w:val="000000" w:themeColor="text1"/>
          <w:szCs w:val="26"/>
        </w:rPr>
        <w:t>olume/number (including date of incident) of road traffic collision incidents and any other incidents/accidents relating to or including pedestrians, cyclists, farm machinery or buildings</w:t>
      </w:r>
      <w:r>
        <w:rPr>
          <w:rFonts w:eastAsiaTheme="majorEastAsia" w:cstheme="majorBidi"/>
          <w:b/>
          <w:color w:val="000000" w:themeColor="text1"/>
          <w:szCs w:val="26"/>
        </w:rPr>
        <w:t xml:space="preserve"> </w:t>
      </w:r>
      <w:r w:rsidRPr="0059519E">
        <w:rPr>
          <w:rFonts w:eastAsiaTheme="majorEastAsia" w:cstheme="majorBidi"/>
          <w:b/>
          <w:color w:val="000000" w:themeColor="text1"/>
          <w:szCs w:val="26"/>
        </w:rPr>
        <w:t>on the road B9037 from A985 to A907 Blairhall</w:t>
      </w:r>
      <w:r>
        <w:rPr>
          <w:rFonts w:eastAsiaTheme="majorEastAsia" w:cstheme="majorBidi"/>
          <w:b/>
          <w:color w:val="000000" w:themeColor="text1"/>
          <w:szCs w:val="26"/>
        </w:rPr>
        <w:t xml:space="preserve">. </w:t>
      </w:r>
      <w:r w:rsidRPr="0059519E">
        <w:rPr>
          <w:rFonts w:eastAsiaTheme="majorEastAsia" w:cstheme="majorBidi"/>
          <w:b/>
          <w:color w:val="000000" w:themeColor="text1"/>
          <w:szCs w:val="26"/>
        </w:rPr>
        <w:t>Over the last 15 years or as far back as you are able to supply data</w:t>
      </w:r>
    </w:p>
    <w:p w14:paraId="34BDABAA" w14:textId="66847258" w:rsidR="00496A08" w:rsidRDefault="00905701" w:rsidP="008130E9">
      <w:r>
        <w:t>The tables below detail</w:t>
      </w:r>
      <w:r w:rsidR="00CE03ED">
        <w:t xml:space="preserve"> recorded</w:t>
      </w:r>
      <w:r>
        <w:t xml:space="preserve"> </w:t>
      </w:r>
      <w:r>
        <w:t>Road Traffic C</w:t>
      </w:r>
      <w:r w:rsidRPr="008130E9">
        <w:t>ollision</w:t>
      </w:r>
      <w:r>
        <w:t>s</w:t>
      </w:r>
      <w:r>
        <w:t xml:space="preserve"> (RTC</w:t>
      </w:r>
      <w:r>
        <w:t>s</w:t>
      </w:r>
      <w:r>
        <w:t>)</w:t>
      </w:r>
      <w:r w:rsidRPr="008130E9">
        <w:t xml:space="preserve"> </w:t>
      </w:r>
      <w:r w:rsidR="00CE03ED">
        <w:t xml:space="preserve">on </w:t>
      </w:r>
      <w:r>
        <w:t xml:space="preserve">the </w:t>
      </w:r>
      <w:r w:rsidR="00CE03ED">
        <w:t xml:space="preserve">B9037 for </w:t>
      </w:r>
      <w:r>
        <w:t>the period</w:t>
      </w:r>
      <w:r w:rsidR="00CE03ED">
        <w:t xml:space="preserve"> requested</w:t>
      </w:r>
      <w:r w:rsidR="005F4DAA">
        <w:t>.</w:t>
      </w:r>
    </w:p>
    <w:p w14:paraId="41751E7D" w14:textId="24D7FA6F" w:rsidR="00905701" w:rsidRDefault="008130E9" w:rsidP="008130E9">
      <w:r w:rsidRPr="008130E9">
        <w:t xml:space="preserve">Please note that a reportable </w:t>
      </w:r>
      <w:r w:rsidR="00905701">
        <w:t>collision</w:t>
      </w:r>
      <w:r w:rsidRPr="008130E9">
        <w:t xml:space="preserve"> is defined at section 170 of the Road Traffic Act 1988 and describes the legal responsibility on those drivers involved to report the matter to the police. </w:t>
      </w:r>
      <w:r w:rsidR="00905701">
        <w:t xml:space="preserve"> </w:t>
      </w:r>
      <w:r w:rsidRPr="008130E9">
        <w:t>Where those involved exchange personal details, there is no legal requirement to report a collision to the police</w:t>
      </w:r>
      <w:r w:rsidR="00905701">
        <w:t>,</w:t>
      </w:r>
      <w:r w:rsidRPr="008130E9">
        <w:t xml:space="preserve"> and this applies particularly to non-injury collisions. </w:t>
      </w:r>
    </w:p>
    <w:p w14:paraId="15DA8CD9" w14:textId="53A37966" w:rsidR="008130E9" w:rsidRDefault="008130E9" w:rsidP="008130E9">
      <w:r w:rsidRPr="008130E9">
        <w:t>As such, there may have been other collisions within the location of your request, which were not reported to Police Scotland, nor which required a collision report to be created, and will therefore not be included within the statistics.</w:t>
      </w:r>
    </w:p>
    <w:p w14:paraId="35179909" w14:textId="77777777" w:rsidR="00246E26" w:rsidRDefault="00246E26" w:rsidP="00CE03ED">
      <w:pPr>
        <w:tabs>
          <w:tab w:val="left" w:pos="5400"/>
        </w:tabs>
      </w:pPr>
    </w:p>
    <w:p w14:paraId="3E29A833" w14:textId="36422C94" w:rsidR="00CE03ED" w:rsidRDefault="00CE03ED" w:rsidP="00CE03ED">
      <w:pPr>
        <w:tabs>
          <w:tab w:val="left" w:pos="5400"/>
        </w:tabs>
      </w:pPr>
      <w:r>
        <w:t>Table 1</w:t>
      </w:r>
      <w:r w:rsidRPr="00183E0F">
        <w:t>: R</w:t>
      </w:r>
      <w:r w:rsidR="00905701">
        <w:t xml:space="preserve">TCs </w:t>
      </w:r>
      <w:r w:rsidRPr="00183E0F">
        <w:t>on the B9037</w:t>
      </w:r>
      <w:r>
        <w:t xml:space="preserve"> by </w:t>
      </w:r>
      <w:r w:rsidR="00905701">
        <w:t>s</w:t>
      </w:r>
      <w:r>
        <w:t>everity</w:t>
      </w:r>
      <w:r w:rsidRPr="00183E0F">
        <w:t>, Fife Division</w:t>
      </w:r>
      <w:r w:rsidR="00905701">
        <w:t xml:space="preserve"> - </w:t>
      </w:r>
      <w:r w:rsidRPr="00183E0F">
        <w:t xml:space="preserve">1 January 2010 - 31 May 2025 </w:t>
      </w:r>
    </w:p>
    <w:tbl>
      <w:tblPr>
        <w:tblStyle w:val="TableGrid"/>
        <w:tblW w:w="0" w:type="auto"/>
        <w:tblLook w:val="04A0" w:firstRow="1" w:lastRow="0" w:firstColumn="1" w:lastColumn="0" w:noHBand="0" w:noVBand="1"/>
        <w:tblCaption w:val="Example table"/>
        <w:tblDescription w:val="Example table"/>
      </w:tblPr>
      <w:tblGrid>
        <w:gridCol w:w="2230"/>
        <w:gridCol w:w="750"/>
        <w:gridCol w:w="750"/>
        <w:gridCol w:w="750"/>
      </w:tblGrid>
      <w:tr w:rsidR="00CE03ED" w:rsidRPr="00557306" w14:paraId="0C5624B5" w14:textId="77777777" w:rsidTr="00822963">
        <w:trPr>
          <w:tblHeader/>
        </w:trPr>
        <w:tc>
          <w:tcPr>
            <w:tcW w:w="0" w:type="auto"/>
            <w:shd w:val="clear" w:color="auto" w:fill="D9D9D9" w:themeFill="background1" w:themeFillShade="D9"/>
          </w:tcPr>
          <w:p w14:paraId="5F268637" w14:textId="61298A8C" w:rsidR="00CE03ED" w:rsidRPr="00557306" w:rsidRDefault="00CE03ED" w:rsidP="00905701">
            <w:pPr>
              <w:spacing w:line="240" w:lineRule="auto"/>
              <w:rPr>
                <w:b/>
              </w:rPr>
            </w:pPr>
            <w:r>
              <w:rPr>
                <w:b/>
              </w:rPr>
              <w:t>Collision Severity</w:t>
            </w:r>
          </w:p>
        </w:tc>
        <w:tc>
          <w:tcPr>
            <w:tcW w:w="0" w:type="auto"/>
            <w:shd w:val="clear" w:color="auto" w:fill="D9D9D9" w:themeFill="background1" w:themeFillShade="D9"/>
          </w:tcPr>
          <w:p w14:paraId="63F7D614" w14:textId="77777777" w:rsidR="00CE03ED" w:rsidRPr="00557306" w:rsidRDefault="00CE03ED" w:rsidP="00905701">
            <w:pPr>
              <w:spacing w:line="240" w:lineRule="auto"/>
              <w:jc w:val="center"/>
              <w:rPr>
                <w:b/>
              </w:rPr>
            </w:pPr>
            <w:r>
              <w:rPr>
                <w:b/>
              </w:rPr>
              <w:t>2013</w:t>
            </w:r>
          </w:p>
        </w:tc>
        <w:tc>
          <w:tcPr>
            <w:tcW w:w="0" w:type="auto"/>
            <w:shd w:val="clear" w:color="auto" w:fill="D9D9D9" w:themeFill="background1" w:themeFillShade="D9"/>
          </w:tcPr>
          <w:p w14:paraId="35DC9EE6" w14:textId="77777777" w:rsidR="00CE03ED" w:rsidRPr="00557306" w:rsidRDefault="00CE03ED" w:rsidP="00905701">
            <w:pPr>
              <w:spacing w:line="240" w:lineRule="auto"/>
              <w:jc w:val="center"/>
              <w:rPr>
                <w:b/>
              </w:rPr>
            </w:pPr>
            <w:r>
              <w:rPr>
                <w:b/>
              </w:rPr>
              <w:t>2015</w:t>
            </w:r>
          </w:p>
        </w:tc>
        <w:tc>
          <w:tcPr>
            <w:tcW w:w="0" w:type="auto"/>
            <w:shd w:val="clear" w:color="auto" w:fill="D9D9D9" w:themeFill="background1" w:themeFillShade="D9"/>
          </w:tcPr>
          <w:p w14:paraId="6BC8AB07" w14:textId="77777777" w:rsidR="00CE03ED" w:rsidRPr="00557306" w:rsidRDefault="00CE03ED" w:rsidP="00905701">
            <w:pPr>
              <w:spacing w:line="240" w:lineRule="auto"/>
              <w:jc w:val="center"/>
              <w:rPr>
                <w:b/>
              </w:rPr>
            </w:pPr>
            <w:r>
              <w:rPr>
                <w:b/>
              </w:rPr>
              <w:t>2016</w:t>
            </w:r>
          </w:p>
        </w:tc>
      </w:tr>
      <w:tr w:rsidR="00CE03ED" w14:paraId="3D28FEFE" w14:textId="77777777" w:rsidTr="00822963">
        <w:tc>
          <w:tcPr>
            <w:tcW w:w="0" w:type="auto"/>
          </w:tcPr>
          <w:p w14:paraId="5FCADC4A" w14:textId="51026AFF" w:rsidR="00CE03ED" w:rsidRDefault="00CE03ED" w:rsidP="00905701">
            <w:pPr>
              <w:tabs>
                <w:tab w:val="left" w:pos="5400"/>
              </w:tabs>
              <w:spacing w:line="240" w:lineRule="auto"/>
            </w:pPr>
            <w:r>
              <w:t>Serious</w:t>
            </w:r>
          </w:p>
        </w:tc>
        <w:tc>
          <w:tcPr>
            <w:tcW w:w="0" w:type="auto"/>
          </w:tcPr>
          <w:p w14:paraId="0471E6FE" w14:textId="6691D477" w:rsidR="00CE03ED" w:rsidRDefault="00CE03ED" w:rsidP="00905701">
            <w:pPr>
              <w:tabs>
                <w:tab w:val="left" w:pos="5400"/>
              </w:tabs>
              <w:spacing w:line="240" w:lineRule="auto"/>
              <w:jc w:val="right"/>
            </w:pPr>
            <w:r>
              <w:t>0</w:t>
            </w:r>
          </w:p>
        </w:tc>
        <w:tc>
          <w:tcPr>
            <w:tcW w:w="0" w:type="auto"/>
          </w:tcPr>
          <w:p w14:paraId="20B7452A" w14:textId="663A5145" w:rsidR="00CE03ED" w:rsidRDefault="00CE03ED" w:rsidP="00905701">
            <w:pPr>
              <w:tabs>
                <w:tab w:val="left" w:pos="5400"/>
              </w:tabs>
              <w:spacing w:line="240" w:lineRule="auto"/>
              <w:jc w:val="right"/>
            </w:pPr>
            <w:r>
              <w:t>0</w:t>
            </w:r>
          </w:p>
        </w:tc>
        <w:tc>
          <w:tcPr>
            <w:tcW w:w="0" w:type="auto"/>
          </w:tcPr>
          <w:p w14:paraId="31E51A26" w14:textId="294925CB" w:rsidR="00CE03ED" w:rsidRDefault="00CE03ED" w:rsidP="00905701">
            <w:pPr>
              <w:tabs>
                <w:tab w:val="left" w:pos="5400"/>
              </w:tabs>
              <w:spacing w:line="240" w:lineRule="auto"/>
              <w:jc w:val="right"/>
            </w:pPr>
            <w:r>
              <w:t>0</w:t>
            </w:r>
          </w:p>
        </w:tc>
      </w:tr>
      <w:tr w:rsidR="00CE03ED" w14:paraId="78EAA712" w14:textId="77777777" w:rsidTr="00822963">
        <w:tc>
          <w:tcPr>
            <w:tcW w:w="0" w:type="auto"/>
          </w:tcPr>
          <w:p w14:paraId="68CB3249" w14:textId="2437365D" w:rsidR="00CE03ED" w:rsidRDefault="00CE03ED" w:rsidP="00905701">
            <w:pPr>
              <w:tabs>
                <w:tab w:val="left" w:pos="5400"/>
              </w:tabs>
              <w:spacing w:line="240" w:lineRule="auto"/>
            </w:pPr>
            <w:r>
              <w:t>Slight</w:t>
            </w:r>
          </w:p>
        </w:tc>
        <w:tc>
          <w:tcPr>
            <w:tcW w:w="0" w:type="auto"/>
          </w:tcPr>
          <w:p w14:paraId="5654F675" w14:textId="69040AC1" w:rsidR="00CE03ED" w:rsidRDefault="00CE03ED" w:rsidP="00905701">
            <w:pPr>
              <w:tabs>
                <w:tab w:val="left" w:pos="5400"/>
              </w:tabs>
              <w:spacing w:line="240" w:lineRule="auto"/>
              <w:jc w:val="right"/>
            </w:pPr>
            <w:r>
              <w:t>1</w:t>
            </w:r>
          </w:p>
        </w:tc>
        <w:tc>
          <w:tcPr>
            <w:tcW w:w="0" w:type="auto"/>
          </w:tcPr>
          <w:p w14:paraId="147FBB7A" w14:textId="77777777" w:rsidR="00CE03ED" w:rsidRDefault="00CE03ED" w:rsidP="00905701">
            <w:pPr>
              <w:tabs>
                <w:tab w:val="left" w:pos="5400"/>
              </w:tabs>
              <w:spacing w:line="240" w:lineRule="auto"/>
              <w:jc w:val="right"/>
            </w:pPr>
            <w:r>
              <w:t>1</w:t>
            </w:r>
          </w:p>
        </w:tc>
        <w:tc>
          <w:tcPr>
            <w:tcW w:w="0" w:type="auto"/>
          </w:tcPr>
          <w:p w14:paraId="0347EA0D" w14:textId="1E9CE9DB" w:rsidR="00CE03ED" w:rsidRDefault="00CE03ED" w:rsidP="00905701">
            <w:pPr>
              <w:tabs>
                <w:tab w:val="left" w:pos="5400"/>
              </w:tabs>
              <w:spacing w:line="240" w:lineRule="auto"/>
              <w:jc w:val="right"/>
            </w:pPr>
            <w:r>
              <w:t>1</w:t>
            </w:r>
          </w:p>
        </w:tc>
      </w:tr>
    </w:tbl>
    <w:p w14:paraId="01913677" w14:textId="77777777" w:rsidR="00246E26" w:rsidRDefault="00246E26" w:rsidP="00CE03ED">
      <w:pPr>
        <w:tabs>
          <w:tab w:val="left" w:pos="5400"/>
        </w:tabs>
      </w:pPr>
    </w:p>
    <w:p w14:paraId="2A27F4AD" w14:textId="3AC6E4E8" w:rsidR="00CE03ED" w:rsidRDefault="00CE03ED" w:rsidP="00CE03ED">
      <w:pPr>
        <w:tabs>
          <w:tab w:val="left" w:pos="5400"/>
        </w:tabs>
      </w:pPr>
      <w:r>
        <w:t>Table 2</w:t>
      </w:r>
      <w:r w:rsidRPr="00183E0F">
        <w:t xml:space="preserve">: </w:t>
      </w:r>
      <w:r w:rsidR="00905701">
        <w:t xml:space="preserve">Associated </w:t>
      </w:r>
      <w:r>
        <w:t>Casualties</w:t>
      </w:r>
      <w:r w:rsidRPr="00183E0F">
        <w:t xml:space="preserve"> </w:t>
      </w:r>
      <w:r>
        <w:t xml:space="preserve">by </w:t>
      </w:r>
      <w:r w:rsidR="00905701">
        <w:t>s</w:t>
      </w:r>
      <w:r>
        <w:t>everity</w:t>
      </w:r>
      <w:r w:rsidRPr="00183E0F">
        <w:t>, Fife Division</w:t>
      </w:r>
      <w:r w:rsidR="00905701">
        <w:t xml:space="preserve"> - </w:t>
      </w:r>
      <w:r w:rsidRPr="00183E0F">
        <w:t>1 January 2010 - 31 May 2025</w:t>
      </w:r>
    </w:p>
    <w:tbl>
      <w:tblPr>
        <w:tblStyle w:val="TableGrid"/>
        <w:tblW w:w="0" w:type="auto"/>
        <w:tblLook w:val="04A0" w:firstRow="1" w:lastRow="0" w:firstColumn="1" w:lastColumn="0" w:noHBand="0" w:noVBand="1"/>
        <w:tblCaption w:val="Example table"/>
        <w:tblDescription w:val="Example table"/>
      </w:tblPr>
      <w:tblGrid>
        <w:gridCol w:w="2218"/>
        <w:gridCol w:w="1924"/>
        <w:gridCol w:w="750"/>
        <w:gridCol w:w="750"/>
        <w:gridCol w:w="750"/>
      </w:tblGrid>
      <w:tr w:rsidR="00246E26" w:rsidRPr="00557306" w14:paraId="0EEDE9B6" w14:textId="77777777" w:rsidTr="00246E26">
        <w:trPr>
          <w:tblHeader/>
        </w:trPr>
        <w:tc>
          <w:tcPr>
            <w:tcW w:w="0" w:type="auto"/>
            <w:shd w:val="clear" w:color="auto" w:fill="D9D9D9" w:themeFill="background1" w:themeFillShade="D9"/>
          </w:tcPr>
          <w:p w14:paraId="59E24D17" w14:textId="78FC61B6" w:rsidR="00246E26" w:rsidRPr="00557306" w:rsidRDefault="00246E26" w:rsidP="00822963">
            <w:pPr>
              <w:spacing w:line="240" w:lineRule="auto"/>
              <w:rPr>
                <w:b/>
              </w:rPr>
            </w:pPr>
            <w:r>
              <w:rPr>
                <w:b/>
              </w:rPr>
              <w:t>Casualty Severity</w:t>
            </w:r>
          </w:p>
        </w:tc>
        <w:tc>
          <w:tcPr>
            <w:tcW w:w="0" w:type="auto"/>
            <w:shd w:val="clear" w:color="auto" w:fill="D9D9D9" w:themeFill="background1" w:themeFillShade="D9"/>
          </w:tcPr>
          <w:p w14:paraId="706452DB" w14:textId="0231D31F" w:rsidR="00246E26" w:rsidRDefault="00246E26" w:rsidP="00822963">
            <w:pPr>
              <w:spacing w:line="240" w:lineRule="auto"/>
              <w:jc w:val="center"/>
              <w:rPr>
                <w:b/>
              </w:rPr>
            </w:pPr>
            <w:r>
              <w:rPr>
                <w:b/>
              </w:rPr>
              <w:t>Casualty Class</w:t>
            </w:r>
          </w:p>
        </w:tc>
        <w:tc>
          <w:tcPr>
            <w:tcW w:w="0" w:type="auto"/>
            <w:shd w:val="clear" w:color="auto" w:fill="D9D9D9" w:themeFill="background1" w:themeFillShade="D9"/>
          </w:tcPr>
          <w:p w14:paraId="59B446B1" w14:textId="63A29CC0" w:rsidR="00246E26" w:rsidRPr="00557306" w:rsidRDefault="00246E26" w:rsidP="00822963">
            <w:pPr>
              <w:spacing w:line="240" w:lineRule="auto"/>
              <w:jc w:val="center"/>
              <w:rPr>
                <w:b/>
              </w:rPr>
            </w:pPr>
            <w:r>
              <w:rPr>
                <w:b/>
              </w:rPr>
              <w:t>2013</w:t>
            </w:r>
          </w:p>
        </w:tc>
        <w:tc>
          <w:tcPr>
            <w:tcW w:w="0" w:type="auto"/>
            <w:shd w:val="clear" w:color="auto" w:fill="D9D9D9" w:themeFill="background1" w:themeFillShade="D9"/>
          </w:tcPr>
          <w:p w14:paraId="7408DE3F" w14:textId="77777777" w:rsidR="00246E26" w:rsidRPr="00557306" w:rsidRDefault="00246E26" w:rsidP="00822963">
            <w:pPr>
              <w:spacing w:line="240" w:lineRule="auto"/>
              <w:jc w:val="center"/>
              <w:rPr>
                <w:b/>
              </w:rPr>
            </w:pPr>
            <w:r>
              <w:rPr>
                <w:b/>
              </w:rPr>
              <w:t>2015</w:t>
            </w:r>
          </w:p>
        </w:tc>
        <w:tc>
          <w:tcPr>
            <w:tcW w:w="0" w:type="auto"/>
            <w:shd w:val="clear" w:color="auto" w:fill="D9D9D9" w:themeFill="background1" w:themeFillShade="D9"/>
          </w:tcPr>
          <w:p w14:paraId="134310F3" w14:textId="77777777" w:rsidR="00246E26" w:rsidRPr="00557306" w:rsidRDefault="00246E26" w:rsidP="00822963">
            <w:pPr>
              <w:spacing w:line="240" w:lineRule="auto"/>
              <w:jc w:val="center"/>
              <w:rPr>
                <w:b/>
              </w:rPr>
            </w:pPr>
            <w:r>
              <w:rPr>
                <w:b/>
              </w:rPr>
              <w:t>2016</w:t>
            </w:r>
          </w:p>
        </w:tc>
      </w:tr>
      <w:tr w:rsidR="00246E26" w14:paraId="31AE1B9D" w14:textId="77777777" w:rsidTr="00246E26">
        <w:tc>
          <w:tcPr>
            <w:tcW w:w="0" w:type="auto"/>
          </w:tcPr>
          <w:p w14:paraId="4D2087C1" w14:textId="77777777" w:rsidR="00246E26" w:rsidRDefault="00246E26" w:rsidP="00822963">
            <w:pPr>
              <w:tabs>
                <w:tab w:val="left" w:pos="5400"/>
              </w:tabs>
              <w:spacing w:line="240" w:lineRule="auto"/>
            </w:pPr>
            <w:r>
              <w:t>Slight</w:t>
            </w:r>
          </w:p>
        </w:tc>
        <w:tc>
          <w:tcPr>
            <w:tcW w:w="0" w:type="auto"/>
          </w:tcPr>
          <w:p w14:paraId="1437CAA9" w14:textId="5AD44BCB" w:rsidR="00246E26" w:rsidRDefault="00246E26" w:rsidP="00822963">
            <w:pPr>
              <w:tabs>
                <w:tab w:val="left" w:pos="5400"/>
              </w:tabs>
              <w:spacing w:line="240" w:lineRule="auto"/>
              <w:jc w:val="right"/>
            </w:pPr>
            <w:r>
              <w:t>Driver/ Rider</w:t>
            </w:r>
          </w:p>
        </w:tc>
        <w:tc>
          <w:tcPr>
            <w:tcW w:w="0" w:type="auto"/>
          </w:tcPr>
          <w:p w14:paraId="7404C363" w14:textId="68329422" w:rsidR="00246E26" w:rsidRDefault="00246E26" w:rsidP="00822963">
            <w:pPr>
              <w:tabs>
                <w:tab w:val="left" w:pos="5400"/>
              </w:tabs>
              <w:spacing w:line="240" w:lineRule="auto"/>
              <w:jc w:val="right"/>
            </w:pPr>
            <w:r>
              <w:t>2</w:t>
            </w:r>
          </w:p>
        </w:tc>
        <w:tc>
          <w:tcPr>
            <w:tcW w:w="0" w:type="auto"/>
          </w:tcPr>
          <w:p w14:paraId="75C8A9B8" w14:textId="77777777" w:rsidR="00246E26" w:rsidRDefault="00246E26" w:rsidP="00822963">
            <w:pPr>
              <w:tabs>
                <w:tab w:val="left" w:pos="5400"/>
              </w:tabs>
              <w:spacing w:line="240" w:lineRule="auto"/>
              <w:jc w:val="right"/>
            </w:pPr>
            <w:r>
              <w:t>1</w:t>
            </w:r>
          </w:p>
        </w:tc>
        <w:tc>
          <w:tcPr>
            <w:tcW w:w="0" w:type="auto"/>
          </w:tcPr>
          <w:p w14:paraId="2E23E251" w14:textId="77777777" w:rsidR="00246E26" w:rsidRDefault="00246E26" w:rsidP="00822963">
            <w:pPr>
              <w:tabs>
                <w:tab w:val="left" w:pos="5400"/>
              </w:tabs>
              <w:spacing w:line="240" w:lineRule="auto"/>
              <w:jc w:val="right"/>
            </w:pPr>
            <w:r>
              <w:t>1</w:t>
            </w:r>
          </w:p>
        </w:tc>
      </w:tr>
    </w:tbl>
    <w:p w14:paraId="595AB4B6" w14:textId="4CB6C7A3" w:rsidR="00183E0F" w:rsidRDefault="008130E9" w:rsidP="00793DD5">
      <w:pPr>
        <w:tabs>
          <w:tab w:val="left" w:pos="5400"/>
        </w:tabs>
      </w:pPr>
      <w:r>
        <w:lastRenderedPageBreak/>
        <w:t xml:space="preserve">Table </w:t>
      </w:r>
      <w:r w:rsidR="00CE03ED">
        <w:t>3</w:t>
      </w:r>
      <w:r w:rsidR="00183E0F" w:rsidRPr="00183E0F">
        <w:t xml:space="preserve">: </w:t>
      </w:r>
      <w:r w:rsidR="00905701">
        <w:t>Associated v</w:t>
      </w:r>
      <w:r w:rsidR="00183E0F" w:rsidRPr="00183E0F">
        <w:t xml:space="preserve">ehicles </w:t>
      </w:r>
      <w:r w:rsidR="00905701">
        <w:t>i</w:t>
      </w:r>
      <w:r w:rsidR="00183E0F" w:rsidRPr="00183E0F">
        <w:t xml:space="preserve">nvolved </w:t>
      </w:r>
      <w:r w:rsidR="00905701">
        <w:t xml:space="preserve">- </w:t>
      </w:r>
      <w:r w:rsidR="00183E0F" w:rsidRPr="00183E0F">
        <w:t xml:space="preserve">1 January 2010 - 31 May 2025 </w:t>
      </w:r>
    </w:p>
    <w:tbl>
      <w:tblPr>
        <w:tblStyle w:val="TableGrid"/>
        <w:tblW w:w="0" w:type="auto"/>
        <w:tblLook w:val="04A0" w:firstRow="1" w:lastRow="0" w:firstColumn="1" w:lastColumn="0" w:noHBand="0" w:noVBand="1"/>
        <w:tblCaption w:val="Example table"/>
        <w:tblDescription w:val="Example table"/>
      </w:tblPr>
      <w:tblGrid>
        <w:gridCol w:w="2231"/>
        <w:gridCol w:w="750"/>
        <w:gridCol w:w="750"/>
        <w:gridCol w:w="750"/>
      </w:tblGrid>
      <w:tr w:rsidR="00183E0F" w:rsidRPr="00557306" w14:paraId="34BDABB1" w14:textId="77777777" w:rsidTr="00183E0F">
        <w:trPr>
          <w:tblHeader/>
        </w:trPr>
        <w:tc>
          <w:tcPr>
            <w:tcW w:w="0" w:type="auto"/>
            <w:shd w:val="clear" w:color="auto" w:fill="D9D9D9" w:themeFill="background1" w:themeFillShade="D9"/>
          </w:tcPr>
          <w:p w14:paraId="34BDABAC" w14:textId="58FC97CC" w:rsidR="00183E0F" w:rsidRPr="00557306" w:rsidRDefault="00183E0F" w:rsidP="00EF0FBB">
            <w:pPr>
              <w:spacing w:line="240" w:lineRule="auto"/>
              <w:rPr>
                <w:b/>
              </w:rPr>
            </w:pPr>
            <w:r>
              <w:rPr>
                <w:b/>
              </w:rPr>
              <w:t>Vehicle Type</w:t>
            </w:r>
          </w:p>
        </w:tc>
        <w:tc>
          <w:tcPr>
            <w:tcW w:w="0" w:type="auto"/>
            <w:shd w:val="clear" w:color="auto" w:fill="D9D9D9" w:themeFill="background1" w:themeFillShade="D9"/>
          </w:tcPr>
          <w:p w14:paraId="34BDABAD" w14:textId="7BEE7B70" w:rsidR="00183E0F" w:rsidRPr="00557306" w:rsidRDefault="00183E0F" w:rsidP="00183E0F">
            <w:pPr>
              <w:spacing w:line="240" w:lineRule="auto"/>
              <w:jc w:val="center"/>
              <w:rPr>
                <w:b/>
              </w:rPr>
            </w:pPr>
            <w:r>
              <w:rPr>
                <w:b/>
              </w:rPr>
              <w:t>2013</w:t>
            </w:r>
          </w:p>
        </w:tc>
        <w:tc>
          <w:tcPr>
            <w:tcW w:w="0" w:type="auto"/>
            <w:shd w:val="clear" w:color="auto" w:fill="D9D9D9" w:themeFill="background1" w:themeFillShade="D9"/>
          </w:tcPr>
          <w:p w14:paraId="34BDABAE" w14:textId="4600CB4E" w:rsidR="00183E0F" w:rsidRPr="00557306" w:rsidRDefault="00183E0F" w:rsidP="00183E0F">
            <w:pPr>
              <w:spacing w:line="240" w:lineRule="auto"/>
              <w:jc w:val="center"/>
              <w:rPr>
                <w:b/>
              </w:rPr>
            </w:pPr>
            <w:r>
              <w:rPr>
                <w:b/>
              </w:rPr>
              <w:t>2015</w:t>
            </w:r>
          </w:p>
        </w:tc>
        <w:tc>
          <w:tcPr>
            <w:tcW w:w="0" w:type="auto"/>
            <w:shd w:val="clear" w:color="auto" w:fill="D9D9D9" w:themeFill="background1" w:themeFillShade="D9"/>
          </w:tcPr>
          <w:p w14:paraId="34BDABAF" w14:textId="12F52B6E" w:rsidR="00183E0F" w:rsidRPr="00557306" w:rsidRDefault="00183E0F" w:rsidP="00183E0F">
            <w:pPr>
              <w:spacing w:line="240" w:lineRule="auto"/>
              <w:jc w:val="center"/>
              <w:rPr>
                <w:b/>
              </w:rPr>
            </w:pPr>
            <w:r>
              <w:rPr>
                <w:b/>
              </w:rPr>
              <w:t>2016</w:t>
            </w:r>
          </w:p>
        </w:tc>
      </w:tr>
      <w:tr w:rsidR="00183E0F" w14:paraId="34BDABB7" w14:textId="77777777" w:rsidTr="00183E0F">
        <w:tc>
          <w:tcPr>
            <w:tcW w:w="0" w:type="auto"/>
          </w:tcPr>
          <w:p w14:paraId="34BDABB2" w14:textId="7BDE993C" w:rsidR="00183E0F" w:rsidRDefault="00183E0F" w:rsidP="00EF0FBB">
            <w:pPr>
              <w:tabs>
                <w:tab w:val="left" w:pos="5400"/>
              </w:tabs>
              <w:spacing w:line="240" w:lineRule="auto"/>
            </w:pPr>
            <w:r>
              <w:t>Car</w:t>
            </w:r>
          </w:p>
        </w:tc>
        <w:tc>
          <w:tcPr>
            <w:tcW w:w="0" w:type="auto"/>
          </w:tcPr>
          <w:p w14:paraId="34BDABB3" w14:textId="1A6593F3" w:rsidR="00183E0F" w:rsidRDefault="00183E0F" w:rsidP="00183E0F">
            <w:pPr>
              <w:tabs>
                <w:tab w:val="left" w:pos="5400"/>
              </w:tabs>
              <w:spacing w:line="240" w:lineRule="auto"/>
              <w:jc w:val="right"/>
            </w:pPr>
            <w:r>
              <w:t>2</w:t>
            </w:r>
          </w:p>
        </w:tc>
        <w:tc>
          <w:tcPr>
            <w:tcW w:w="0" w:type="auto"/>
          </w:tcPr>
          <w:p w14:paraId="34BDABB4" w14:textId="6AAA603E" w:rsidR="00183E0F" w:rsidRDefault="00183E0F" w:rsidP="00183E0F">
            <w:pPr>
              <w:tabs>
                <w:tab w:val="left" w:pos="5400"/>
              </w:tabs>
              <w:spacing w:line="240" w:lineRule="auto"/>
              <w:jc w:val="right"/>
            </w:pPr>
            <w:r>
              <w:t>1</w:t>
            </w:r>
          </w:p>
        </w:tc>
        <w:tc>
          <w:tcPr>
            <w:tcW w:w="0" w:type="auto"/>
          </w:tcPr>
          <w:p w14:paraId="34BDABB5" w14:textId="1111512C" w:rsidR="00183E0F" w:rsidRDefault="00183E0F" w:rsidP="00183E0F">
            <w:pPr>
              <w:tabs>
                <w:tab w:val="left" w:pos="5400"/>
              </w:tabs>
              <w:spacing w:line="240" w:lineRule="auto"/>
              <w:jc w:val="right"/>
            </w:pPr>
            <w:r>
              <w:t>2</w:t>
            </w:r>
          </w:p>
        </w:tc>
      </w:tr>
      <w:tr w:rsidR="00183E0F" w14:paraId="4720D2F8" w14:textId="77777777" w:rsidTr="00183E0F">
        <w:tc>
          <w:tcPr>
            <w:tcW w:w="0" w:type="auto"/>
          </w:tcPr>
          <w:p w14:paraId="62B9042A" w14:textId="4E7FFE32" w:rsidR="00183E0F" w:rsidRDefault="00183E0F" w:rsidP="00EF0FBB">
            <w:pPr>
              <w:tabs>
                <w:tab w:val="left" w:pos="5400"/>
              </w:tabs>
              <w:spacing w:line="240" w:lineRule="auto"/>
            </w:pPr>
            <w:r>
              <w:t>Agricultural vehicle</w:t>
            </w:r>
          </w:p>
        </w:tc>
        <w:tc>
          <w:tcPr>
            <w:tcW w:w="0" w:type="auto"/>
          </w:tcPr>
          <w:p w14:paraId="6EE1AB87" w14:textId="45E99C21" w:rsidR="00183E0F" w:rsidRDefault="00183E0F" w:rsidP="00183E0F">
            <w:pPr>
              <w:tabs>
                <w:tab w:val="left" w:pos="5400"/>
              </w:tabs>
              <w:spacing w:line="240" w:lineRule="auto"/>
              <w:jc w:val="right"/>
            </w:pPr>
            <w:r>
              <w:t>0</w:t>
            </w:r>
          </w:p>
        </w:tc>
        <w:tc>
          <w:tcPr>
            <w:tcW w:w="0" w:type="auto"/>
          </w:tcPr>
          <w:p w14:paraId="627E45F0" w14:textId="253B2ABB" w:rsidR="00183E0F" w:rsidRDefault="00183E0F" w:rsidP="00183E0F">
            <w:pPr>
              <w:tabs>
                <w:tab w:val="left" w:pos="5400"/>
              </w:tabs>
              <w:spacing w:line="240" w:lineRule="auto"/>
              <w:jc w:val="right"/>
            </w:pPr>
            <w:r>
              <w:t>1</w:t>
            </w:r>
          </w:p>
        </w:tc>
        <w:tc>
          <w:tcPr>
            <w:tcW w:w="0" w:type="auto"/>
          </w:tcPr>
          <w:p w14:paraId="214DF79C" w14:textId="6063CC2B" w:rsidR="00183E0F" w:rsidRDefault="00183E0F" w:rsidP="00183E0F">
            <w:pPr>
              <w:tabs>
                <w:tab w:val="left" w:pos="5400"/>
              </w:tabs>
              <w:spacing w:line="240" w:lineRule="auto"/>
              <w:jc w:val="right"/>
            </w:pPr>
            <w:r>
              <w:t>0</w:t>
            </w:r>
          </w:p>
        </w:tc>
      </w:tr>
    </w:tbl>
    <w:p w14:paraId="05578AA7" w14:textId="77777777" w:rsidR="005D285D" w:rsidRDefault="005D285D" w:rsidP="00183E0F">
      <w:pPr>
        <w:tabs>
          <w:tab w:val="left" w:pos="5400"/>
        </w:tabs>
      </w:pPr>
    </w:p>
    <w:p w14:paraId="7E7CD642" w14:textId="2BD78008" w:rsidR="00183E0F" w:rsidRPr="00905701" w:rsidRDefault="00183E0F" w:rsidP="00183E0F">
      <w:pPr>
        <w:tabs>
          <w:tab w:val="left" w:pos="5400"/>
        </w:tabs>
      </w:pPr>
      <w:r w:rsidRPr="00905701">
        <w:t xml:space="preserve">All statistics are provisional and should be treated as management information. </w:t>
      </w:r>
      <w:r w:rsidR="00905701" w:rsidRPr="00905701">
        <w:br/>
        <w:t xml:space="preserve">Data was </w:t>
      </w:r>
      <w:r w:rsidRPr="00905701">
        <w:t>extracted from Police Scotland systems and are correct as at 18/06/2025.</w:t>
      </w:r>
      <w:r w:rsidR="00905701" w:rsidRPr="00905701">
        <w:br/>
        <w:t xml:space="preserve">Following implementation within D Division on 12 June 2019, CRaSH was implemented across all other Divisions on 3 July 2019, replacing the existing RTC recording procedures. </w:t>
      </w:r>
      <w:r w:rsidRPr="00905701">
        <w:t xml:space="preserve"> </w:t>
      </w:r>
      <w:r w:rsidR="00905701" w:rsidRPr="00905701">
        <w:br/>
        <w:t xml:space="preserve">CRaSH data </w:t>
      </w:r>
      <w:r w:rsidRPr="00905701">
        <w:t xml:space="preserve">is subject to change and will be updated on the next extract on </w:t>
      </w:r>
      <w:r w:rsidR="00905701" w:rsidRPr="00905701">
        <w:t>03/07/25.</w:t>
      </w:r>
      <w:r w:rsidR="00905701" w:rsidRPr="00905701">
        <w:br/>
        <w:t>U</w:t>
      </w:r>
      <w:r w:rsidR="00905701" w:rsidRPr="00905701">
        <w:t xml:space="preserve">pdated information will be available at </w:t>
      </w:r>
      <w:hyperlink r:id="rId11" w:history="1">
        <w:r w:rsidR="00905701" w:rsidRPr="00905701">
          <w:rPr>
            <w:rStyle w:val="Hyperlink"/>
          </w:rPr>
          <w:t>Road traffic collision data - Police Scotland</w:t>
        </w:r>
      </w:hyperlink>
      <w:r w:rsidR="00905701" w:rsidRPr="00905701">
        <w:t>.</w:t>
      </w:r>
      <w:r w:rsidR="00905701" w:rsidRPr="00905701">
        <w:br/>
      </w:r>
      <w:r w:rsidRPr="00905701">
        <w:t>Specified areas have been selected using GIS Mapping (based on the Grid East and Grid North).  R</w:t>
      </w:r>
      <w:r w:rsidR="00905701" w:rsidRPr="00905701">
        <w:t xml:space="preserve">TCs </w:t>
      </w:r>
      <w:r w:rsidRPr="00905701">
        <w:t xml:space="preserve">located on the B9037 (between the A985 and the A907) have been selected.  </w:t>
      </w:r>
      <w:r w:rsidR="00905701" w:rsidRPr="00905701">
        <w:t>R</w:t>
      </w:r>
      <w:r w:rsidRPr="00905701">
        <w:t>ecords at the junction where the B9037 meets the A985 have been included.</w:t>
      </w:r>
    </w:p>
    <w:p w14:paraId="5558A8D9" w14:textId="77777777" w:rsidR="00D21D4D" w:rsidRDefault="00D21D4D" w:rsidP="008130E9">
      <w:pPr>
        <w:tabs>
          <w:tab w:val="left" w:pos="5400"/>
        </w:tabs>
      </w:pPr>
    </w:p>
    <w:p w14:paraId="360AD746" w14:textId="64DFCFA9" w:rsidR="00905701" w:rsidRDefault="005D285D" w:rsidP="00183E0F">
      <w:pPr>
        <w:tabs>
          <w:tab w:val="left" w:pos="5400"/>
        </w:tabs>
      </w:pPr>
      <w:r>
        <w:t>The table</w:t>
      </w:r>
      <w:r w:rsidR="008130E9">
        <w:t xml:space="preserve"> </w:t>
      </w:r>
      <w:r w:rsidR="00D21D4D">
        <w:t xml:space="preserve">below </w:t>
      </w:r>
      <w:r w:rsidR="00905701">
        <w:t>details</w:t>
      </w:r>
      <w:r w:rsidR="008130E9">
        <w:t xml:space="preserve"> recorded Road Traffic Incidents on </w:t>
      </w:r>
      <w:r w:rsidR="00905701">
        <w:t xml:space="preserve">the </w:t>
      </w:r>
      <w:r w:rsidR="008130E9">
        <w:t>B9037</w:t>
      </w:r>
      <w:r w:rsidR="00D21D4D">
        <w:t xml:space="preserve"> </w:t>
      </w:r>
      <w:r>
        <w:t>for</w:t>
      </w:r>
      <w:r w:rsidR="00905701">
        <w:t xml:space="preserve"> the period since 17 March 2015</w:t>
      </w:r>
      <w:r w:rsidR="008130E9">
        <w:t xml:space="preserve">. </w:t>
      </w:r>
      <w:r>
        <w:t xml:space="preserve"> </w:t>
      </w:r>
      <w:r w:rsidR="00905701">
        <w:t>For the period prior, the information is not held and section 17 of the Act therefore applies.  This is due to a legacy recording system being in place at the time.</w:t>
      </w:r>
    </w:p>
    <w:p w14:paraId="5F0A0125" w14:textId="632FC1B7" w:rsidR="00183E0F" w:rsidRDefault="008130E9" w:rsidP="00183E0F">
      <w:pPr>
        <w:tabs>
          <w:tab w:val="left" w:pos="5400"/>
        </w:tabs>
      </w:pPr>
      <w:r>
        <w:t xml:space="preserve">Table </w:t>
      </w:r>
      <w:r w:rsidR="00CE03ED">
        <w:t>4</w:t>
      </w:r>
      <w:r w:rsidR="00183E0F" w:rsidRPr="00183E0F">
        <w:t>: Recorded Road Traffic related Incidents on the B9037</w:t>
      </w:r>
      <w:r w:rsidR="005D285D">
        <w:t xml:space="preserve">, </w:t>
      </w:r>
      <w:r w:rsidR="00183E0F" w:rsidRPr="00183E0F">
        <w:t>Fife Division</w:t>
      </w:r>
      <w:r w:rsidR="005D285D">
        <w:t xml:space="preserve">, by </w:t>
      </w:r>
      <w:r w:rsidR="005D285D" w:rsidRPr="00183E0F">
        <w:t>Initial Incident Type</w:t>
      </w:r>
      <w:r w:rsidR="005D285D">
        <w:t xml:space="preserve"> - </w:t>
      </w:r>
      <w:r w:rsidR="00183E0F" w:rsidRPr="00183E0F">
        <w:t xml:space="preserve">17 March 2015 - 31 May 2025 </w:t>
      </w:r>
    </w:p>
    <w:tbl>
      <w:tblPr>
        <w:tblStyle w:val="TableGrid"/>
        <w:tblW w:w="0" w:type="auto"/>
        <w:tblLook w:val="04A0" w:firstRow="1" w:lastRow="0" w:firstColumn="1" w:lastColumn="0" w:noHBand="0" w:noVBand="1"/>
        <w:tblCaption w:val="Example table"/>
        <w:tblDescription w:val="Example table"/>
      </w:tblPr>
      <w:tblGrid>
        <w:gridCol w:w="2497"/>
        <w:gridCol w:w="750"/>
        <w:gridCol w:w="750"/>
        <w:gridCol w:w="750"/>
        <w:gridCol w:w="750"/>
        <w:gridCol w:w="750"/>
        <w:gridCol w:w="750"/>
        <w:gridCol w:w="750"/>
        <w:gridCol w:w="750"/>
        <w:gridCol w:w="750"/>
      </w:tblGrid>
      <w:tr w:rsidR="00183E0F" w:rsidRPr="00557306" w14:paraId="089AC4BC" w14:textId="4CA9F1F9" w:rsidTr="003A41B2">
        <w:trPr>
          <w:tblHeader/>
        </w:trPr>
        <w:tc>
          <w:tcPr>
            <w:tcW w:w="0" w:type="auto"/>
            <w:shd w:val="clear" w:color="auto" w:fill="D9D9D9" w:themeFill="background1" w:themeFillShade="D9"/>
          </w:tcPr>
          <w:p w14:paraId="1DDABF10" w14:textId="221E05EA" w:rsidR="00183E0F" w:rsidRPr="00557306" w:rsidRDefault="00183E0F" w:rsidP="00822963">
            <w:pPr>
              <w:spacing w:line="240" w:lineRule="auto"/>
              <w:rPr>
                <w:b/>
              </w:rPr>
            </w:pPr>
            <w:r>
              <w:rPr>
                <w:b/>
              </w:rPr>
              <w:t>Initial Incident Type</w:t>
            </w:r>
          </w:p>
        </w:tc>
        <w:tc>
          <w:tcPr>
            <w:tcW w:w="0" w:type="auto"/>
            <w:shd w:val="clear" w:color="auto" w:fill="D9D9D9" w:themeFill="background1" w:themeFillShade="D9"/>
          </w:tcPr>
          <w:p w14:paraId="6BE09264" w14:textId="178040D8" w:rsidR="00183E0F" w:rsidRPr="00557306" w:rsidRDefault="00183E0F" w:rsidP="00822963">
            <w:pPr>
              <w:spacing w:line="240" w:lineRule="auto"/>
              <w:jc w:val="center"/>
              <w:rPr>
                <w:b/>
              </w:rPr>
            </w:pPr>
            <w:r>
              <w:rPr>
                <w:b/>
              </w:rPr>
              <w:t>2016</w:t>
            </w:r>
          </w:p>
        </w:tc>
        <w:tc>
          <w:tcPr>
            <w:tcW w:w="0" w:type="auto"/>
            <w:shd w:val="clear" w:color="auto" w:fill="D9D9D9" w:themeFill="background1" w:themeFillShade="D9"/>
          </w:tcPr>
          <w:p w14:paraId="215CEE68" w14:textId="727BB6AB" w:rsidR="00183E0F" w:rsidRPr="00557306" w:rsidRDefault="00183E0F" w:rsidP="00822963">
            <w:pPr>
              <w:spacing w:line="240" w:lineRule="auto"/>
              <w:jc w:val="center"/>
              <w:rPr>
                <w:b/>
              </w:rPr>
            </w:pPr>
            <w:r>
              <w:rPr>
                <w:b/>
              </w:rPr>
              <w:t>2017</w:t>
            </w:r>
          </w:p>
        </w:tc>
        <w:tc>
          <w:tcPr>
            <w:tcW w:w="0" w:type="auto"/>
            <w:shd w:val="clear" w:color="auto" w:fill="D9D9D9" w:themeFill="background1" w:themeFillShade="D9"/>
          </w:tcPr>
          <w:p w14:paraId="0532CACD" w14:textId="48AF75FF" w:rsidR="00183E0F" w:rsidRPr="00557306" w:rsidRDefault="00183E0F" w:rsidP="00822963">
            <w:pPr>
              <w:spacing w:line="240" w:lineRule="auto"/>
              <w:jc w:val="center"/>
              <w:rPr>
                <w:b/>
              </w:rPr>
            </w:pPr>
            <w:r>
              <w:rPr>
                <w:b/>
              </w:rPr>
              <w:t>2018</w:t>
            </w:r>
          </w:p>
        </w:tc>
        <w:tc>
          <w:tcPr>
            <w:tcW w:w="0" w:type="auto"/>
            <w:shd w:val="clear" w:color="auto" w:fill="D9D9D9" w:themeFill="background1" w:themeFillShade="D9"/>
          </w:tcPr>
          <w:p w14:paraId="67D08FB4" w14:textId="1BFED146" w:rsidR="00183E0F" w:rsidRDefault="00183E0F" w:rsidP="00822963">
            <w:pPr>
              <w:spacing w:line="240" w:lineRule="auto"/>
              <w:jc w:val="center"/>
              <w:rPr>
                <w:b/>
              </w:rPr>
            </w:pPr>
            <w:r>
              <w:rPr>
                <w:b/>
              </w:rPr>
              <w:t>2019</w:t>
            </w:r>
          </w:p>
        </w:tc>
        <w:tc>
          <w:tcPr>
            <w:tcW w:w="0" w:type="auto"/>
            <w:shd w:val="clear" w:color="auto" w:fill="D9D9D9" w:themeFill="background1" w:themeFillShade="D9"/>
          </w:tcPr>
          <w:p w14:paraId="6F129F53" w14:textId="1E06273D" w:rsidR="00183E0F" w:rsidRDefault="00183E0F" w:rsidP="00822963">
            <w:pPr>
              <w:spacing w:line="240" w:lineRule="auto"/>
              <w:jc w:val="center"/>
              <w:rPr>
                <w:b/>
              </w:rPr>
            </w:pPr>
            <w:r>
              <w:rPr>
                <w:b/>
              </w:rPr>
              <w:t>2021</w:t>
            </w:r>
          </w:p>
        </w:tc>
        <w:tc>
          <w:tcPr>
            <w:tcW w:w="0" w:type="auto"/>
            <w:shd w:val="clear" w:color="auto" w:fill="D9D9D9" w:themeFill="background1" w:themeFillShade="D9"/>
          </w:tcPr>
          <w:p w14:paraId="124C204E" w14:textId="50ECD284" w:rsidR="00183E0F" w:rsidRDefault="00183E0F" w:rsidP="00822963">
            <w:pPr>
              <w:spacing w:line="240" w:lineRule="auto"/>
              <w:jc w:val="center"/>
              <w:rPr>
                <w:b/>
              </w:rPr>
            </w:pPr>
            <w:r>
              <w:rPr>
                <w:b/>
              </w:rPr>
              <w:t>2022</w:t>
            </w:r>
          </w:p>
        </w:tc>
        <w:tc>
          <w:tcPr>
            <w:tcW w:w="0" w:type="auto"/>
            <w:shd w:val="clear" w:color="auto" w:fill="D9D9D9" w:themeFill="background1" w:themeFillShade="D9"/>
          </w:tcPr>
          <w:p w14:paraId="1F830766" w14:textId="1E2CC2D8" w:rsidR="00183E0F" w:rsidRDefault="00183E0F" w:rsidP="00822963">
            <w:pPr>
              <w:spacing w:line="240" w:lineRule="auto"/>
              <w:jc w:val="center"/>
              <w:rPr>
                <w:b/>
              </w:rPr>
            </w:pPr>
            <w:r>
              <w:rPr>
                <w:b/>
              </w:rPr>
              <w:t>2023</w:t>
            </w:r>
          </w:p>
        </w:tc>
        <w:tc>
          <w:tcPr>
            <w:tcW w:w="0" w:type="auto"/>
            <w:shd w:val="clear" w:color="auto" w:fill="D9D9D9" w:themeFill="background1" w:themeFillShade="D9"/>
          </w:tcPr>
          <w:p w14:paraId="74C70C9C" w14:textId="184AB65F" w:rsidR="00183E0F" w:rsidRDefault="00183E0F" w:rsidP="00822963">
            <w:pPr>
              <w:spacing w:line="240" w:lineRule="auto"/>
              <w:jc w:val="center"/>
              <w:rPr>
                <w:b/>
              </w:rPr>
            </w:pPr>
            <w:r>
              <w:rPr>
                <w:b/>
              </w:rPr>
              <w:t>2024</w:t>
            </w:r>
          </w:p>
        </w:tc>
        <w:tc>
          <w:tcPr>
            <w:tcW w:w="750" w:type="dxa"/>
            <w:shd w:val="clear" w:color="auto" w:fill="D9D9D9" w:themeFill="background1" w:themeFillShade="D9"/>
          </w:tcPr>
          <w:p w14:paraId="2EB4AA7C" w14:textId="6093F0B3" w:rsidR="00183E0F" w:rsidRDefault="00183E0F" w:rsidP="00822963">
            <w:pPr>
              <w:spacing w:line="240" w:lineRule="auto"/>
              <w:jc w:val="center"/>
              <w:rPr>
                <w:b/>
              </w:rPr>
            </w:pPr>
            <w:r>
              <w:rPr>
                <w:b/>
              </w:rPr>
              <w:t>2025</w:t>
            </w:r>
          </w:p>
        </w:tc>
      </w:tr>
      <w:tr w:rsidR="00183E0F" w14:paraId="68F2ED7A" w14:textId="63FD2665" w:rsidTr="003A41B2">
        <w:tc>
          <w:tcPr>
            <w:tcW w:w="0" w:type="auto"/>
          </w:tcPr>
          <w:p w14:paraId="347A24DB" w14:textId="1CCD0D6F" w:rsidR="00183E0F" w:rsidRDefault="00183E0F" w:rsidP="00822963">
            <w:pPr>
              <w:tabs>
                <w:tab w:val="left" w:pos="5400"/>
              </w:tabs>
              <w:spacing w:line="240" w:lineRule="auto"/>
            </w:pPr>
            <w:r>
              <w:t>Road Traffic Collision</w:t>
            </w:r>
          </w:p>
        </w:tc>
        <w:tc>
          <w:tcPr>
            <w:tcW w:w="0" w:type="auto"/>
          </w:tcPr>
          <w:p w14:paraId="4CE4C71D" w14:textId="5D3FE605" w:rsidR="00183E0F" w:rsidRDefault="00EF65B0" w:rsidP="00822963">
            <w:pPr>
              <w:tabs>
                <w:tab w:val="left" w:pos="5400"/>
              </w:tabs>
              <w:spacing w:line="240" w:lineRule="auto"/>
              <w:jc w:val="right"/>
            </w:pPr>
            <w:r>
              <w:t>0</w:t>
            </w:r>
          </w:p>
        </w:tc>
        <w:tc>
          <w:tcPr>
            <w:tcW w:w="0" w:type="auto"/>
          </w:tcPr>
          <w:p w14:paraId="7FB79067" w14:textId="465C13B8" w:rsidR="00183E0F" w:rsidRDefault="00EF65B0" w:rsidP="00822963">
            <w:pPr>
              <w:tabs>
                <w:tab w:val="left" w:pos="5400"/>
              </w:tabs>
              <w:spacing w:line="240" w:lineRule="auto"/>
              <w:jc w:val="right"/>
            </w:pPr>
            <w:r>
              <w:t>3</w:t>
            </w:r>
          </w:p>
        </w:tc>
        <w:tc>
          <w:tcPr>
            <w:tcW w:w="0" w:type="auto"/>
          </w:tcPr>
          <w:p w14:paraId="402BBCB3" w14:textId="556D4EE3" w:rsidR="00183E0F" w:rsidRDefault="00EF65B0" w:rsidP="00822963">
            <w:pPr>
              <w:tabs>
                <w:tab w:val="left" w:pos="5400"/>
              </w:tabs>
              <w:spacing w:line="240" w:lineRule="auto"/>
              <w:jc w:val="right"/>
            </w:pPr>
            <w:r>
              <w:t>2</w:t>
            </w:r>
          </w:p>
        </w:tc>
        <w:tc>
          <w:tcPr>
            <w:tcW w:w="0" w:type="auto"/>
          </w:tcPr>
          <w:p w14:paraId="14571BE1" w14:textId="6869FB46" w:rsidR="00183E0F" w:rsidRDefault="00EF65B0" w:rsidP="00822963">
            <w:pPr>
              <w:tabs>
                <w:tab w:val="left" w:pos="5400"/>
              </w:tabs>
              <w:spacing w:line="240" w:lineRule="auto"/>
              <w:jc w:val="right"/>
            </w:pPr>
            <w:r>
              <w:t>1</w:t>
            </w:r>
          </w:p>
        </w:tc>
        <w:tc>
          <w:tcPr>
            <w:tcW w:w="0" w:type="auto"/>
          </w:tcPr>
          <w:p w14:paraId="4F05A6DF" w14:textId="686B31F3" w:rsidR="00183E0F" w:rsidRDefault="00EF65B0" w:rsidP="00822963">
            <w:pPr>
              <w:tabs>
                <w:tab w:val="left" w:pos="5400"/>
              </w:tabs>
              <w:spacing w:line="240" w:lineRule="auto"/>
              <w:jc w:val="right"/>
            </w:pPr>
            <w:r>
              <w:t>1</w:t>
            </w:r>
          </w:p>
        </w:tc>
        <w:tc>
          <w:tcPr>
            <w:tcW w:w="0" w:type="auto"/>
          </w:tcPr>
          <w:p w14:paraId="05D3EC13" w14:textId="00395A74" w:rsidR="00183E0F" w:rsidRDefault="00EF65B0" w:rsidP="00822963">
            <w:pPr>
              <w:tabs>
                <w:tab w:val="left" w:pos="5400"/>
              </w:tabs>
              <w:spacing w:line="240" w:lineRule="auto"/>
              <w:jc w:val="right"/>
            </w:pPr>
            <w:r>
              <w:t>4</w:t>
            </w:r>
          </w:p>
        </w:tc>
        <w:tc>
          <w:tcPr>
            <w:tcW w:w="0" w:type="auto"/>
          </w:tcPr>
          <w:p w14:paraId="4EBF3E14" w14:textId="18087A4C" w:rsidR="00183E0F" w:rsidRDefault="00EF65B0" w:rsidP="00822963">
            <w:pPr>
              <w:tabs>
                <w:tab w:val="left" w:pos="5400"/>
              </w:tabs>
              <w:spacing w:line="240" w:lineRule="auto"/>
              <w:jc w:val="right"/>
            </w:pPr>
            <w:r>
              <w:t>3</w:t>
            </w:r>
          </w:p>
        </w:tc>
        <w:tc>
          <w:tcPr>
            <w:tcW w:w="0" w:type="auto"/>
          </w:tcPr>
          <w:p w14:paraId="7373CA05" w14:textId="2E6FB198" w:rsidR="00183E0F" w:rsidRDefault="00EF65B0" w:rsidP="00822963">
            <w:pPr>
              <w:tabs>
                <w:tab w:val="left" w:pos="5400"/>
              </w:tabs>
              <w:spacing w:line="240" w:lineRule="auto"/>
              <w:jc w:val="right"/>
            </w:pPr>
            <w:r>
              <w:t>0</w:t>
            </w:r>
          </w:p>
        </w:tc>
        <w:tc>
          <w:tcPr>
            <w:tcW w:w="750" w:type="dxa"/>
          </w:tcPr>
          <w:p w14:paraId="01B6D83F" w14:textId="3A2BD3CC" w:rsidR="00183E0F" w:rsidRDefault="00EF65B0" w:rsidP="00822963">
            <w:pPr>
              <w:tabs>
                <w:tab w:val="left" w:pos="5400"/>
              </w:tabs>
              <w:spacing w:line="240" w:lineRule="auto"/>
              <w:jc w:val="right"/>
            </w:pPr>
            <w:r>
              <w:t>1</w:t>
            </w:r>
          </w:p>
        </w:tc>
      </w:tr>
      <w:tr w:rsidR="00183E0F" w14:paraId="7D3BA8BF" w14:textId="5E929D69" w:rsidTr="003A41B2">
        <w:tc>
          <w:tcPr>
            <w:tcW w:w="0" w:type="auto"/>
          </w:tcPr>
          <w:p w14:paraId="4A8D41FA" w14:textId="1178D927" w:rsidR="00183E0F" w:rsidRDefault="00183E0F" w:rsidP="00822963">
            <w:pPr>
              <w:tabs>
                <w:tab w:val="left" w:pos="5400"/>
              </w:tabs>
              <w:spacing w:line="240" w:lineRule="auto"/>
            </w:pPr>
            <w:r>
              <w:t>Road Traffic Matter</w:t>
            </w:r>
          </w:p>
        </w:tc>
        <w:tc>
          <w:tcPr>
            <w:tcW w:w="0" w:type="auto"/>
          </w:tcPr>
          <w:p w14:paraId="2828F9CD" w14:textId="57E9FB57" w:rsidR="00183E0F" w:rsidRDefault="00EF65B0" w:rsidP="00822963">
            <w:pPr>
              <w:tabs>
                <w:tab w:val="left" w:pos="5400"/>
              </w:tabs>
              <w:spacing w:line="240" w:lineRule="auto"/>
              <w:jc w:val="right"/>
            </w:pPr>
            <w:r>
              <w:t>2</w:t>
            </w:r>
          </w:p>
        </w:tc>
        <w:tc>
          <w:tcPr>
            <w:tcW w:w="0" w:type="auto"/>
          </w:tcPr>
          <w:p w14:paraId="4703E91E" w14:textId="77683FC7" w:rsidR="00183E0F" w:rsidRDefault="00EF65B0" w:rsidP="00822963">
            <w:pPr>
              <w:tabs>
                <w:tab w:val="left" w:pos="5400"/>
              </w:tabs>
              <w:spacing w:line="240" w:lineRule="auto"/>
              <w:jc w:val="right"/>
            </w:pPr>
            <w:r>
              <w:t>0</w:t>
            </w:r>
          </w:p>
        </w:tc>
        <w:tc>
          <w:tcPr>
            <w:tcW w:w="0" w:type="auto"/>
          </w:tcPr>
          <w:p w14:paraId="7C12EDD9" w14:textId="5D783A85" w:rsidR="00183E0F" w:rsidRDefault="00EF65B0" w:rsidP="00822963">
            <w:pPr>
              <w:tabs>
                <w:tab w:val="left" w:pos="5400"/>
              </w:tabs>
              <w:spacing w:line="240" w:lineRule="auto"/>
              <w:jc w:val="right"/>
            </w:pPr>
            <w:r>
              <w:t>2</w:t>
            </w:r>
          </w:p>
        </w:tc>
        <w:tc>
          <w:tcPr>
            <w:tcW w:w="0" w:type="auto"/>
          </w:tcPr>
          <w:p w14:paraId="49F0AF9F" w14:textId="44D9890B" w:rsidR="00183E0F" w:rsidRDefault="00EF65B0" w:rsidP="00822963">
            <w:pPr>
              <w:tabs>
                <w:tab w:val="left" w:pos="5400"/>
              </w:tabs>
              <w:spacing w:line="240" w:lineRule="auto"/>
              <w:jc w:val="right"/>
            </w:pPr>
            <w:r>
              <w:t>2</w:t>
            </w:r>
          </w:p>
        </w:tc>
        <w:tc>
          <w:tcPr>
            <w:tcW w:w="0" w:type="auto"/>
          </w:tcPr>
          <w:p w14:paraId="6CD786EC" w14:textId="73683800" w:rsidR="00183E0F" w:rsidRDefault="00EF65B0" w:rsidP="00822963">
            <w:pPr>
              <w:tabs>
                <w:tab w:val="left" w:pos="5400"/>
              </w:tabs>
              <w:spacing w:line="240" w:lineRule="auto"/>
              <w:jc w:val="right"/>
            </w:pPr>
            <w:r>
              <w:t>0</w:t>
            </w:r>
          </w:p>
        </w:tc>
        <w:tc>
          <w:tcPr>
            <w:tcW w:w="0" w:type="auto"/>
          </w:tcPr>
          <w:p w14:paraId="5A604BF6" w14:textId="334FD0C2" w:rsidR="00183E0F" w:rsidRDefault="00EF65B0" w:rsidP="00822963">
            <w:pPr>
              <w:tabs>
                <w:tab w:val="left" w:pos="5400"/>
              </w:tabs>
              <w:spacing w:line="240" w:lineRule="auto"/>
              <w:jc w:val="right"/>
            </w:pPr>
            <w:r>
              <w:t>1</w:t>
            </w:r>
          </w:p>
        </w:tc>
        <w:tc>
          <w:tcPr>
            <w:tcW w:w="0" w:type="auto"/>
          </w:tcPr>
          <w:p w14:paraId="10E52CB9" w14:textId="184872FA" w:rsidR="00183E0F" w:rsidRDefault="00EF65B0" w:rsidP="00822963">
            <w:pPr>
              <w:tabs>
                <w:tab w:val="left" w:pos="5400"/>
              </w:tabs>
              <w:spacing w:line="240" w:lineRule="auto"/>
              <w:jc w:val="right"/>
            </w:pPr>
            <w:r>
              <w:t>1</w:t>
            </w:r>
          </w:p>
        </w:tc>
        <w:tc>
          <w:tcPr>
            <w:tcW w:w="0" w:type="auto"/>
          </w:tcPr>
          <w:p w14:paraId="4ECC2BD7" w14:textId="0DFCE6B8" w:rsidR="00183E0F" w:rsidRDefault="00EF65B0" w:rsidP="00822963">
            <w:pPr>
              <w:tabs>
                <w:tab w:val="left" w:pos="5400"/>
              </w:tabs>
              <w:spacing w:line="240" w:lineRule="auto"/>
              <w:jc w:val="right"/>
            </w:pPr>
            <w:r>
              <w:t>2</w:t>
            </w:r>
          </w:p>
        </w:tc>
        <w:tc>
          <w:tcPr>
            <w:tcW w:w="750" w:type="dxa"/>
          </w:tcPr>
          <w:p w14:paraId="39ADABA6" w14:textId="3E69005E" w:rsidR="00183E0F" w:rsidRDefault="00EF65B0" w:rsidP="00822963">
            <w:pPr>
              <w:tabs>
                <w:tab w:val="left" w:pos="5400"/>
              </w:tabs>
              <w:spacing w:line="240" w:lineRule="auto"/>
              <w:jc w:val="right"/>
            </w:pPr>
            <w:r>
              <w:t>0</w:t>
            </w:r>
          </w:p>
        </w:tc>
      </w:tr>
      <w:tr w:rsidR="00183E0F" w:rsidRPr="005D285D" w14:paraId="38ADA7CA" w14:textId="569EDC5D" w:rsidTr="005D285D">
        <w:tc>
          <w:tcPr>
            <w:tcW w:w="0" w:type="auto"/>
            <w:shd w:val="clear" w:color="auto" w:fill="auto"/>
          </w:tcPr>
          <w:p w14:paraId="74C59E98" w14:textId="77777777" w:rsidR="00183E0F" w:rsidRPr="005D285D" w:rsidRDefault="00183E0F" w:rsidP="005D285D">
            <w:pPr>
              <w:tabs>
                <w:tab w:val="left" w:pos="5400"/>
              </w:tabs>
              <w:spacing w:line="240" w:lineRule="auto"/>
            </w:pPr>
            <w:r w:rsidRPr="005D285D">
              <w:t>Total</w:t>
            </w:r>
          </w:p>
        </w:tc>
        <w:tc>
          <w:tcPr>
            <w:tcW w:w="0" w:type="auto"/>
            <w:shd w:val="clear" w:color="auto" w:fill="auto"/>
          </w:tcPr>
          <w:p w14:paraId="5C622D1F" w14:textId="7563C00F" w:rsidR="00183E0F" w:rsidRPr="005D285D" w:rsidRDefault="00EF65B0" w:rsidP="00822963">
            <w:pPr>
              <w:tabs>
                <w:tab w:val="left" w:pos="5400"/>
              </w:tabs>
              <w:spacing w:line="240" w:lineRule="auto"/>
              <w:jc w:val="right"/>
            </w:pPr>
            <w:r w:rsidRPr="005D285D">
              <w:t>2</w:t>
            </w:r>
          </w:p>
        </w:tc>
        <w:tc>
          <w:tcPr>
            <w:tcW w:w="0" w:type="auto"/>
            <w:shd w:val="clear" w:color="auto" w:fill="auto"/>
          </w:tcPr>
          <w:p w14:paraId="3D69DA80" w14:textId="0ECBE894" w:rsidR="00183E0F" w:rsidRPr="005D285D" w:rsidRDefault="00EF65B0" w:rsidP="00822963">
            <w:pPr>
              <w:tabs>
                <w:tab w:val="left" w:pos="5400"/>
              </w:tabs>
              <w:spacing w:line="240" w:lineRule="auto"/>
              <w:jc w:val="right"/>
            </w:pPr>
            <w:r w:rsidRPr="005D285D">
              <w:t>3</w:t>
            </w:r>
          </w:p>
        </w:tc>
        <w:tc>
          <w:tcPr>
            <w:tcW w:w="0" w:type="auto"/>
            <w:shd w:val="clear" w:color="auto" w:fill="auto"/>
          </w:tcPr>
          <w:p w14:paraId="20F02AFB" w14:textId="3FA6233F" w:rsidR="00183E0F" w:rsidRPr="005D285D" w:rsidRDefault="00EF65B0" w:rsidP="00822963">
            <w:pPr>
              <w:tabs>
                <w:tab w:val="left" w:pos="5400"/>
              </w:tabs>
              <w:spacing w:line="240" w:lineRule="auto"/>
              <w:jc w:val="right"/>
            </w:pPr>
            <w:r w:rsidRPr="005D285D">
              <w:t>4</w:t>
            </w:r>
          </w:p>
        </w:tc>
        <w:tc>
          <w:tcPr>
            <w:tcW w:w="0" w:type="auto"/>
            <w:shd w:val="clear" w:color="auto" w:fill="auto"/>
          </w:tcPr>
          <w:p w14:paraId="36FB4085" w14:textId="63A30B8A" w:rsidR="00183E0F" w:rsidRPr="005D285D" w:rsidRDefault="00EF65B0" w:rsidP="00822963">
            <w:pPr>
              <w:tabs>
                <w:tab w:val="left" w:pos="5400"/>
              </w:tabs>
              <w:spacing w:line="240" w:lineRule="auto"/>
              <w:jc w:val="right"/>
            </w:pPr>
            <w:r w:rsidRPr="005D285D">
              <w:t>3</w:t>
            </w:r>
          </w:p>
        </w:tc>
        <w:tc>
          <w:tcPr>
            <w:tcW w:w="0" w:type="auto"/>
            <w:shd w:val="clear" w:color="auto" w:fill="auto"/>
          </w:tcPr>
          <w:p w14:paraId="3394CBF1" w14:textId="00FE9D4E" w:rsidR="00183E0F" w:rsidRPr="005D285D" w:rsidRDefault="00EF65B0" w:rsidP="00822963">
            <w:pPr>
              <w:tabs>
                <w:tab w:val="left" w:pos="5400"/>
              </w:tabs>
              <w:spacing w:line="240" w:lineRule="auto"/>
              <w:jc w:val="right"/>
            </w:pPr>
            <w:r w:rsidRPr="005D285D">
              <w:t>1</w:t>
            </w:r>
          </w:p>
        </w:tc>
        <w:tc>
          <w:tcPr>
            <w:tcW w:w="0" w:type="auto"/>
            <w:shd w:val="clear" w:color="auto" w:fill="auto"/>
          </w:tcPr>
          <w:p w14:paraId="62337F4D" w14:textId="42E56997" w:rsidR="00183E0F" w:rsidRPr="005D285D" w:rsidRDefault="00EF65B0" w:rsidP="00822963">
            <w:pPr>
              <w:tabs>
                <w:tab w:val="left" w:pos="5400"/>
              </w:tabs>
              <w:spacing w:line="240" w:lineRule="auto"/>
              <w:jc w:val="right"/>
            </w:pPr>
            <w:r w:rsidRPr="005D285D">
              <w:t>5</w:t>
            </w:r>
          </w:p>
        </w:tc>
        <w:tc>
          <w:tcPr>
            <w:tcW w:w="0" w:type="auto"/>
            <w:shd w:val="clear" w:color="auto" w:fill="auto"/>
          </w:tcPr>
          <w:p w14:paraId="44B9972F" w14:textId="76109ECB" w:rsidR="00183E0F" w:rsidRPr="005D285D" w:rsidRDefault="00EF65B0" w:rsidP="00822963">
            <w:pPr>
              <w:tabs>
                <w:tab w:val="left" w:pos="5400"/>
              </w:tabs>
              <w:spacing w:line="240" w:lineRule="auto"/>
              <w:jc w:val="right"/>
            </w:pPr>
            <w:r w:rsidRPr="005D285D">
              <w:t>4</w:t>
            </w:r>
          </w:p>
        </w:tc>
        <w:tc>
          <w:tcPr>
            <w:tcW w:w="0" w:type="auto"/>
            <w:shd w:val="clear" w:color="auto" w:fill="auto"/>
          </w:tcPr>
          <w:p w14:paraId="5AB59EFD" w14:textId="76A8CE59" w:rsidR="00183E0F" w:rsidRPr="005D285D" w:rsidRDefault="00EF65B0" w:rsidP="00822963">
            <w:pPr>
              <w:tabs>
                <w:tab w:val="left" w:pos="5400"/>
              </w:tabs>
              <w:spacing w:line="240" w:lineRule="auto"/>
              <w:jc w:val="right"/>
            </w:pPr>
            <w:r w:rsidRPr="005D285D">
              <w:t>2</w:t>
            </w:r>
          </w:p>
        </w:tc>
        <w:tc>
          <w:tcPr>
            <w:tcW w:w="750" w:type="dxa"/>
            <w:shd w:val="clear" w:color="auto" w:fill="auto"/>
          </w:tcPr>
          <w:p w14:paraId="2778CC8E" w14:textId="45012F3B" w:rsidR="00183E0F" w:rsidRPr="005D285D" w:rsidRDefault="00EF65B0" w:rsidP="00822963">
            <w:pPr>
              <w:tabs>
                <w:tab w:val="left" w:pos="5400"/>
              </w:tabs>
              <w:spacing w:line="240" w:lineRule="auto"/>
              <w:jc w:val="right"/>
            </w:pPr>
            <w:r w:rsidRPr="005D285D">
              <w:t>1</w:t>
            </w:r>
          </w:p>
        </w:tc>
      </w:tr>
    </w:tbl>
    <w:p w14:paraId="58487CE6" w14:textId="77777777" w:rsidR="005D285D" w:rsidRDefault="005D285D" w:rsidP="003A41B2">
      <w:pPr>
        <w:tabs>
          <w:tab w:val="left" w:pos="5400"/>
        </w:tabs>
      </w:pPr>
    </w:p>
    <w:p w14:paraId="1C511DCB" w14:textId="0A6ED0AF" w:rsidR="003A41B2" w:rsidRPr="005D285D" w:rsidRDefault="003A41B2" w:rsidP="003A41B2">
      <w:pPr>
        <w:tabs>
          <w:tab w:val="left" w:pos="5400"/>
        </w:tabs>
      </w:pPr>
      <w:r w:rsidRPr="005D285D">
        <w:t xml:space="preserve">All statistics are provisional and should be treated as management information. </w:t>
      </w:r>
      <w:r w:rsidR="005D285D" w:rsidRPr="005D285D">
        <w:br/>
        <w:t xml:space="preserve">Data was </w:t>
      </w:r>
      <w:r w:rsidRPr="005D285D">
        <w:t>extracted from Police Scotland systems and are correct as at 18/06/2025</w:t>
      </w:r>
      <w:r w:rsidR="005D285D" w:rsidRPr="005D285D">
        <w:t>.</w:t>
      </w:r>
      <w:r w:rsidR="005D285D" w:rsidRPr="005D285D">
        <w:br/>
        <w:t>D</w:t>
      </w:r>
      <w:r w:rsidRPr="005D285D">
        <w:t>ata was extracted using the incident's raised date and Initial Incident Types Road Traffic Collision and Road Traffic Matter.</w:t>
      </w:r>
      <w:r w:rsidR="005D285D" w:rsidRPr="005D285D">
        <w:br/>
      </w:r>
      <w:r w:rsidRPr="005D285D">
        <w:t xml:space="preserve">Specified areas have been selected using GIS Mapping (based on the Grid East and Grid </w:t>
      </w:r>
      <w:r w:rsidRPr="005D285D">
        <w:lastRenderedPageBreak/>
        <w:t>North).  Road Traffic Collisions located on the B9037 (between the A985 and the A907) have been selected.  Please note, records at the junction where the B9037 meets the A985 have been included</w:t>
      </w:r>
      <w:r w:rsidR="005D285D" w:rsidRPr="005D285D">
        <w:t>.</w:t>
      </w:r>
      <w:r w:rsidR="005D285D" w:rsidRPr="005D285D">
        <w:br/>
      </w:r>
      <w:r w:rsidRPr="005D285D">
        <w:t>Error and transferred incidents have been removed.</w:t>
      </w:r>
      <w:r w:rsidRPr="005D285D">
        <w:tab/>
      </w:r>
      <w:r w:rsidRPr="005D285D">
        <w:tab/>
      </w:r>
      <w:r w:rsidRPr="005D285D">
        <w:tab/>
      </w:r>
      <w:r w:rsidRPr="005D285D">
        <w:tab/>
      </w:r>
      <w:r w:rsidRPr="005D285D">
        <w:tab/>
      </w:r>
    </w:p>
    <w:p w14:paraId="1D3841BA" w14:textId="77777777" w:rsidR="005F4DAA" w:rsidRDefault="005F4DAA" w:rsidP="005F4DAA">
      <w:pPr>
        <w:tabs>
          <w:tab w:val="left" w:pos="5400"/>
        </w:tabs>
      </w:pPr>
    </w:p>
    <w:p w14:paraId="34BDABBE" w14:textId="15BA0AAD" w:rsidR="00496A08" w:rsidRPr="00BF6B81" w:rsidRDefault="00496A08" w:rsidP="005F4DAA">
      <w:pPr>
        <w:tabs>
          <w:tab w:val="left" w:pos="5400"/>
        </w:tabs>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B3E10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6E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73105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6E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05D63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6E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A5AAA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6E2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461C3B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6E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91008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6E2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169A4"/>
    <w:rsid w:val="00141533"/>
    <w:rsid w:val="00151DD0"/>
    <w:rsid w:val="00167528"/>
    <w:rsid w:val="00183E0F"/>
    <w:rsid w:val="00195CC4"/>
    <w:rsid w:val="00207326"/>
    <w:rsid w:val="00246E26"/>
    <w:rsid w:val="00253DF6"/>
    <w:rsid w:val="00255F1E"/>
    <w:rsid w:val="002F5274"/>
    <w:rsid w:val="0036503B"/>
    <w:rsid w:val="00376A4A"/>
    <w:rsid w:val="003A41B2"/>
    <w:rsid w:val="003D6D03"/>
    <w:rsid w:val="003E12CA"/>
    <w:rsid w:val="004010DC"/>
    <w:rsid w:val="00411A52"/>
    <w:rsid w:val="004341F0"/>
    <w:rsid w:val="00456324"/>
    <w:rsid w:val="00475460"/>
    <w:rsid w:val="00490317"/>
    <w:rsid w:val="00491644"/>
    <w:rsid w:val="00496A08"/>
    <w:rsid w:val="004E1605"/>
    <w:rsid w:val="004F653C"/>
    <w:rsid w:val="00540A52"/>
    <w:rsid w:val="005506B0"/>
    <w:rsid w:val="00557306"/>
    <w:rsid w:val="0059519E"/>
    <w:rsid w:val="005D285D"/>
    <w:rsid w:val="005F4DAA"/>
    <w:rsid w:val="00645CFA"/>
    <w:rsid w:val="00685219"/>
    <w:rsid w:val="006D5799"/>
    <w:rsid w:val="007016B1"/>
    <w:rsid w:val="007440EA"/>
    <w:rsid w:val="00750D83"/>
    <w:rsid w:val="00785DBC"/>
    <w:rsid w:val="00793DD5"/>
    <w:rsid w:val="007D55F6"/>
    <w:rsid w:val="007F490F"/>
    <w:rsid w:val="008130E9"/>
    <w:rsid w:val="00814B93"/>
    <w:rsid w:val="00854A15"/>
    <w:rsid w:val="0086779C"/>
    <w:rsid w:val="00874BFD"/>
    <w:rsid w:val="008964EF"/>
    <w:rsid w:val="00905701"/>
    <w:rsid w:val="00915E01"/>
    <w:rsid w:val="009631A4"/>
    <w:rsid w:val="00977296"/>
    <w:rsid w:val="00A04A7E"/>
    <w:rsid w:val="00A25E93"/>
    <w:rsid w:val="00A320FF"/>
    <w:rsid w:val="00A70AC0"/>
    <w:rsid w:val="00A84EA9"/>
    <w:rsid w:val="00AA29A3"/>
    <w:rsid w:val="00AC443C"/>
    <w:rsid w:val="00AC6465"/>
    <w:rsid w:val="00B033D6"/>
    <w:rsid w:val="00B11A55"/>
    <w:rsid w:val="00B17211"/>
    <w:rsid w:val="00B3796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E03ED"/>
    <w:rsid w:val="00CF1111"/>
    <w:rsid w:val="00D05706"/>
    <w:rsid w:val="00D21D4D"/>
    <w:rsid w:val="00D27DC5"/>
    <w:rsid w:val="00D47E36"/>
    <w:rsid w:val="00DA1167"/>
    <w:rsid w:val="00DF3689"/>
    <w:rsid w:val="00E25AB4"/>
    <w:rsid w:val="00E366D4"/>
    <w:rsid w:val="00E55D79"/>
    <w:rsid w:val="00EE2373"/>
    <w:rsid w:val="00EF0FBB"/>
    <w:rsid w:val="00EF4761"/>
    <w:rsid w:val="00EF65B0"/>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5F4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4221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727</Words>
  <Characters>4147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