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2974AA" w:rsidR="00B17211" w:rsidRPr="00B17211" w:rsidRDefault="00B17211" w:rsidP="007F490F">
            <w:r w:rsidRPr="007F490F">
              <w:rPr>
                <w:rStyle w:val="Heading2Char"/>
              </w:rPr>
              <w:t>Our reference:</w:t>
            </w:r>
            <w:r>
              <w:t xml:space="preserve">  FOI 2</w:t>
            </w:r>
            <w:r w:rsidR="00EF0FBB">
              <w:t>5</w:t>
            </w:r>
            <w:r>
              <w:t>-</w:t>
            </w:r>
            <w:r w:rsidR="005E4251">
              <w:t>2907</w:t>
            </w:r>
          </w:p>
          <w:p w14:paraId="34BDABA6" w14:textId="45CF603C" w:rsidR="00B17211" w:rsidRDefault="00456324" w:rsidP="00EE2373">
            <w:r w:rsidRPr="007F490F">
              <w:rPr>
                <w:rStyle w:val="Heading2Char"/>
              </w:rPr>
              <w:t>Respon</w:t>
            </w:r>
            <w:r w:rsidR="007D55F6">
              <w:rPr>
                <w:rStyle w:val="Heading2Char"/>
              </w:rPr>
              <w:t>ded to:</w:t>
            </w:r>
            <w:r w:rsidR="007F490F">
              <w:t xml:space="preserve">  </w:t>
            </w:r>
            <w:r w:rsidR="00946164">
              <w:t>2</w:t>
            </w:r>
            <w:r w:rsidR="0089120D">
              <w:t>2</w:t>
            </w:r>
            <w:r w:rsidR="005E4251">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EB6D889" w14:textId="77777777" w:rsidR="005E4251" w:rsidRPr="005E4251" w:rsidRDefault="005E4251" w:rsidP="005E4251">
      <w:pPr>
        <w:tabs>
          <w:tab w:val="left" w:pos="5400"/>
        </w:tabs>
        <w:rPr>
          <w:rFonts w:eastAsiaTheme="majorEastAsia" w:cstheme="majorBidi"/>
          <w:b/>
          <w:color w:val="000000" w:themeColor="text1"/>
          <w:szCs w:val="26"/>
        </w:rPr>
      </w:pPr>
      <w:r w:rsidRPr="005E4251">
        <w:rPr>
          <w:rFonts w:eastAsiaTheme="majorEastAsia" w:cstheme="majorBidi"/>
          <w:b/>
          <w:color w:val="000000" w:themeColor="text1"/>
          <w:szCs w:val="26"/>
        </w:rPr>
        <w:t>How many complaints about the police remain unresolved please?</w:t>
      </w:r>
    </w:p>
    <w:p w14:paraId="779DFFD2" w14:textId="77777777" w:rsidR="005E4251" w:rsidRPr="005E4251" w:rsidRDefault="005E4251" w:rsidP="005E4251">
      <w:pPr>
        <w:tabs>
          <w:tab w:val="left" w:pos="5400"/>
        </w:tabs>
        <w:rPr>
          <w:rFonts w:eastAsiaTheme="majorEastAsia" w:cstheme="majorBidi"/>
          <w:b/>
          <w:color w:val="000000" w:themeColor="text1"/>
          <w:szCs w:val="26"/>
        </w:rPr>
      </w:pPr>
      <w:r w:rsidRPr="005E4251">
        <w:rPr>
          <w:rFonts w:eastAsiaTheme="majorEastAsia" w:cstheme="majorBidi"/>
          <w:b/>
          <w:color w:val="000000" w:themeColor="text1"/>
          <w:szCs w:val="26"/>
        </w:rPr>
        <w:t>Please breakdown your answer by:</w:t>
      </w:r>
    </w:p>
    <w:p w14:paraId="621A688A" w14:textId="4B7D18B5" w:rsidR="005E4251" w:rsidRPr="005E4251" w:rsidRDefault="005E4251" w:rsidP="005E4251">
      <w:pPr>
        <w:pStyle w:val="ListParagraph"/>
        <w:numPr>
          <w:ilvl w:val="0"/>
          <w:numId w:val="3"/>
        </w:numPr>
        <w:tabs>
          <w:tab w:val="left" w:pos="5400"/>
        </w:tabs>
        <w:rPr>
          <w:rFonts w:eastAsiaTheme="majorEastAsia" w:cstheme="majorBidi"/>
          <w:b/>
          <w:color w:val="000000" w:themeColor="text1"/>
          <w:szCs w:val="26"/>
        </w:rPr>
      </w:pPr>
      <w:r w:rsidRPr="005E4251">
        <w:rPr>
          <w:rFonts w:eastAsiaTheme="majorEastAsia" w:cstheme="majorBidi"/>
          <w:b/>
          <w:color w:val="000000" w:themeColor="text1"/>
          <w:szCs w:val="26"/>
        </w:rPr>
        <w:t xml:space="preserve">The year that the complaint was lodged and </w:t>
      </w:r>
    </w:p>
    <w:p w14:paraId="435CC348" w14:textId="77777777" w:rsidR="005E4251" w:rsidRPr="005E4251" w:rsidRDefault="005E4251" w:rsidP="005E4251">
      <w:pPr>
        <w:pStyle w:val="ListParagraph"/>
        <w:numPr>
          <w:ilvl w:val="0"/>
          <w:numId w:val="3"/>
        </w:numPr>
        <w:tabs>
          <w:tab w:val="left" w:pos="5400"/>
        </w:tabs>
        <w:rPr>
          <w:rFonts w:eastAsiaTheme="majorEastAsia" w:cstheme="majorBidi"/>
          <w:b/>
          <w:color w:val="000000" w:themeColor="text1"/>
          <w:szCs w:val="26"/>
        </w:rPr>
      </w:pPr>
      <w:r w:rsidRPr="005E4251">
        <w:rPr>
          <w:rFonts w:eastAsiaTheme="majorEastAsia" w:cstheme="majorBidi"/>
          <w:b/>
          <w:color w:val="000000" w:themeColor="text1"/>
          <w:szCs w:val="26"/>
        </w:rPr>
        <w:t>Type of complaint</w:t>
      </w:r>
    </w:p>
    <w:p w14:paraId="217F1FB1" w14:textId="6B8481D8" w:rsidR="0018153E" w:rsidRDefault="0018153E" w:rsidP="00776E5F">
      <w:r w:rsidRPr="004365BB">
        <w:t xml:space="preserve">The formal disciplinary process for Police Officers is governed by </w:t>
      </w:r>
      <w:hyperlink r:id="rId11" w:history="1">
        <w:r>
          <w:rPr>
            <w:rStyle w:val="Hyperlink"/>
          </w:rPr>
          <w:t>the Police Service of Scotland (Conduct) Regulations 2014</w:t>
        </w:r>
      </w:hyperlink>
      <w:r w:rsidRPr="004365BB">
        <w:t>.</w:t>
      </w:r>
      <w:r>
        <w:t xml:space="preserve">  </w:t>
      </w:r>
      <w:r w:rsidRPr="004365BB">
        <w:t xml:space="preserve">The </w:t>
      </w:r>
      <w:r>
        <w:t>associated</w:t>
      </w:r>
      <w:r w:rsidRPr="004365BB">
        <w:t xml:space="preserve"> </w:t>
      </w:r>
      <w:hyperlink r:id="rId12" w:history="1">
        <w:r w:rsidRPr="004365BB">
          <w:rPr>
            <w:rStyle w:val="Hyperlink"/>
          </w:rPr>
          <w:t>Scottish Government Guidance Document</w:t>
        </w:r>
      </w:hyperlink>
      <w:r w:rsidRPr="004365BB">
        <w:t xml:space="preserve"> provides further information on the process and </w:t>
      </w:r>
      <w:r>
        <w:t>allegations</w:t>
      </w:r>
      <w:r w:rsidRPr="004365BB">
        <w:t xml:space="preserve"> are categorised in line with our </w:t>
      </w:r>
      <w:hyperlink r:id="rId13" w:history="1">
        <w:r w:rsidRPr="004365BB">
          <w:rPr>
            <w:rStyle w:val="Hyperlink"/>
          </w:rPr>
          <w:t>Standards of Professional Behaviour</w:t>
        </w:r>
      </w:hyperlink>
      <w:r>
        <w:t>.</w:t>
      </w:r>
    </w:p>
    <w:p w14:paraId="1300D1D9" w14:textId="592174BD" w:rsidR="0018153E" w:rsidRDefault="0018153E" w:rsidP="0018153E">
      <w:r w:rsidRPr="007943B4">
        <w:t xml:space="preserve">The Police Scotland </w:t>
      </w:r>
      <w:hyperlink r:id="rId14" w:tooltip="Complaints About The Police SOP" w:history="1">
        <w:r>
          <w:rPr>
            <w:rStyle w:val="Hyperlink"/>
          </w:rPr>
          <w:t>Complaints About the Police Standard Operating Procedure (SOP)</w:t>
        </w:r>
      </w:hyperlink>
      <w:r>
        <w:t xml:space="preserve"> outlines </w:t>
      </w:r>
      <w:r w:rsidRPr="007943B4">
        <w:t xml:space="preserve">how we deal with complaints. </w:t>
      </w:r>
      <w:r>
        <w:t xml:space="preserve"> Allegations are recorded in accordance with the</w:t>
      </w:r>
      <w:r w:rsidRPr="007943B4">
        <w:t xml:space="preserve"> categories listed at appendices </w:t>
      </w:r>
      <w:r>
        <w:t>C</w:t>
      </w:r>
      <w:r w:rsidRPr="007943B4">
        <w:t xml:space="preserve"> and </w:t>
      </w:r>
      <w:r>
        <w:t>D.</w:t>
      </w:r>
    </w:p>
    <w:p w14:paraId="0B2F9F8C" w14:textId="62A18B2D" w:rsidR="0018153E" w:rsidRDefault="0018153E" w:rsidP="0018153E">
      <w:r>
        <w:t>All correspondence received by the Professional Standards Department (PSD) is subject of triage, with complaints about the police reviewed initially by the National Complaint Assessment and Resolution Unit (NCARU).  At this stage, where the complaint is not of a criminal nature, herein referred to as ‘non-criminal’, these complaints can be resolved through ‘Front-Line Resolution (FLR)’ and can also be ‘Abandoned’ or ‘Withdrawn’.  These disposals are referenced within the</w:t>
      </w:r>
      <w:r w:rsidR="0089120D">
        <w:t xml:space="preserve"> </w:t>
      </w:r>
      <w:hyperlink r:id="rId15" w:tooltip="Complaints About The Police SOP" w:history="1">
        <w:r w:rsidR="0089120D">
          <w:rPr>
            <w:rStyle w:val="Hyperlink"/>
          </w:rPr>
          <w:t>Complaints About the Police SOP</w:t>
        </w:r>
      </w:hyperlink>
      <w:r w:rsidRPr="0089120D">
        <w:rPr>
          <w:color w:val="4472C4" w:themeColor="accent5"/>
        </w:rPr>
        <w:t>.</w:t>
      </w:r>
    </w:p>
    <w:p w14:paraId="3D0872C2" w14:textId="77777777" w:rsidR="0018153E" w:rsidRDefault="0018153E" w:rsidP="0018153E">
      <w:r>
        <w:t>If NCARU are unable to resolve the non-criminal complaint, it will be allocated to an Investigative Officer (IO) from one of our Investigation departments.  Of note, these complaints can potentially be Front-Line Resolved, Abandoned or Withdrawn following further contact by an IO depending upon the circumstances.</w:t>
      </w:r>
    </w:p>
    <w:p w14:paraId="0A2010C2" w14:textId="5BB94CC1" w:rsidR="0018153E" w:rsidRDefault="0018153E" w:rsidP="0018153E">
      <w:r>
        <w:t xml:space="preserve">Unlike criminal complaints, non-criminal complaints are not immediately allocated to an officer.  Each non-criminal complaint is, however, further assessed with appropriate </w:t>
      </w:r>
      <w:r>
        <w:lastRenderedPageBreak/>
        <w:t>measures put in place to allocate the investigation, considering, risk, complexity, and volume of complaints.</w:t>
      </w:r>
    </w:p>
    <w:p w14:paraId="045BDC4E" w14:textId="77777777" w:rsidR="00CF61B0" w:rsidRPr="00CF61B0" w:rsidRDefault="00CF61B0" w:rsidP="00CF61B0">
      <w:r w:rsidRPr="00CF61B0">
        <w:t xml:space="preserve">There can be one or more allegations contained within one complaint case and equally, there can be one or more subject officers relative to each allegation. Subject officers are counted once per conduct case, however the same officer may be subject to multiple cases and therefore may appear more than once. Each case may involve multiple allegations and (for complaints only) each allegation may be linked to multiple subject officers. </w:t>
      </w:r>
    </w:p>
    <w:p w14:paraId="786B0213" w14:textId="13940BA8" w:rsidR="00C11F59" w:rsidRDefault="00C11F59" w:rsidP="00C11F59">
      <w:pPr>
        <w:tabs>
          <w:tab w:val="left" w:pos="5400"/>
        </w:tabs>
      </w:pPr>
      <w:r w:rsidRPr="00C11F59">
        <w:t>It is interpreted that your request refers to non-criminal complaint investigations.</w:t>
      </w:r>
    </w:p>
    <w:p w14:paraId="0F519B09" w14:textId="77777777" w:rsidR="00946164" w:rsidRDefault="00C11F59" w:rsidP="00C11F59">
      <w:pPr>
        <w:tabs>
          <w:tab w:val="left" w:pos="5400"/>
        </w:tabs>
      </w:pPr>
      <w:r w:rsidRPr="00C11F59">
        <w:t>A total of 1,004 non-criminal complaints (not F</w:t>
      </w:r>
      <w:r w:rsidR="0018153E">
        <w:t>ront-Line Resolution</w:t>
      </w:r>
      <w:r w:rsidRPr="00C11F59">
        <w:t>) are awaiting resolution, as at 22/09/2024.</w:t>
      </w:r>
      <w:r w:rsidR="00946164">
        <w:t xml:space="preserve"> </w:t>
      </w:r>
    </w:p>
    <w:p w14:paraId="7A8A9656" w14:textId="3578257A" w:rsidR="00C11F59" w:rsidRPr="00C11F59" w:rsidRDefault="00946164" w:rsidP="00C11F59">
      <w:pPr>
        <w:tabs>
          <w:tab w:val="left" w:pos="5400"/>
        </w:tabs>
      </w:pPr>
      <w:r>
        <w:t xml:space="preserve">Furthermore, there are </w:t>
      </w:r>
      <w:r w:rsidRPr="00946164">
        <w:t xml:space="preserve">573 </w:t>
      </w:r>
      <w:r>
        <w:t xml:space="preserve">non-criminal </w:t>
      </w:r>
      <w:r w:rsidRPr="00946164">
        <w:t>complaints</w:t>
      </w:r>
      <w:r>
        <w:t xml:space="preserve"> </w:t>
      </w:r>
      <w:r w:rsidRPr="00946164">
        <w:t>allocated to IO’s who are at varying stages of resolution</w:t>
      </w:r>
      <w:r>
        <w:t xml:space="preserve"> (</w:t>
      </w:r>
      <w:r w:rsidRPr="00946164">
        <w:t>accurate at time of request</w:t>
      </w:r>
      <w:r>
        <w:t>).</w:t>
      </w:r>
    </w:p>
    <w:p w14:paraId="31B65E13" w14:textId="5C2BB38D" w:rsidR="00C11F59" w:rsidRPr="00C11F59" w:rsidRDefault="00C11F59" w:rsidP="00C11F59">
      <w:pPr>
        <w:tabs>
          <w:tab w:val="left" w:pos="5400"/>
        </w:tabs>
      </w:pPr>
      <w:r w:rsidRPr="00C11F59">
        <w:t xml:space="preserve">Complaints which are sub-judice are excluded from the figure above. </w:t>
      </w:r>
    </w:p>
    <w:p w14:paraId="073B8C17" w14:textId="77777777" w:rsidR="00CF61B0" w:rsidRDefault="00CF61B0" w:rsidP="00C11F59">
      <w:pPr>
        <w:tabs>
          <w:tab w:val="left" w:pos="5400"/>
        </w:tabs>
      </w:pPr>
    </w:p>
    <w:p w14:paraId="3BF6ED7C" w14:textId="2B0C057E" w:rsidR="00C11F59" w:rsidRPr="00C11F59" w:rsidRDefault="0018153E" w:rsidP="00C11F59">
      <w:pPr>
        <w:tabs>
          <w:tab w:val="left" w:pos="5400"/>
        </w:tabs>
      </w:pPr>
      <w:r>
        <w:t>In regards th</w:t>
      </w:r>
      <w:r w:rsidR="00C11F59" w:rsidRPr="00C11F59">
        <w:t>e “type of complaint” breakdown requested</w:t>
      </w:r>
      <w:r w:rsidR="00CF61B0">
        <w:t>, c</w:t>
      </w:r>
      <w:r w:rsidR="00CF61B0" w:rsidRPr="00C11F59">
        <w:t>omplaint cases are not categorised in this manner, but rather allegations are</w:t>
      </w:r>
      <w:r w:rsidR="00CF61B0">
        <w:t xml:space="preserve">, as such we have provided figures below with reference to </w:t>
      </w:r>
      <w:r w:rsidR="00C11F59" w:rsidRPr="00C11F59">
        <w:t xml:space="preserve">allegations attached to </w:t>
      </w:r>
      <w:r w:rsidR="00CF61B0">
        <w:t xml:space="preserve">the </w:t>
      </w:r>
      <w:r w:rsidR="00C11F59" w:rsidRPr="00C11F59">
        <w:t>complaint cases. </w:t>
      </w:r>
    </w:p>
    <w:p w14:paraId="0B017F93" w14:textId="57DE1834" w:rsidR="00C11F59" w:rsidRPr="00C11F59" w:rsidRDefault="00C11F59" w:rsidP="00C11F59">
      <w:pPr>
        <w:tabs>
          <w:tab w:val="left" w:pos="5400"/>
        </w:tabs>
      </w:pPr>
      <w:r w:rsidRPr="00C11F59">
        <w:t xml:space="preserve">Please note that each complaint </w:t>
      </w:r>
      <w:r w:rsidR="00416C15">
        <w:t xml:space="preserve">case </w:t>
      </w:r>
      <w:r w:rsidRPr="00C11F59">
        <w:t xml:space="preserve">may involve multiple allegations, therefore the number of allegations may vary from the number of complaints. </w:t>
      </w:r>
    </w:p>
    <w:p w14:paraId="34BDABAB" w14:textId="58105616" w:rsidR="00255F1E" w:rsidRPr="00CF61B0" w:rsidRDefault="00C11F59" w:rsidP="009D2AA5">
      <w:pPr>
        <w:tabs>
          <w:tab w:val="left" w:pos="5400"/>
        </w:tabs>
        <w:rPr>
          <w:b/>
          <w:bCs/>
        </w:rPr>
      </w:pPr>
      <w:r w:rsidRPr="00CF61B0">
        <w:rPr>
          <w:b/>
          <w:bCs/>
        </w:rPr>
        <w:t>Allegations attached to non-criminal complaints awaiting resolution, by allegation type and calendar year received</w:t>
      </w:r>
      <w:r w:rsidR="00CF61B0">
        <w:rPr>
          <w:b/>
          <w:bCs/>
        </w:rPr>
        <w:t xml:space="preserve"> </w:t>
      </w:r>
      <w:r w:rsidR="00CF61B0" w:rsidRPr="00CF61B0">
        <w:rPr>
          <w:rStyle w:val="Heading2Char"/>
        </w:rPr>
        <w:t xml:space="preserve">(correct as at </w:t>
      </w:r>
      <w:r w:rsidR="00CF61B0" w:rsidRPr="00C11F59">
        <w:rPr>
          <w:rStyle w:val="Heading2Char"/>
        </w:rPr>
        <w:t>22/09/2024</w:t>
      </w:r>
      <w:r w:rsidR="00CF61B0" w:rsidRPr="00CF61B0">
        <w:rPr>
          <w:rStyle w:val="Heading2Char"/>
        </w:rPr>
        <w:t>)</w:t>
      </w:r>
      <w:r w:rsidR="00CF61B0">
        <w:rPr>
          <w:rStyle w:val="Heading2Char"/>
        </w:rPr>
        <w:t>:</w:t>
      </w:r>
    </w:p>
    <w:tbl>
      <w:tblPr>
        <w:tblStyle w:val="TableGrid"/>
        <w:tblW w:w="9493" w:type="dxa"/>
        <w:tblLook w:val="04A0" w:firstRow="1" w:lastRow="0" w:firstColumn="1" w:lastColumn="0" w:noHBand="0" w:noVBand="1"/>
        <w:tblCaption w:val="Example table"/>
        <w:tblDescription w:val="Example table"/>
      </w:tblPr>
      <w:tblGrid>
        <w:gridCol w:w="2604"/>
        <w:gridCol w:w="1720"/>
        <w:gridCol w:w="1719"/>
        <w:gridCol w:w="1720"/>
        <w:gridCol w:w="1730"/>
      </w:tblGrid>
      <w:tr w:rsidR="00557306" w:rsidRPr="00557306" w14:paraId="34BDABB1" w14:textId="77777777" w:rsidTr="00C11F59">
        <w:trPr>
          <w:tblHeader/>
        </w:trPr>
        <w:tc>
          <w:tcPr>
            <w:tcW w:w="2604" w:type="dxa"/>
            <w:shd w:val="clear" w:color="auto" w:fill="D9D9D9" w:themeFill="background1" w:themeFillShade="D9"/>
          </w:tcPr>
          <w:p w14:paraId="34BDABAC" w14:textId="78B75F7A" w:rsidR="00557306" w:rsidRPr="00557306" w:rsidRDefault="00C11F59" w:rsidP="009D2AA5">
            <w:pPr>
              <w:spacing w:line="240" w:lineRule="auto"/>
              <w:rPr>
                <w:b/>
              </w:rPr>
            </w:pPr>
            <w:r>
              <w:rPr>
                <w:b/>
              </w:rPr>
              <w:t>Allegation Type</w:t>
            </w:r>
          </w:p>
        </w:tc>
        <w:tc>
          <w:tcPr>
            <w:tcW w:w="1720" w:type="dxa"/>
            <w:shd w:val="clear" w:color="auto" w:fill="D9D9D9" w:themeFill="background1" w:themeFillShade="D9"/>
          </w:tcPr>
          <w:p w14:paraId="34BDABAD" w14:textId="7E77D5C3" w:rsidR="00557306" w:rsidRPr="00557306" w:rsidRDefault="00C11F59" w:rsidP="00C11F59">
            <w:pPr>
              <w:spacing w:line="240" w:lineRule="auto"/>
              <w:jc w:val="center"/>
              <w:rPr>
                <w:b/>
              </w:rPr>
            </w:pPr>
            <w:r>
              <w:rPr>
                <w:b/>
              </w:rPr>
              <w:t>2021</w:t>
            </w:r>
          </w:p>
        </w:tc>
        <w:tc>
          <w:tcPr>
            <w:tcW w:w="1719" w:type="dxa"/>
            <w:shd w:val="clear" w:color="auto" w:fill="D9D9D9" w:themeFill="background1" w:themeFillShade="D9"/>
          </w:tcPr>
          <w:p w14:paraId="34BDABAE" w14:textId="73B382F9" w:rsidR="00557306" w:rsidRPr="00557306" w:rsidRDefault="00C11F59" w:rsidP="00C11F59">
            <w:pPr>
              <w:spacing w:line="240" w:lineRule="auto"/>
              <w:jc w:val="center"/>
              <w:rPr>
                <w:b/>
              </w:rPr>
            </w:pPr>
            <w:r>
              <w:rPr>
                <w:b/>
              </w:rPr>
              <w:t>2023</w:t>
            </w:r>
          </w:p>
        </w:tc>
        <w:tc>
          <w:tcPr>
            <w:tcW w:w="1720" w:type="dxa"/>
            <w:shd w:val="clear" w:color="auto" w:fill="D9D9D9" w:themeFill="background1" w:themeFillShade="D9"/>
          </w:tcPr>
          <w:p w14:paraId="34BDABAF" w14:textId="788ABDAE" w:rsidR="00557306" w:rsidRPr="00557306" w:rsidRDefault="00C11F59" w:rsidP="00C11F59">
            <w:pPr>
              <w:spacing w:line="240" w:lineRule="auto"/>
              <w:jc w:val="center"/>
              <w:rPr>
                <w:b/>
              </w:rPr>
            </w:pPr>
            <w:r>
              <w:rPr>
                <w:b/>
              </w:rPr>
              <w:t>2024</w:t>
            </w:r>
          </w:p>
        </w:tc>
        <w:tc>
          <w:tcPr>
            <w:tcW w:w="1730" w:type="dxa"/>
            <w:shd w:val="clear" w:color="auto" w:fill="D9D9D9" w:themeFill="background1" w:themeFillShade="D9"/>
          </w:tcPr>
          <w:p w14:paraId="34BDABB0" w14:textId="7B06904C" w:rsidR="00557306" w:rsidRPr="00557306" w:rsidRDefault="00C11F59" w:rsidP="00C11F59">
            <w:pPr>
              <w:spacing w:line="240" w:lineRule="auto"/>
              <w:jc w:val="center"/>
              <w:rPr>
                <w:b/>
              </w:rPr>
            </w:pPr>
            <w:r>
              <w:rPr>
                <w:b/>
              </w:rPr>
              <w:t>2025</w:t>
            </w:r>
          </w:p>
        </w:tc>
      </w:tr>
      <w:tr w:rsidR="00C11F59" w14:paraId="34BDABB7" w14:textId="77777777" w:rsidTr="00C11F59">
        <w:tc>
          <w:tcPr>
            <w:tcW w:w="2604" w:type="dxa"/>
          </w:tcPr>
          <w:p w14:paraId="34BDABB2" w14:textId="2C5ADE7A" w:rsidR="00C11F59" w:rsidRDefault="00C11F59" w:rsidP="00C11F59">
            <w:pPr>
              <w:tabs>
                <w:tab w:val="left" w:pos="5400"/>
              </w:tabs>
              <w:spacing w:line="240" w:lineRule="auto"/>
            </w:pPr>
            <w:r w:rsidRPr="00294814">
              <w:t>Assault</w:t>
            </w:r>
          </w:p>
        </w:tc>
        <w:tc>
          <w:tcPr>
            <w:tcW w:w="1720" w:type="dxa"/>
          </w:tcPr>
          <w:p w14:paraId="34BDABB3" w14:textId="1EA70A56" w:rsidR="00C11F59" w:rsidRDefault="00C11F59" w:rsidP="00C11F59">
            <w:pPr>
              <w:tabs>
                <w:tab w:val="left" w:pos="5400"/>
              </w:tabs>
              <w:spacing w:line="240" w:lineRule="auto"/>
              <w:jc w:val="center"/>
            </w:pPr>
            <w:r w:rsidRPr="00294814">
              <w:t>0</w:t>
            </w:r>
          </w:p>
        </w:tc>
        <w:tc>
          <w:tcPr>
            <w:tcW w:w="1719" w:type="dxa"/>
          </w:tcPr>
          <w:p w14:paraId="34BDABB4" w14:textId="1DA4A9F4" w:rsidR="00C11F59" w:rsidRDefault="00C11F59" w:rsidP="00C11F59">
            <w:pPr>
              <w:tabs>
                <w:tab w:val="left" w:pos="5400"/>
              </w:tabs>
              <w:spacing w:line="240" w:lineRule="auto"/>
              <w:jc w:val="center"/>
            </w:pPr>
            <w:r w:rsidRPr="00294814">
              <w:t>0</w:t>
            </w:r>
          </w:p>
        </w:tc>
        <w:tc>
          <w:tcPr>
            <w:tcW w:w="1720" w:type="dxa"/>
          </w:tcPr>
          <w:p w14:paraId="34BDABB5" w14:textId="3A08967A" w:rsidR="00C11F59" w:rsidRDefault="00C11F59" w:rsidP="00C11F59">
            <w:pPr>
              <w:tabs>
                <w:tab w:val="left" w:pos="5400"/>
              </w:tabs>
              <w:spacing w:line="240" w:lineRule="auto"/>
              <w:jc w:val="center"/>
            </w:pPr>
            <w:r w:rsidRPr="00294814">
              <w:t>0</w:t>
            </w:r>
          </w:p>
        </w:tc>
        <w:tc>
          <w:tcPr>
            <w:tcW w:w="1730" w:type="dxa"/>
          </w:tcPr>
          <w:p w14:paraId="34BDABB6" w14:textId="646BC7C4" w:rsidR="00C11F59" w:rsidRDefault="00C11F59" w:rsidP="00C11F59">
            <w:pPr>
              <w:tabs>
                <w:tab w:val="left" w:pos="5400"/>
              </w:tabs>
              <w:spacing w:line="240" w:lineRule="auto"/>
              <w:jc w:val="center"/>
            </w:pPr>
            <w:r w:rsidRPr="00294814">
              <w:t>0</w:t>
            </w:r>
          </w:p>
        </w:tc>
      </w:tr>
      <w:tr w:rsidR="00C11F59" w14:paraId="1A09BBAC" w14:textId="77777777" w:rsidTr="00C11F59">
        <w:tc>
          <w:tcPr>
            <w:tcW w:w="2604" w:type="dxa"/>
          </w:tcPr>
          <w:p w14:paraId="2BC4D2B8" w14:textId="15DB8EAF" w:rsidR="00C11F59" w:rsidRDefault="00C11F59" w:rsidP="00C11F59">
            <w:pPr>
              <w:tabs>
                <w:tab w:val="left" w:pos="5400"/>
              </w:tabs>
              <w:spacing w:line="240" w:lineRule="auto"/>
            </w:pPr>
            <w:r w:rsidRPr="00294814">
              <w:t>Corrupt Practice</w:t>
            </w:r>
          </w:p>
        </w:tc>
        <w:tc>
          <w:tcPr>
            <w:tcW w:w="1720" w:type="dxa"/>
          </w:tcPr>
          <w:p w14:paraId="38D4AF31" w14:textId="22FD994E" w:rsidR="00C11F59" w:rsidRDefault="00C11F59" w:rsidP="00C11F59">
            <w:pPr>
              <w:tabs>
                <w:tab w:val="left" w:pos="5400"/>
              </w:tabs>
              <w:spacing w:line="240" w:lineRule="auto"/>
              <w:jc w:val="center"/>
            </w:pPr>
            <w:r w:rsidRPr="00294814">
              <w:t>0</w:t>
            </w:r>
          </w:p>
        </w:tc>
        <w:tc>
          <w:tcPr>
            <w:tcW w:w="1719" w:type="dxa"/>
          </w:tcPr>
          <w:p w14:paraId="5251B62E" w14:textId="75EF14FB" w:rsidR="00C11F59" w:rsidRDefault="00C11F59" w:rsidP="00C11F59">
            <w:pPr>
              <w:tabs>
                <w:tab w:val="left" w:pos="5400"/>
              </w:tabs>
              <w:spacing w:line="240" w:lineRule="auto"/>
              <w:jc w:val="center"/>
            </w:pPr>
            <w:r w:rsidRPr="00294814">
              <w:t>0</w:t>
            </w:r>
          </w:p>
        </w:tc>
        <w:tc>
          <w:tcPr>
            <w:tcW w:w="1720" w:type="dxa"/>
          </w:tcPr>
          <w:p w14:paraId="23C6D236" w14:textId="7004E49B" w:rsidR="00C11F59" w:rsidRDefault="00C11F59" w:rsidP="00C11F59">
            <w:pPr>
              <w:tabs>
                <w:tab w:val="left" w:pos="5400"/>
              </w:tabs>
              <w:spacing w:line="240" w:lineRule="auto"/>
              <w:jc w:val="center"/>
            </w:pPr>
            <w:r w:rsidRPr="00294814">
              <w:t>8</w:t>
            </w:r>
          </w:p>
        </w:tc>
        <w:tc>
          <w:tcPr>
            <w:tcW w:w="1730" w:type="dxa"/>
          </w:tcPr>
          <w:p w14:paraId="1D7B30BE" w14:textId="06C2FF3B" w:rsidR="00C11F59" w:rsidRDefault="00C11F59" w:rsidP="00C11F59">
            <w:pPr>
              <w:tabs>
                <w:tab w:val="left" w:pos="5400"/>
              </w:tabs>
              <w:spacing w:line="240" w:lineRule="auto"/>
              <w:jc w:val="center"/>
            </w:pPr>
            <w:r w:rsidRPr="00294814">
              <w:t>11</w:t>
            </w:r>
          </w:p>
        </w:tc>
      </w:tr>
      <w:tr w:rsidR="00C11F59" w14:paraId="1C8C753B" w14:textId="77777777" w:rsidTr="00C11F59">
        <w:tc>
          <w:tcPr>
            <w:tcW w:w="2604" w:type="dxa"/>
          </w:tcPr>
          <w:p w14:paraId="14948D70" w14:textId="01C623B9" w:rsidR="00C11F59" w:rsidRDefault="00C11F59" w:rsidP="00C11F59">
            <w:pPr>
              <w:tabs>
                <w:tab w:val="left" w:pos="5400"/>
              </w:tabs>
              <w:spacing w:line="240" w:lineRule="auto"/>
            </w:pPr>
            <w:r w:rsidRPr="00294814">
              <w:t>Discriminatory Behaviour</w:t>
            </w:r>
          </w:p>
        </w:tc>
        <w:tc>
          <w:tcPr>
            <w:tcW w:w="1720" w:type="dxa"/>
          </w:tcPr>
          <w:p w14:paraId="2202B22B" w14:textId="295526E8" w:rsidR="00C11F59" w:rsidRDefault="00C11F59" w:rsidP="00C11F59">
            <w:pPr>
              <w:tabs>
                <w:tab w:val="left" w:pos="5400"/>
              </w:tabs>
              <w:spacing w:line="240" w:lineRule="auto"/>
              <w:jc w:val="center"/>
            </w:pPr>
            <w:r w:rsidRPr="00294814">
              <w:t>0</w:t>
            </w:r>
          </w:p>
        </w:tc>
        <w:tc>
          <w:tcPr>
            <w:tcW w:w="1719" w:type="dxa"/>
          </w:tcPr>
          <w:p w14:paraId="5C79E31A" w14:textId="42C25CB0" w:rsidR="00C11F59" w:rsidRDefault="00C11F59" w:rsidP="00C11F59">
            <w:pPr>
              <w:tabs>
                <w:tab w:val="left" w:pos="5400"/>
              </w:tabs>
              <w:spacing w:line="240" w:lineRule="auto"/>
              <w:jc w:val="center"/>
            </w:pPr>
            <w:r w:rsidRPr="00294814">
              <w:t>0</w:t>
            </w:r>
          </w:p>
        </w:tc>
        <w:tc>
          <w:tcPr>
            <w:tcW w:w="1720" w:type="dxa"/>
          </w:tcPr>
          <w:p w14:paraId="4B0A4139" w14:textId="356AA494" w:rsidR="00C11F59" w:rsidRDefault="00C11F59" w:rsidP="00C11F59">
            <w:pPr>
              <w:tabs>
                <w:tab w:val="left" w:pos="5400"/>
              </w:tabs>
              <w:spacing w:line="240" w:lineRule="auto"/>
              <w:jc w:val="center"/>
            </w:pPr>
            <w:r w:rsidRPr="00294814">
              <w:t>24</w:t>
            </w:r>
          </w:p>
        </w:tc>
        <w:tc>
          <w:tcPr>
            <w:tcW w:w="1730" w:type="dxa"/>
          </w:tcPr>
          <w:p w14:paraId="63750D4F" w14:textId="57389708" w:rsidR="00C11F59" w:rsidRDefault="00C11F59" w:rsidP="00C11F59">
            <w:pPr>
              <w:tabs>
                <w:tab w:val="left" w:pos="5400"/>
              </w:tabs>
              <w:spacing w:line="240" w:lineRule="auto"/>
              <w:jc w:val="center"/>
            </w:pPr>
            <w:r w:rsidRPr="00294814">
              <w:t>45</w:t>
            </w:r>
          </w:p>
        </w:tc>
      </w:tr>
      <w:tr w:rsidR="00C11F59" w14:paraId="39FB3FCA" w14:textId="77777777" w:rsidTr="00C11F59">
        <w:tc>
          <w:tcPr>
            <w:tcW w:w="2604" w:type="dxa"/>
          </w:tcPr>
          <w:p w14:paraId="58A08ED1" w14:textId="310702DF" w:rsidR="00C11F59" w:rsidRDefault="00C11F59" w:rsidP="00C11F59">
            <w:pPr>
              <w:tabs>
                <w:tab w:val="left" w:pos="5400"/>
              </w:tabs>
              <w:spacing w:line="240" w:lineRule="auto"/>
            </w:pPr>
            <w:r w:rsidRPr="00294814">
              <w:t>Excessive Force</w:t>
            </w:r>
          </w:p>
        </w:tc>
        <w:tc>
          <w:tcPr>
            <w:tcW w:w="1720" w:type="dxa"/>
          </w:tcPr>
          <w:p w14:paraId="2293CBBB" w14:textId="7505ED3D" w:rsidR="00C11F59" w:rsidRDefault="00C11F59" w:rsidP="00C11F59">
            <w:pPr>
              <w:tabs>
                <w:tab w:val="left" w:pos="5400"/>
              </w:tabs>
              <w:spacing w:line="240" w:lineRule="auto"/>
              <w:jc w:val="center"/>
            </w:pPr>
            <w:r w:rsidRPr="00294814">
              <w:t>2</w:t>
            </w:r>
          </w:p>
        </w:tc>
        <w:tc>
          <w:tcPr>
            <w:tcW w:w="1719" w:type="dxa"/>
          </w:tcPr>
          <w:p w14:paraId="1AFB9CAD" w14:textId="7F6B4141" w:rsidR="00C11F59" w:rsidRDefault="00C11F59" w:rsidP="00C11F59">
            <w:pPr>
              <w:tabs>
                <w:tab w:val="left" w:pos="5400"/>
              </w:tabs>
              <w:spacing w:line="240" w:lineRule="auto"/>
              <w:jc w:val="center"/>
            </w:pPr>
            <w:r w:rsidRPr="00294814">
              <w:t>1</w:t>
            </w:r>
          </w:p>
        </w:tc>
        <w:tc>
          <w:tcPr>
            <w:tcW w:w="1720" w:type="dxa"/>
          </w:tcPr>
          <w:p w14:paraId="41B66739" w14:textId="50B363CE" w:rsidR="00C11F59" w:rsidRDefault="00C11F59" w:rsidP="00C11F59">
            <w:pPr>
              <w:tabs>
                <w:tab w:val="left" w:pos="5400"/>
              </w:tabs>
              <w:spacing w:line="240" w:lineRule="auto"/>
              <w:jc w:val="center"/>
            </w:pPr>
            <w:r w:rsidRPr="00294814">
              <w:t>117</w:t>
            </w:r>
          </w:p>
        </w:tc>
        <w:tc>
          <w:tcPr>
            <w:tcW w:w="1730" w:type="dxa"/>
          </w:tcPr>
          <w:p w14:paraId="0DA2CF66" w14:textId="0D08C628" w:rsidR="00C11F59" w:rsidRDefault="00C11F59" w:rsidP="00C11F59">
            <w:pPr>
              <w:tabs>
                <w:tab w:val="left" w:pos="5400"/>
              </w:tabs>
              <w:spacing w:line="240" w:lineRule="auto"/>
              <w:jc w:val="center"/>
            </w:pPr>
            <w:r w:rsidRPr="00294814">
              <w:t>250</w:t>
            </w:r>
          </w:p>
        </w:tc>
      </w:tr>
      <w:tr w:rsidR="00C11F59" w14:paraId="6006E213" w14:textId="77777777" w:rsidTr="00C11F59">
        <w:tc>
          <w:tcPr>
            <w:tcW w:w="2604" w:type="dxa"/>
          </w:tcPr>
          <w:p w14:paraId="43C9DFA0" w14:textId="24A6AAB9" w:rsidR="00C11F59" w:rsidRDefault="00C11F59" w:rsidP="00C11F59">
            <w:pPr>
              <w:tabs>
                <w:tab w:val="left" w:pos="5400"/>
              </w:tabs>
              <w:spacing w:line="240" w:lineRule="auto"/>
            </w:pPr>
            <w:r w:rsidRPr="00294814">
              <w:t>Incivility</w:t>
            </w:r>
          </w:p>
        </w:tc>
        <w:tc>
          <w:tcPr>
            <w:tcW w:w="1720" w:type="dxa"/>
          </w:tcPr>
          <w:p w14:paraId="3294D5B1" w14:textId="28F04BE8" w:rsidR="00C11F59" w:rsidRDefault="00C11F59" w:rsidP="00C11F59">
            <w:pPr>
              <w:tabs>
                <w:tab w:val="left" w:pos="5400"/>
              </w:tabs>
              <w:spacing w:line="240" w:lineRule="auto"/>
              <w:jc w:val="center"/>
            </w:pPr>
            <w:r w:rsidRPr="00294814">
              <w:t>0</w:t>
            </w:r>
          </w:p>
        </w:tc>
        <w:tc>
          <w:tcPr>
            <w:tcW w:w="1719" w:type="dxa"/>
          </w:tcPr>
          <w:p w14:paraId="12D6B59B" w14:textId="259CCED0" w:rsidR="00C11F59" w:rsidRDefault="00C11F59" w:rsidP="00C11F59">
            <w:pPr>
              <w:tabs>
                <w:tab w:val="left" w:pos="5400"/>
              </w:tabs>
              <w:spacing w:line="240" w:lineRule="auto"/>
              <w:jc w:val="center"/>
            </w:pPr>
            <w:r w:rsidRPr="00294814">
              <w:t>3</w:t>
            </w:r>
          </w:p>
        </w:tc>
        <w:tc>
          <w:tcPr>
            <w:tcW w:w="1720" w:type="dxa"/>
          </w:tcPr>
          <w:p w14:paraId="5201A7AA" w14:textId="0BB6B8A3" w:rsidR="00C11F59" w:rsidRDefault="00C11F59" w:rsidP="00C11F59">
            <w:pPr>
              <w:tabs>
                <w:tab w:val="left" w:pos="5400"/>
              </w:tabs>
              <w:spacing w:line="240" w:lineRule="auto"/>
              <w:jc w:val="center"/>
            </w:pPr>
            <w:r w:rsidRPr="00294814">
              <w:t>96</w:t>
            </w:r>
          </w:p>
        </w:tc>
        <w:tc>
          <w:tcPr>
            <w:tcW w:w="1730" w:type="dxa"/>
          </w:tcPr>
          <w:p w14:paraId="248A12FB" w14:textId="7BD60C18" w:rsidR="00C11F59" w:rsidRDefault="00C11F59" w:rsidP="00C11F59">
            <w:pPr>
              <w:tabs>
                <w:tab w:val="left" w:pos="5400"/>
              </w:tabs>
              <w:spacing w:line="240" w:lineRule="auto"/>
              <w:jc w:val="center"/>
            </w:pPr>
            <w:r w:rsidRPr="00294814">
              <w:t>238</w:t>
            </w:r>
          </w:p>
        </w:tc>
      </w:tr>
      <w:tr w:rsidR="00C11F59" w14:paraId="3D1D9A9B" w14:textId="77777777" w:rsidTr="00C11F59">
        <w:tc>
          <w:tcPr>
            <w:tcW w:w="2604" w:type="dxa"/>
          </w:tcPr>
          <w:p w14:paraId="3B6EDE58" w14:textId="5D9AEE7A" w:rsidR="00C11F59" w:rsidRDefault="00C11F59" w:rsidP="00C11F59">
            <w:pPr>
              <w:tabs>
                <w:tab w:val="left" w:pos="5400"/>
              </w:tabs>
              <w:spacing w:line="240" w:lineRule="auto"/>
            </w:pPr>
            <w:r w:rsidRPr="00294814">
              <w:lastRenderedPageBreak/>
              <w:t>Irregularity in Procedure</w:t>
            </w:r>
          </w:p>
        </w:tc>
        <w:tc>
          <w:tcPr>
            <w:tcW w:w="1720" w:type="dxa"/>
          </w:tcPr>
          <w:p w14:paraId="2754BBCC" w14:textId="1BBB9E9B" w:rsidR="00C11F59" w:rsidRDefault="00C11F59" w:rsidP="00C11F59">
            <w:pPr>
              <w:tabs>
                <w:tab w:val="left" w:pos="5400"/>
              </w:tabs>
              <w:spacing w:line="240" w:lineRule="auto"/>
              <w:jc w:val="center"/>
            </w:pPr>
            <w:r w:rsidRPr="00294814">
              <w:t>3</w:t>
            </w:r>
          </w:p>
        </w:tc>
        <w:tc>
          <w:tcPr>
            <w:tcW w:w="1719" w:type="dxa"/>
          </w:tcPr>
          <w:p w14:paraId="78B5552D" w14:textId="07C06373" w:rsidR="00C11F59" w:rsidRDefault="00C11F59" w:rsidP="00C11F59">
            <w:pPr>
              <w:tabs>
                <w:tab w:val="left" w:pos="5400"/>
              </w:tabs>
              <w:spacing w:line="240" w:lineRule="auto"/>
              <w:jc w:val="center"/>
            </w:pPr>
            <w:r w:rsidRPr="00294814">
              <w:t>20</w:t>
            </w:r>
          </w:p>
        </w:tc>
        <w:tc>
          <w:tcPr>
            <w:tcW w:w="1720" w:type="dxa"/>
          </w:tcPr>
          <w:p w14:paraId="5F9197E8" w14:textId="7AB3DCA9" w:rsidR="00C11F59" w:rsidRDefault="00C11F59" w:rsidP="00C11F59">
            <w:pPr>
              <w:tabs>
                <w:tab w:val="left" w:pos="5400"/>
              </w:tabs>
              <w:spacing w:line="240" w:lineRule="auto"/>
              <w:jc w:val="center"/>
            </w:pPr>
            <w:r w:rsidRPr="00294814">
              <w:t>399</w:t>
            </w:r>
          </w:p>
        </w:tc>
        <w:tc>
          <w:tcPr>
            <w:tcW w:w="1730" w:type="dxa"/>
          </w:tcPr>
          <w:p w14:paraId="6F7D8328" w14:textId="61252DD6" w:rsidR="00C11F59" w:rsidRDefault="00C11F59" w:rsidP="00C11F59">
            <w:pPr>
              <w:tabs>
                <w:tab w:val="left" w:pos="5400"/>
              </w:tabs>
              <w:spacing w:line="240" w:lineRule="auto"/>
              <w:jc w:val="center"/>
            </w:pPr>
            <w:r w:rsidRPr="00294814">
              <w:t>975</w:t>
            </w:r>
          </w:p>
        </w:tc>
      </w:tr>
      <w:tr w:rsidR="00C11F59" w14:paraId="467C9125" w14:textId="77777777" w:rsidTr="00C11F59">
        <w:tc>
          <w:tcPr>
            <w:tcW w:w="2604" w:type="dxa"/>
          </w:tcPr>
          <w:p w14:paraId="085031A6" w14:textId="6A5C610D" w:rsidR="00C11F59" w:rsidRDefault="00C11F59" w:rsidP="00C11F59">
            <w:pPr>
              <w:tabs>
                <w:tab w:val="left" w:pos="5400"/>
              </w:tabs>
              <w:spacing w:line="240" w:lineRule="auto"/>
            </w:pPr>
            <w:r w:rsidRPr="00294814">
              <w:t>Neglect of Duty</w:t>
            </w:r>
          </w:p>
        </w:tc>
        <w:tc>
          <w:tcPr>
            <w:tcW w:w="1720" w:type="dxa"/>
          </w:tcPr>
          <w:p w14:paraId="078D61D5" w14:textId="750428A7" w:rsidR="00C11F59" w:rsidRDefault="00C11F59" w:rsidP="00C11F59">
            <w:pPr>
              <w:tabs>
                <w:tab w:val="left" w:pos="5400"/>
              </w:tabs>
              <w:spacing w:line="240" w:lineRule="auto"/>
              <w:jc w:val="center"/>
            </w:pPr>
            <w:r w:rsidRPr="00294814">
              <w:t>0</w:t>
            </w:r>
          </w:p>
        </w:tc>
        <w:tc>
          <w:tcPr>
            <w:tcW w:w="1719" w:type="dxa"/>
          </w:tcPr>
          <w:p w14:paraId="55EEE884" w14:textId="3B989551" w:rsidR="00C11F59" w:rsidRDefault="00C11F59" w:rsidP="00C11F59">
            <w:pPr>
              <w:tabs>
                <w:tab w:val="left" w:pos="5400"/>
              </w:tabs>
              <w:spacing w:line="240" w:lineRule="auto"/>
              <w:jc w:val="center"/>
            </w:pPr>
            <w:r w:rsidRPr="00294814">
              <w:t>0</w:t>
            </w:r>
          </w:p>
        </w:tc>
        <w:tc>
          <w:tcPr>
            <w:tcW w:w="1720" w:type="dxa"/>
          </w:tcPr>
          <w:p w14:paraId="495AFC60" w14:textId="67A507A2" w:rsidR="00C11F59" w:rsidRDefault="00C11F59" w:rsidP="00C11F59">
            <w:pPr>
              <w:tabs>
                <w:tab w:val="left" w:pos="5400"/>
              </w:tabs>
              <w:spacing w:line="240" w:lineRule="auto"/>
              <w:jc w:val="center"/>
            </w:pPr>
            <w:r w:rsidRPr="00294814">
              <w:t>12</w:t>
            </w:r>
          </w:p>
        </w:tc>
        <w:tc>
          <w:tcPr>
            <w:tcW w:w="1730" w:type="dxa"/>
          </w:tcPr>
          <w:p w14:paraId="4290C258" w14:textId="4122CF6E" w:rsidR="00C11F59" w:rsidRDefault="00C11F59" w:rsidP="00C11F59">
            <w:pPr>
              <w:tabs>
                <w:tab w:val="left" w:pos="5400"/>
              </w:tabs>
              <w:spacing w:line="240" w:lineRule="auto"/>
              <w:jc w:val="center"/>
            </w:pPr>
            <w:r w:rsidRPr="00294814">
              <w:t>18</w:t>
            </w:r>
          </w:p>
        </w:tc>
      </w:tr>
      <w:tr w:rsidR="00C11F59" w14:paraId="6A8911E1" w14:textId="77777777" w:rsidTr="00C11F59">
        <w:tc>
          <w:tcPr>
            <w:tcW w:w="2604" w:type="dxa"/>
          </w:tcPr>
          <w:p w14:paraId="7060D39B" w14:textId="6F7C9948" w:rsidR="00C11F59" w:rsidRDefault="00C11F59" w:rsidP="00C11F59">
            <w:pPr>
              <w:tabs>
                <w:tab w:val="left" w:pos="5400"/>
              </w:tabs>
              <w:spacing w:line="240" w:lineRule="auto"/>
            </w:pPr>
            <w:r w:rsidRPr="00294814">
              <w:t>Oppressive Conduct/Harassment</w:t>
            </w:r>
          </w:p>
        </w:tc>
        <w:tc>
          <w:tcPr>
            <w:tcW w:w="1720" w:type="dxa"/>
          </w:tcPr>
          <w:p w14:paraId="4DA2D7C5" w14:textId="1A1155B2" w:rsidR="00C11F59" w:rsidRDefault="00C11F59" w:rsidP="00C11F59">
            <w:pPr>
              <w:tabs>
                <w:tab w:val="left" w:pos="5400"/>
              </w:tabs>
              <w:spacing w:line="240" w:lineRule="auto"/>
              <w:jc w:val="center"/>
            </w:pPr>
            <w:r w:rsidRPr="00294814">
              <w:t>0</w:t>
            </w:r>
          </w:p>
        </w:tc>
        <w:tc>
          <w:tcPr>
            <w:tcW w:w="1719" w:type="dxa"/>
          </w:tcPr>
          <w:p w14:paraId="7B3C8125" w14:textId="26114EEE" w:rsidR="00C11F59" w:rsidRDefault="00C11F59" w:rsidP="00C11F59">
            <w:pPr>
              <w:tabs>
                <w:tab w:val="left" w:pos="5400"/>
              </w:tabs>
              <w:spacing w:line="240" w:lineRule="auto"/>
              <w:jc w:val="center"/>
            </w:pPr>
            <w:r w:rsidRPr="00294814">
              <w:t>3</w:t>
            </w:r>
          </w:p>
        </w:tc>
        <w:tc>
          <w:tcPr>
            <w:tcW w:w="1720" w:type="dxa"/>
          </w:tcPr>
          <w:p w14:paraId="5B336DD0" w14:textId="010DBBF5" w:rsidR="00C11F59" w:rsidRDefault="00C11F59" w:rsidP="00C11F59">
            <w:pPr>
              <w:tabs>
                <w:tab w:val="left" w:pos="5400"/>
              </w:tabs>
              <w:spacing w:line="240" w:lineRule="auto"/>
              <w:jc w:val="center"/>
            </w:pPr>
            <w:r w:rsidRPr="00294814">
              <w:t>30</w:t>
            </w:r>
          </w:p>
        </w:tc>
        <w:tc>
          <w:tcPr>
            <w:tcW w:w="1730" w:type="dxa"/>
          </w:tcPr>
          <w:p w14:paraId="5F08AAB0" w14:textId="06F06206" w:rsidR="00C11F59" w:rsidRDefault="00C11F59" w:rsidP="00C11F59">
            <w:pPr>
              <w:tabs>
                <w:tab w:val="left" w:pos="5400"/>
              </w:tabs>
              <w:spacing w:line="240" w:lineRule="auto"/>
              <w:jc w:val="center"/>
            </w:pPr>
            <w:r w:rsidRPr="00294814">
              <w:t>53</w:t>
            </w:r>
          </w:p>
        </w:tc>
      </w:tr>
      <w:tr w:rsidR="00C11F59" w14:paraId="0CB738C4" w14:textId="77777777" w:rsidTr="00C11F59">
        <w:tc>
          <w:tcPr>
            <w:tcW w:w="2604" w:type="dxa"/>
          </w:tcPr>
          <w:p w14:paraId="2A879A90" w14:textId="4EED469D" w:rsidR="00C11F59" w:rsidRDefault="00C11F59" w:rsidP="00C11F59">
            <w:pPr>
              <w:tabs>
                <w:tab w:val="left" w:pos="5400"/>
              </w:tabs>
              <w:spacing w:line="240" w:lineRule="auto"/>
            </w:pPr>
            <w:r w:rsidRPr="00294814">
              <w:t>Other - Non Criminal</w:t>
            </w:r>
          </w:p>
        </w:tc>
        <w:tc>
          <w:tcPr>
            <w:tcW w:w="1720" w:type="dxa"/>
          </w:tcPr>
          <w:p w14:paraId="2F413FB5" w14:textId="7FBAD07B" w:rsidR="00C11F59" w:rsidRDefault="00C11F59" w:rsidP="00C11F59">
            <w:pPr>
              <w:tabs>
                <w:tab w:val="left" w:pos="5400"/>
              </w:tabs>
              <w:spacing w:line="240" w:lineRule="auto"/>
              <w:jc w:val="center"/>
            </w:pPr>
            <w:r w:rsidRPr="00294814">
              <w:t>0</w:t>
            </w:r>
          </w:p>
        </w:tc>
        <w:tc>
          <w:tcPr>
            <w:tcW w:w="1719" w:type="dxa"/>
          </w:tcPr>
          <w:p w14:paraId="7535E1D6" w14:textId="3CDD064E" w:rsidR="00C11F59" w:rsidRDefault="00C11F59" w:rsidP="00C11F59">
            <w:pPr>
              <w:tabs>
                <w:tab w:val="left" w:pos="5400"/>
              </w:tabs>
              <w:spacing w:line="240" w:lineRule="auto"/>
              <w:jc w:val="center"/>
            </w:pPr>
            <w:r w:rsidRPr="00294814">
              <w:t>0</w:t>
            </w:r>
          </w:p>
        </w:tc>
        <w:tc>
          <w:tcPr>
            <w:tcW w:w="1720" w:type="dxa"/>
          </w:tcPr>
          <w:p w14:paraId="2F25BBD7" w14:textId="0647AF7D" w:rsidR="00C11F59" w:rsidRDefault="00C11F59" w:rsidP="00C11F59">
            <w:pPr>
              <w:tabs>
                <w:tab w:val="left" w:pos="5400"/>
              </w:tabs>
              <w:spacing w:line="240" w:lineRule="auto"/>
              <w:jc w:val="center"/>
            </w:pPr>
            <w:r w:rsidRPr="00294814">
              <w:t>2</w:t>
            </w:r>
          </w:p>
        </w:tc>
        <w:tc>
          <w:tcPr>
            <w:tcW w:w="1730" w:type="dxa"/>
          </w:tcPr>
          <w:p w14:paraId="55A3EC90" w14:textId="0723F706" w:rsidR="00C11F59" w:rsidRDefault="00C11F59" w:rsidP="00C11F59">
            <w:pPr>
              <w:tabs>
                <w:tab w:val="left" w:pos="5400"/>
              </w:tabs>
              <w:spacing w:line="240" w:lineRule="auto"/>
              <w:jc w:val="center"/>
            </w:pPr>
            <w:r w:rsidRPr="00294814">
              <w:t>16</w:t>
            </w:r>
          </w:p>
        </w:tc>
      </w:tr>
      <w:tr w:rsidR="00C11F59" w14:paraId="14A2610F" w14:textId="77777777" w:rsidTr="00C11F59">
        <w:tc>
          <w:tcPr>
            <w:tcW w:w="2604" w:type="dxa"/>
          </w:tcPr>
          <w:p w14:paraId="7707342C" w14:textId="09C865E4" w:rsidR="00C11F59" w:rsidRDefault="00C11F59" w:rsidP="00C11F59">
            <w:pPr>
              <w:tabs>
                <w:tab w:val="left" w:pos="5400"/>
              </w:tabs>
              <w:spacing w:line="240" w:lineRule="auto"/>
            </w:pPr>
            <w:r w:rsidRPr="00294814">
              <w:t>Policy/Procedure</w:t>
            </w:r>
          </w:p>
        </w:tc>
        <w:tc>
          <w:tcPr>
            <w:tcW w:w="1720" w:type="dxa"/>
          </w:tcPr>
          <w:p w14:paraId="6A69639C" w14:textId="67F9A4F5" w:rsidR="00C11F59" w:rsidRDefault="00C11F59" w:rsidP="00C11F59">
            <w:pPr>
              <w:tabs>
                <w:tab w:val="left" w:pos="5400"/>
              </w:tabs>
              <w:spacing w:line="240" w:lineRule="auto"/>
              <w:jc w:val="center"/>
            </w:pPr>
            <w:r w:rsidRPr="00294814">
              <w:t>0</w:t>
            </w:r>
          </w:p>
        </w:tc>
        <w:tc>
          <w:tcPr>
            <w:tcW w:w="1719" w:type="dxa"/>
          </w:tcPr>
          <w:p w14:paraId="681F399A" w14:textId="6F3A2FA1" w:rsidR="00C11F59" w:rsidRDefault="00C11F59" w:rsidP="00C11F59">
            <w:pPr>
              <w:tabs>
                <w:tab w:val="left" w:pos="5400"/>
              </w:tabs>
              <w:spacing w:line="240" w:lineRule="auto"/>
              <w:jc w:val="center"/>
            </w:pPr>
            <w:r w:rsidRPr="00294814">
              <w:t>1</w:t>
            </w:r>
          </w:p>
        </w:tc>
        <w:tc>
          <w:tcPr>
            <w:tcW w:w="1720" w:type="dxa"/>
          </w:tcPr>
          <w:p w14:paraId="10F1B24C" w14:textId="26423185" w:rsidR="00C11F59" w:rsidRDefault="00C11F59" w:rsidP="00C11F59">
            <w:pPr>
              <w:tabs>
                <w:tab w:val="left" w:pos="5400"/>
              </w:tabs>
              <w:spacing w:line="240" w:lineRule="auto"/>
              <w:jc w:val="center"/>
            </w:pPr>
            <w:r w:rsidRPr="00294814">
              <w:t>44</w:t>
            </w:r>
          </w:p>
        </w:tc>
        <w:tc>
          <w:tcPr>
            <w:tcW w:w="1730" w:type="dxa"/>
          </w:tcPr>
          <w:p w14:paraId="2351CFEC" w14:textId="547282DF" w:rsidR="00C11F59" w:rsidRDefault="00C11F59" w:rsidP="00C11F59">
            <w:pPr>
              <w:tabs>
                <w:tab w:val="left" w:pos="5400"/>
              </w:tabs>
              <w:spacing w:line="240" w:lineRule="auto"/>
              <w:jc w:val="center"/>
            </w:pPr>
            <w:r w:rsidRPr="00294814">
              <w:t>132</w:t>
            </w:r>
          </w:p>
        </w:tc>
      </w:tr>
      <w:tr w:rsidR="00C11F59" w14:paraId="64A1A3DF" w14:textId="77777777" w:rsidTr="00C11F59">
        <w:tc>
          <w:tcPr>
            <w:tcW w:w="2604" w:type="dxa"/>
          </w:tcPr>
          <w:p w14:paraId="1B0DB8A3" w14:textId="481390C2" w:rsidR="00C11F59" w:rsidRDefault="00C11F59" w:rsidP="00C11F59">
            <w:pPr>
              <w:tabs>
                <w:tab w:val="left" w:pos="5400"/>
              </w:tabs>
              <w:spacing w:line="240" w:lineRule="auto"/>
            </w:pPr>
            <w:r w:rsidRPr="00294814">
              <w:t>Service Delivery</w:t>
            </w:r>
          </w:p>
        </w:tc>
        <w:tc>
          <w:tcPr>
            <w:tcW w:w="1720" w:type="dxa"/>
          </w:tcPr>
          <w:p w14:paraId="7871129D" w14:textId="31A543F6" w:rsidR="00C11F59" w:rsidRDefault="00C11F59" w:rsidP="00C11F59">
            <w:pPr>
              <w:tabs>
                <w:tab w:val="left" w:pos="5400"/>
              </w:tabs>
              <w:spacing w:line="240" w:lineRule="auto"/>
              <w:jc w:val="center"/>
            </w:pPr>
            <w:r w:rsidRPr="00294814">
              <w:t>0</w:t>
            </w:r>
          </w:p>
        </w:tc>
        <w:tc>
          <w:tcPr>
            <w:tcW w:w="1719" w:type="dxa"/>
          </w:tcPr>
          <w:p w14:paraId="24E4033A" w14:textId="2C2CF3E8" w:rsidR="00C11F59" w:rsidRDefault="00C11F59" w:rsidP="00C11F59">
            <w:pPr>
              <w:tabs>
                <w:tab w:val="left" w:pos="5400"/>
              </w:tabs>
              <w:spacing w:line="240" w:lineRule="auto"/>
              <w:jc w:val="center"/>
            </w:pPr>
            <w:r w:rsidRPr="00294814">
              <w:t>0</w:t>
            </w:r>
          </w:p>
        </w:tc>
        <w:tc>
          <w:tcPr>
            <w:tcW w:w="1720" w:type="dxa"/>
          </w:tcPr>
          <w:p w14:paraId="5A5C9B04" w14:textId="5395E651" w:rsidR="00C11F59" w:rsidRDefault="00C11F59" w:rsidP="00C11F59">
            <w:pPr>
              <w:tabs>
                <w:tab w:val="left" w:pos="5400"/>
              </w:tabs>
              <w:spacing w:line="240" w:lineRule="auto"/>
              <w:jc w:val="center"/>
            </w:pPr>
            <w:r w:rsidRPr="00294814">
              <w:t>36</w:t>
            </w:r>
          </w:p>
        </w:tc>
        <w:tc>
          <w:tcPr>
            <w:tcW w:w="1730" w:type="dxa"/>
          </w:tcPr>
          <w:p w14:paraId="2DB3C537" w14:textId="38B1A5DD" w:rsidR="00C11F59" w:rsidRDefault="00C11F59" w:rsidP="00C11F59">
            <w:pPr>
              <w:tabs>
                <w:tab w:val="left" w:pos="5400"/>
              </w:tabs>
              <w:spacing w:line="240" w:lineRule="auto"/>
              <w:jc w:val="center"/>
            </w:pPr>
            <w:r w:rsidRPr="00294814">
              <w:t>98</w:t>
            </w:r>
          </w:p>
        </w:tc>
      </w:tr>
      <w:tr w:rsidR="00C11F59" w14:paraId="3FE8C92F" w14:textId="77777777" w:rsidTr="00C11F59">
        <w:tc>
          <w:tcPr>
            <w:tcW w:w="2604" w:type="dxa"/>
          </w:tcPr>
          <w:p w14:paraId="75826C69" w14:textId="1234F378" w:rsidR="00C11F59" w:rsidRDefault="00C11F59" w:rsidP="00C11F59">
            <w:pPr>
              <w:tabs>
                <w:tab w:val="left" w:pos="5400"/>
              </w:tabs>
              <w:spacing w:line="240" w:lineRule="auto"/>
            </w:pPr>
            <w:r w:rsidRPr="00294814">
              <w:t>Service Outcome</w:t>
            </w:r>
          </w:p>
        </w:tc>
        <w:tc>
          <w:tcPr>
            <w:tcW w:w="1720" w:type="dxa"/>
          </w:tcPr>
          <w:p w14:paraId="2785FAE5" w14:textId="146CF074" w:rsidR="00C11F59" w:rsidRDefault="00C11F59" w:rsidP="00C11F59">
            <w:pPr>
              <w:tabs>
                <w:tab w:val="left" w:pos="5400"/>
              </w:tabs>
              <w:spacing w:line="240" w:lineRule="auto"/>
              <w:jc w:val="center"/>
            </w:pPr>
            <w:r w:rsidRPr="00294814">
              <w:t>0</w:t>
            </w:r>
          </w:p>
        </w:tc>
        <w:tc>
          <w:tcPr>
            <w:tcW w:w="1719" w:type="dxa"/>
          </w:tcPr>
          <w:p w14:paraId="59F6FBAE" w14:textId="32514BE9" w:rsidR="00C11F59" w:rsidRDefault="00C11F59" w:rsidP="00C11F59">
            <w:pPr>
              <w:tabs>
                <w:tab w:val="left" w:pos="5400"/>
              </w:tabs>
              <w:spacing w:line="240" w:lineRule="auto"/>
              <w:jc w:val="center"/>
            </w:pPr>
            <w:r w:rsidRPr="00294814">
              <w:t>3</w:t>
            </w:r>
          </w:p>
        </w:tc>
        <w:tc>
          <w:tcPr>
            <w:tcW w:w="1720" w:type="dxa"/>
          </w:tcPr>
          <w:p w14:paraId="73222FE7" w14:textId="73DA0534" w:rsidR="00C11F59" w:rsidRDefault="00C11F59" w:rsidP="00C11F59">
            <w:pPr>
              <w:tabs>
                <w:tab w:val="left" w:pos="5400"/>
              </w:tabs>
              <w:spacing w:line="240" w:lineRule="auto"/>
              <w:jc w:val="center"/>
            </w:pPr>
            <w:r w:rsidRPr="00294814">
              <w:t>80</w:t>
            </w:r>
          </w:p>
        </w:tc>
        <w:tc>
          <w:tcPr>
            <w:tcW w:w="1730" w:type="dxa"/>
          </w:tcPr>
          <w:p w14:paraId="0194AE21" w14:textId="0E069ABF" w:rsidR="00C11F59" w:rsidRDefault="00C11F59" w:rsidP="00C11F59">
            <w:pPr>
              <w:tabs>
                <w:tab w:val="left" w:pos="5400"/>
              </w:tabs>
              <w:spacing w:line="240" w:lineRule="auto"/>
              <w:jc w:val="center"/>
            </w:pPr>
            <w:r w:rsidRPr="00294814">
              <w:t>141</w:t>
            </w:r>
          </w:p>
        </w:tc>
      </w:tr>
      <w:tr w:rsidR="00C11F59" w14:paraId="28FAADA2" w14:textId="77777777" w:rsidTr="00C11F59">
        <w:tc>
          <w:tcPr>
            <w:tcW w:w="2604" w:type="dxa"/>
          </w:tcPr>
          <w:p w14:paraId="05582623" w14:textId="2E6B58CB" w:rsidR="00C11F59" w:rsidRDefault="00C11F59" w:rsidP="00C11F59">
            <w:pPr>
              <w:tabs>
                <w:tab w:val="left" w:pos="5400"/>
              </w:tabs>
              <w:spacing w:line="240" w:lineRule="auto"/>
            </w:pPr>
            <w:r w:rsidRPr="00294814">
              <w:t>Traffic Irregularity/Offence</w:t>
            </w:r>
          </w:p>
        </w:tc>
        <w:tc>
          <w:tcPr>
            <w:tcW w:w="1720" w:type="dxa"/>
          </w:tcPr>
          <w:p w14:paraId="21BBD240" w14:textId="673A418E" w:rsidR="00C11F59" w:rsidRDefault="00C11F59" w:rsidP="00C11F59">
            <w:pPr>
              <w:tabs>
                <w:tab w:val="left" w:pos="5400"/>
              </w:tabs>
              <w:spacing w:line="240" w:lineRule="auto"/>
              <w:jc w:val="center"/>
            </w:pPr>
            <w:r w:rsidRPr="00294814">
              <w:t>0</w:t>
            </w:r>
          </w:p>
        </w:tc>
        <w:tc>
          <w:tcPr>
            <w:tcW w:w="1719" w:type="dxa"/>
          </w:tcPr>
          <w:p w14:paraId="3D7DAA4E" w14:textId="40F1CE4F" w:rsidR="00C11F59" w:rsidRDefault="00C11F59" w:rsidP="00C11F59">
            <w:pPr>
              <w:tabs>
                <w:tab w:val="left" w:pos="5400"/>
              </w:tabs>
              <w:spacing w:line="240" w:lineRule="auto"/>
              <w:jc w:val="center"/>
            </w:pPr>
            <w:r w:rsidRPr="00294814">
              <w:t>0</w:t>
            </w:r>
          </w:p>
        </w:tc>
        <w:tc>
          <w:tcPr>
            <w:tcW w:w="1720" w:type="dxa"/>
          </w:tcPr>
          <w:p w14:paraId="18FB5000" w14:textId="178491DB" w:rsidR="00C11F59" w:rsidRDefault="00C11F59" w:rsidP="00C11F59">
            <w:pPr>
              <w:tabs>
                <w:tab w:val="left" w:pos="5400"/>
              </w:tabs>
              <w:spacing w:line="240" w:lineRule="auto"/>
              <w:jc w:val="center"/>
            </w:pPr>
            <w:r w:rsidRPr="00294814">
              <w:t>5</w:t>
            </w:r>
          </w:p>
        </w:tc>
        <w:tc>
          <w:tcPr>
            <w:tcW w:w="1730" w:type="dxa"/>
          </w:tcPr>
          <w:p w14:paraId="7C38C56C" w14:textId="53DC3A47" w:rsidR="00C11F59" w:rsidRDefault="00C11F59" w:rsidP="00C11F59">
            <w:pPr>
              <w:tabs>
                <w:tab w:val="left" w:pos="5400"/>
              </w:tabs>
              <w:spacing w:line="240" w:lineRule="auto"/>
              <w:jc w:val="center"/>
            </w:pPr>
            <w:r w:rsidRPr="00294814">
              <w:t>12</w:t>
            </w:r>
          </w:p>
        </w:tc>
      </w:tr>
      <w:tr w:rsidR="00C11F59" w14:paraId="570257BE" w14:textId="77777777" w:rsidTr="00C11F59">
        <w:tc>
          <w:tcPr>
            <w:tcW w:w="2604" w:type="dxa"/>
          </w:tcPr>
          <w:p w14:paraId="3C0CB2F4" w14:textId="42B486B7" w:rsidR="00C11F59" w:rsidRDefault="00C11F59" w:rsidP="00C11F59">
            <w:pPr>
              <w:tabs>
                <w:tab w:val="left" w:pos="5400"/>
              </w:tabs>
              <w:spacing w:line="240" w:lineRule="auto"/>
            </w:pPr>
            <w:r w:rsidRPr="00294814">
              <w:t>Unlawful/Unnecessary Arrest or Detention</w:t>
            </w:r>
          </w:p>
        </w:tc>
        <w:tc>
          <w:tcPr>
            <w:tcW w:w="1720" w:type="dxa"/>
          </w:tcPr>
          <w:p w14:paraId="4E3A1AB3" w14:textId="22A0FAEA" w:rsidR="00C11F59" w:rsidRDefault="00C11F59" w:rsidP="00C11F59">
            <w:pPr>
              <w:tabs>
                <w:tab w:val="left" w:pos="5400"/>
              </w:tabs>
              <w:spacing w:line="240" w:lineRule="auto"/>
              <w:jc w:val="center"/>
            </w:pPr>
            <w:r w:rsidRPr="00294814">
              <w:t>0</w:t>
            </w:r>
          </w:p>
        </w:tc>
        <w:tc>
          <w:tcPr>
            <w:tcW w:w="1719" w:type="dxa"/>
          </w:tcPr>
          <w:p w14:paraId="261F19A0" w14:textId="14C6B415" w:rsidR="00C11F59" w:rsidRDefault="00C11F59" w:rsidP="00C11F59">
            <w:pPr>
              <w:tabs>
                <w:tab w:val="left" w:pos="5400"/>
              </w:tabs>
              <w:spacing w:line="240" w:lineRule="auto"/>
              <w:jc w:val="center"/>
            </w:pPr>
            <w:r w:rsidRPr="00294814">
              <w:t>2</w:t>
            </w:r>
          </w:p>
        </w:tc>
        <w:tc>
          <w:tcPr>
            <w:tcW w:w="1720" w:type="dxa"/>
          </w:tcPr>
          <w:p w14:paraId="1226C560" w14:textId="25F751A3" w:rsidR="00C11F59" w:rsidRDefault="00C11F59" w:rsidP="00C11F59">
            <w:pPr>
              <w:tabs>
                <w:tab w:val="left" w:pos="5400"/>
              </w:tabs>
              <w:spacing w:line="240" w:lineRule="auto"/>
              <w:jc w:val="center"/>
            </w:pPr>
            <w:r w:rsidRPr="00294814">
              <w:t>11</w:t>
            </w:r>
          </w:p>
        </w:tc>
        <w:tc>
          <w:tcPr>
            <w:tcW w:w="1730" w:type="dxa"/>
          </w:tcPr>
          <w:p w14:paraId="746EBAD4" w14:textId="1C03A30C" w:rsidR="00C11F59" w:rsidRDefault="00C11F59" w:rsidP="00C11F59">
            <w:pPr>
              <w:tabs>
                <w:tab w:val="left" w:pos="5400"/>
              </w:tabs>
              <w:spacing w:line="240" w:lineRule="auto"/>
              <w:jc w:val="center"/>
            </w:pPr>
            <w:r w:rsidRPr="00294814">
              <w:t>25</w:t>
            </w:r>
          </w:p>
        </w:tc>
      </w:tr>
      <w:tr w:rsidR="00C11F59" w14:paraId="77714372" w14:textId="77777777" w:rsidTr="00C11F59">
        <w:tc>
          <w:tcPr>
            <w:tcW w:w="2604" w:type="dxa"/>
          </w:tcPr>
          <w:p w14:paraId="58D0AE73" w14:textId="5292CC1D" w:rsidR="00C11F59" w:rsidRPr="00C11F59" w:rsidRDefault="00C11F59" w:rsidP="00C11F59">
            <w:pPr>
              <w:tabs>
                <w:tab w:val="left" w:pos="5400"/>
              </w:tabs>
              <w:spacing w:line="240" w:lineRule="auto"/>
              <w:rPr>
                <w:b/>
                <w:bCs/>
              </w:rPr>
            </w:pPr>
            <w:r w:rsidRPr="00C11F59">
              <w:rPr>
                <w:b/>
                <w:bCs/>
              </w:rPr>
              <w:t>Grand Total</w:t>
            </w:r>
          </w:p>
        </w:tc>
        <w:tc>
          <w:tcPr>
            <w:tcW w:w="1720" w:type="dxa"/>
          </w:tcPr>
          <w:p w14:paraId="58C14E9D" w14:textId="64AD5CAF" w:rsidR="00C11F59" w:rsidRPr="00C11F59" w:rsidRDefault="00C11F59" w:rsidP="00C11F59">
            <w:pPr>
              <w:tabs>
                <w:tab w:val="left" w:pos="5400"/>
              </w:tabs>
              <w:spacing w:line="240" w:lineRule="auto"/>
              <w:jc w:val="center"/>
              <w:rPr>
                <w:b/>
                <w:bCs/>
              </w:rPr>
            </w:pPr>
            <w:r w:rsidRPr="00C11F59">
              <w:rPr>
                <w:b/>
                <w:bCs/>
              </w:rPr>
              <w:t>5</w:t>
            </w:r>
          </w:p>
        </w:tc>
        <w:tc>
          <w:tcPr>
            <w:tcW w:w="1719" w:type="dxa"/>
          </w:tcPr>
          <w:p w14:paraId="0AF1B8E7" w14:textId="69C991D8" w:rsidR="00C11F59" w:rsidRPr="00C11F59" w:rsidRDefault="00C11F59" w:rsidP="00C11F59">
            <w:pPr>
              <w:tabs>
                <w:tab w:val="left" w:pos="5400"/>
              </w:tabs>
              <w:spacing w:line="240" w:lineRule="auto"/>
              <w:jc w:val="center"/>
              <w:rPr>
                <w:b/>
                <w:bCs/>
              </w:rPr>
            </w:pPr>
            <w:r w:rsidRPr="00C11F59">
              <w:rPr>
                <w:b/>
                <w:bCs/>
              </w:rPr>
              <w:t>33</w:t>
            </w:r>
          </w:p>
        </w:tc>
        <w:tc>
          <w:tcPr>
            <w:tcW w:w="1720" w:type="dxa"/>
          </w:tcPr>
          <w:p w14:paraId="764F1D8D" w14:textId="74ECF75D" w:rsidR="00C11F59" w:rsidRPr="00C11F59" w:rsidRDefault="00C11F59" w:rsidP="00C11F59">
            <w:pPr>
              <w:tabs>
                <w:tab w:val="left" w:pos="5400"/>
              </w:tabs>
              <w:spacing w:line="240" w:lineRule="auto"/>
              <w:jc w:val="center"/>
              <w:rPr>
                <w:b/>
                <w:bCs/>
              </w:rPr>
            </w:pPr>
            <w:r w:rsidRPr="00C11F59">
              <w:rPr>
                <w:b/>
                <w:bCs/>
              </w:rPr>
              <w:t>868</w:t>
            </w:r>
          </w:p>
        </w:tc>
        <w:tc>
          <w:tcPr>
            <w:tcW w:w="1730" w:type="dxa"/>
          </w:tcPr>
          <w:p w14:paraId="542DADCC" w14:textId="41DA9A34" w:rsidR="00C11F59" w:rsidRPr="00C11F59" w:rsidRDefault="00C11F59" w:rsidP="00C11F59">
            <w:pPr>
              <w:tabs>
                <w:tab w:val="left" w:pos="5400"/>
              </w:tabs>
              <w:spacing w:line="240" w:lineRule="auto"/>
              <w:jc w:val="center"/>
              <w:rPr>
                <w:b/>
                <w:bCs/>
              </w:rPr>
            </w:pPr>
            <w:r w:rsidRPr="00C11F59">
              <w:rPr>
                <w:b/>
                <w:bCs/>
              </w:rPr>
              <w:t>2,014</w:t>
            </w:r>
          </w:p>
        </w:tc>
      </w:tr>
    </w:tbl>
    <w:p w14:paraId="23F48168" w14:textId="77777777" w:rsidR="00C11F59" w:rsidRDefault="00C11F59" w:rsidP="00C11F59">
      <w:r w:rsidRPr="00C11F59">
        <w:t xml:space="preserve">Data is based on the case received date. </w:t>
      </w:r>
    </w:p>
    <w:p w14:paraId="7F200D40" w14:textId="77777777" w:rsidR="00C11F59" w:rsidRDefault="00C11F59" w:rsidP="00C11F59">
      <w:r w:rsidRPr="00C11F59">
        <w:t>Each complaint may involve multiple allegations, therefore the number of allegations may vary from the number of complaints</w:t>
      </w:r>
      <w:r>
        <w:t>.</w:t>
      </w:r>
    </w:p>
    <w:p w14:paraId="39B6ADD6" w14:textId="7305DFDD" w:rsidR="00C11F59" w:rsidRPr="00C11F59" w:rsidRDefault="00C11F59" w:rsidP="00C11F59">
      <w:r w:rsidRPr="00C11F59">
        <w:t xml:space="preserve">Data for 2025 covers the period of 01/01/2025 – 22/09/2025 </w:t>
      </w:r>
      <w:r w:rsidR="00946164">
        <w:t>(</w:t>
      </w:r>
      <w:r w:rsidRPr="00C11F59">
        <w:t>inclusive</w:t>
      </w:r>
      <w:r w:rsidR="00946164">
        <w:t>)</w:t>
      </w:r>
      <w:r w:rsidRPr="00C11F59">
        <w:t xml:space="preserve">.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70E46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00D4CE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92426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6BADFD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D1A6A1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A9CD2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120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E6D67"/>
    <w:multiLevelType w:val="hybridMultilevel"/>
    <w:tmpl w:val="2462411C"/>
    <w:lvl w:ilvl="0" w:tplc="08090001">
      <w:start w:val="1"/>
      <w:numFmt w:val="bullet"/>
      <w:lvlText w:val=""/>
      <w:lvlJc w:val="left"/>
      <w:pPr>
        <w:ind w:left="720" w:hanging="360"/>
      </w:pPr>
      <w:rPr>
        <w:rFonts w:ascii="Symbol" w:hAnsi="Symbol" w:hint="default"/>
      </w:rPr>
    </w:lvl>
    <w:lvl w:ilvl="1" w:tplc="5EF8DC54">
      <w:start w:val="3"/>
      <w:numFmt w:val="bullet"/>
      <w:lvlText w:val="-"/>
      <w:lvlJc w:val="left"/>
      <w:pPr>
        <w:ind w:left="6480" w:hanging="540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F0055D"/>
    <w:multiLevelType w:val="hybridMultilevel"/>
    <w:tmpl w:val="F154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2071230142">
    <w:abstractNumId w:val="0"/>
  </w:num>
  <w:num w:numId="3" w16cid:durableId="6063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44C"/>
    <w:rsid w:val="00090F3B"/>
    <w:rsid w:val="000E2F19"/>
    <w:rsid w:val="000E43FF"/>
    <w:rsid w:val="000E6526"/>
    <w:rsid w:val="00141533"/>
    <w:rsid w:val="00167528"/>
    <w:rsid w:val="0018153E"/>
    <w:rsid w:val="00184727"/>
    <w:rsid w:val="00195CC4"/>
    <w:rsid w:val="001D21F2"/>
    <w:rsid w:val="001F2261"/>
    <w:rsid w:val="00207326"/>
    <w:rsid w:val="00253DF6"/>
    <w:rsid w:val="00255F1E"/>
    <w:rsid w:val="00260FBC"/>
    <w:rsid w:val="0036503B"/>
    <w:rsid w:val="00376A4A"/>
    <w:rsid w:val="00381234"/>
    <w:rsid w:val="003D6D03"/>
    <w:rsid w:val="003E12CA"/>
    <w:rsid w:val="004010DC"/>
    <w:rsid w:val="00416C15"/>
    <w:rsid w:val="004341F0"/>
    <w:rsid w:val="00456324"/>
    <w:rsid w:val="00475460"/>
    <w:rsid w:val="00490317"/>
    <w:rsid w:val="00491644"/>
    <w:rsid w:val="00496A08"/>
    <w:rsid w:val="004E1605"/>
    <w:rsid w:val="004F653C"/>
    <w:rsid w:val="00540A52"/>
    <w:rsid w:val="00557306"/>
    <w:rsid w:val="005E4251"/>
    <w:rsid w:val="006029D9"/>
    <w:rsid w:val="0060390B"/>
    <w:rsid w:val="006312F3"/>
    <w:rsid w:val="00645CFA"/>
    <w:rsid w:val="00685219"/>
    <w:rsid w:val="006D5799"/>
    <w:rsid w:val="007440EA"/>
    <w:rsid w:val="00750D83"/>
    <w:rsid w:val="00785DBC"/>
    <w:rsid w:val="00793DD5"/>
    <w:rsid w:val="007D55F6"/>
    <w:rsid w:val="007E5CB4"/>
    <w:rsid w:val="007F490F"/>
    <w:rsid w:val="0086779C"/>
    <w:rsid w:val="00874BFD"/>
    <w:rsid w:val="0089120D"/>
    <w:rsid w:val="008964EF"/>
    <w:rsid w:val="00915E01"/>
    <w:rsid w:val="0093207F"/>
    <w:rsid w:val="00946164"/>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1F59"/>
    <w:rsid w:val="00C14FF4"/>
    <w:rsid w:val="00C1679F"/>
    <w:rsid w:val="00C606A2"/>
    <w:rsid w:val="00C63872"/>
    <w:rsid w:val="00C84948"/>
    <w:rsid w:val="00C94ED8"/>
    <w:rsid w:val="00CE09FA"/>
    <w:rsid w:val="00CF1111"/>
    <w:rsid w:val="00CF61B0"/>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89120D"/>
    <w:rPr>
      <w:color w:val="954F72" w:themeColor="followedHyperlink"/>
      <w:u w:val="single"/>
    </w:rPr>
  </w:style>
  <w:style w:type="character" w:styleId="UnresolvedMention">
    <w:name w:val="Unresolved Mention"/>
    <w:basedOn w:val="DefaultParagraphFont"/>
    <w:uiPriority w:val="99"/>
    <w:semiHidden/>
    <w:unhideWhenUsed/>
    <w:rsid w:val="0089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7447">
      <w:bodyDiv w:val="1"/>
      <w:marLeft w:val="0"/>
      <w:marRight w:val="0"/>
      <w:marTop w:val="0"/>
      <w:marBottom w:val="0"/>
      <w:divBdr>
        <w:top w:val="none" w:sz="0" w:space="0" w:color="auto"/>
        <w:left w:val="none" w:sz="0" w:space="0" w:color="auto"/>
        <w:bottom w:val="none" w:sz="0" w:space="0" w:color="auto"/>
        <w:right w:val="none" w:sz="0" w:space="0" w:color="auto"/>
      </w:divBdr>
    </w:div>
    <w:div w:id="419445730">
      <w:bodyDiv w:val="1"/>
      <w:marLeft w:val="0"/>
      <w:marRight w:val="0"/>
      <w:marTop w:val="0"/>
      <w:marBottom w:val="0"/>
      <w:divBdr>
        <w:top w:val="none" w:sz="0" w:space="0" w:color="auto"/>
        <w:left w:val="none" w:sz="0" w:space="0" w:color="auto"/>
        <w:bottom w:val="none" w:sz="0" w:space="0" w:color="auto"/>
        <w:right w:val="none" w:sz="0" w:space="0" w:color="auto"/>
      </w:divBdr>
    </w:div>
    <w:div w:id="555357995">
      <w:bodyDiv w:val="1"/>
      <w:marLeft w:val="0"/>
      <w:marRight w:val="0"/>
      <w:marTop w:val="0"/>
      <w:marBottom w:val="0"/>
      <w:divBdr>
        <w:top w:val="none" w:sz="0" w:space="0" w:color="auto"/>
        <w:left w:val="none" w:sz="0" w:space="0" w:color="auto"/>
        <w:bottom w:val="none" w:sz="0" w:space="0" w:color="auto"/>
        <w:right w:val="none" w:sz="0" w:space="0" w:color="auto"/>
      </w:divBdr>
    </w:div>
    <w:div w:id="1114254612">
      <w:bodyDiv w:val="1"/>
      <w:marLeft w:val="0"/>
      <w:marRight w:val="0"/>
      <w:marTop w:val="0"/>
      <w:marBottom w:val="0"/>
      <w:divBdr>
        <w:top w:val="none" w:sz="0" w:space="0" w:color="auto"/>
        <w:left w:val="none" w:sz="0" w:space="0" w:color="auto"/>
        <w:bottom w:val="none" w:sz="0" w:space="0" w:color="auto"/>
        <w:right w:val="none" w:sz="0" w:space="0" w:color="auto"/>
      </w:divBdr>
    </w:div>
    <w:div w:id="1699888047">
      <w:bodyDiv w:val="1"/>
      <w:marLeft w:val="0"/>
      <w:marRight w:val="0"/>
      <w:marTop w:val="0"/>
      <w:marBottom w:val="0"/>
      <w:divBdr>
        <w:top w:val="none" w:sz="0" w:space="0" w:color="auto"/>
        <w:left w:val="none" w:sz="0" w:space="0" w:color="auto"/>
        <w:bottom w:val="none" w:sz="0" w:space="0" w:color="auto"/>
        <w:right w:val="none" w:sz="0" w:space="0" w:color="auto"/>
      </w:divBdr>
    </w:div>
    <w:div w:id="176202268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who-we-are/our-standards-of-professional-behaviour/" TargetMode="External"/><Relationship Id="rId18" Type="http://schemas.openxmlformats.org/officeDocument/2006/relationships/hyperlink" Target="mailto:enquiries@foi.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7" Type="http://schemas.openxmlformats.org/officeDocument/2006/relationships/hyperlink" Target="https://www.foi.scot/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ssi/2014/68/contents/made"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cotland.police.uk/spa-media/lgyddvsi/complaints-about-the-police-sop.doc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cotland.police.uk/access-to-information/freedom-of-information/disclosure-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lgyddvsi/complaints-about-the-police-sop.doc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901</Words>
  <Characters>5140</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2025-10-16T13:15:00Z</dcterms:created>
  <dcterms:modified xsi:type="dcterms:W3CDTF">2025-10-22T20:16:00Z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