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60EAFAF" w:rsidR="00B17211" w:rsidRPr="00B17211" w:rsidRDefault="00B17211" w:rsidP="007F490F">
            <w:r w:rsidRPr="007F490F">
              <w:rPr>
                <w:rStyle w:val="Heading2Char"/>
              </w:rPr>
              <w:t>Our reference:</w:t>
            </w:r>
            <w:r>
              <w:t xml:space="preserve">  FOI 2</w:t>
            </w:r>
            <w:r w:rsidR="00EF0FBB">
              <w:t>5</w:t>
            </w:r>
            <w:r>
              <w:t>-</w:t>
            </w:r>
            <w:r w:rsidR="00883F7A">
              <w:t>3497</w:t>
            </w:r>
          </w:p>
          <w:p w14:paraId="34BDABA6" w14:textId="0F929D1C" w:rsidR="00B17211" w:rsidRDefault="00456324" w:rsidP="00EE2373">
            <w:r w:rsidRPr="007F490F">
              <w:rPr>
                <w:rStyle w:val="Heading2Char"/>
              </w:rPr>
              <w:t>Respon</w:t>
            </w:r>
            <w:r w:rsidR="007D55F6">
              <w:rPr>
                <w:rStyle w:val="Heading2Char"/>
              </w:rPr>
              <w:t>ded to:</w:t>
            </w:r>
            <w:r w:rsidR="007F490F">
              <w:t xml:space="preserve">  </w:t>
            </w:r>
            <w:r w:rsidR="00975704">
              <w:t>01 December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00BB4C53" w14:textId="77777777" w:rsidR="00A10155" w:rsidRPr="00A10155" w:rsidRDefault="00A10155" w:rsidP="00A10155">
      <w:pPr>
        <w:tabs>
          <w:tab w:val="left" w:pos="5400"/>
        </w:tabs>
        <w:rPr>
          <w:rFonts w:eastAsiaTheme="majorEastAsia" w:cstheme="majorBidi"/>
          <w:b/>
          <w:color w:val="000000" w:themeColor="text1"/>
          <w:szCs w:val="26"/>
        </w:rPr>
      </w:pPr>
      <w:r w:rsidRPr="00A10155">
        <w:rPr>
          <w:rFonts w:eastAsiaTheme="majorEastAsia" w:cstheme="majorBidi"/>
          <w:b/>
          <w:color w:val="000000" w:themeColor="text1"/>
          <w:szCs w:val="26"/>
        </w:rPr>
        <w:t>1. The total number of SARs received by Police Scotland in each month from January 2023 to the most recent complete month available.</w:t>
      </w:r>
    </w:p>
    <w:p w14:paraId="2C6BB404" w14:textId="3835FE9A" w:rsidR="00A10155" w:rsidRPr="0059375B" w:rsidRDefault="0059375B" w:rsidP="00A10155">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The table below details Subject Access Requests (SARs) received by </w:t>
      </w:r>
      <w:r w:rsidRPr="0059375B">
        <w:rPr>
          <w:rFonts w:eastAsiaTheme="majorEastAsia" w:cstheme="majorBidi"/>
          <w:bCs/>
          <w:color w:val="000000" w:themeColor="text1"/>
          <w:szCs w:val="26"/>
        </w:rPr>
        <w:t>Police Scotland</w:t>
      </w:r>
      <w:r>
        <w:rPr>
          <w:rFonts w:eastAsiaTheme="majorEastAsia" w:cstheme="majorBidi"/>
          <w:bCs/>
          <w:color w:val="000000" w:themeColor="text1"/>
          <w:szCs w:val="26"/>
        </w:rPr>
        <w:t>, broken down by month:</w:t>
      </w:r>
    </w:p>
    <w:tbl>
      <w:tblPr>
        <w:tblStyle w:val="TableGrid"/>
        <w:tblW w:w="0" w:type="auto"/>
        <w:tblLook w:val="04A0" w:firstRow="1" w:lastRow="0" w:firstColumn="1" w:lastColumn="0" w:noHBand="0" w:noVBand="1"/>
      </w:tblPr>
      <w:tblGrid>
        <w:gridCol w:w="2407"/>
        <w:gridCol w:w="2407"/>
        <w:gridCol w:w="2407"/>
        <w:gridCol w:w="2407"/>
      </w:tblGrid>
      <w:tr w:rsidR="0059375B" w14:paraId="312AD96E" w14:textId="77777777" w:rsidTr="0059375B">
        <w:tc>
          <w:tcPr>
            <w:tcW w:w="2407" w:type="dxa"/>
            <w:shd w:val="clear" w:color="auto" w:fill="D9D9D9" w:themeFill="background1" w:themeFillShade="D9"/>
          </w:tcPr>
          <w:p w14:paraId="3B338753" w14:textId="349AA688" w:rsidR="0059375B" w:rsidRDefault="0059375B" w:rsidP="0059375B">
            <w:pPr>
              <w:tabs>
                <w:tab w:val="left" w:pos="5400"/>
              </w:tabs>
              <w:spacing w:line="240" w:lineRule="auto"/>
              <w:rPr>
                <w:rFonts w:eastAsiaTheme="majorEastAsia" w:cstheme="majorBidi"/>
                <w:b/>
                <w:color w:val="000000" w:themeColor="text1"/>
                <w:szCs w:val="26"/>
              </w:rPr>
            </w:pPr>
            <w:r>
              <w:rPr>
                <w:rFonts w:eastAsiaTheme="majorEastAsia" w:cstheme="majorBidi"/>
                <w:b/>
                <w:color w:val="000000" w:themeColor="text1"/>
                <w:szCs w:val="26"/>
              </w:rPr>
              <w:t>Year/ Month</w:t>
            </w:r>
          </w:p>
        </w:tc>
        <w:tc>
          <w:tcPr>
            <w:tcW w:w="2407" w:type="dxa"/>
            <w:shd w:val="clear" w:color="auto" w:fill="D9D9D9" w:themeFill="background1" w:themeFillShade="D9"/>
          </w:tcPr>
          <w:p w14:paraId="42DB3F1D" w14:textId="62974BA5" w:rsidR="0059375B" w:rsidRDefault="0059375B" w:rsidP="0059375B">
            <w:pPr>
              <w:tabs>
                <w:tab w:val="left" w:pos="5400"/>
              </w:tabs>
              <w:spacing w:line="240" w:lineRule="auto"/>
              <w:rPr>
                <w:rFonts w:eastAsiaTheme="majorEastAsia" w:cstheme="majorBidi"/>
                <w:b/>
                <w:color w:val="000000" w:themeColor="text1"/>
                <w:szCs w:val="26"/>
              </w:rPr>
            </w:pPr>
            <w:r>
              <w:rPr>
                <w:rFonts w:eastAsiaTheme="majorEastAsia" w:cstheme="majorBidi"/>
                <w:b/>
                <w:color w:val="000000" w:themeColor="text1"/>
                <w:szCs w:val="26"/>
              </w:rPr>
              <w:t>2023</w:t>
            </w:r>
          </w:p>
        </w:tc>
        <w:tc>
          <w:tcPr>
            <w:tcW w:w="2407" w:type="dxa"/>
            <w:shd w:val="clear" w:color="auto" w:fill="D9D9D9" w:themeFill="background1" w:themeFillShade="D9"/>
          </w:tcPr>
          <w:p w14:paraId="70110BB5" w14:textId="4D2FCB00" w:rsidR="0059375B" w:rsidRDefault="0059375B" w:rsidP="0059375B">
            <w:pPr>
              <w:tabs>
                <w:tab w:val="left" w:pos="5400"/>
              </w:tabs>
              <w:spacing w:line="240" w:lineRule="auto"/>
              <w:rPr>
                <w:rFonts w:eastAsiaTheme="majorEastAsia" w:cstheme="majorBidi"/>
                <w:b/>
                <w:color w:val="000000" w:themeColor="text1"/>
                <w:szCs w:val="26"/>
              </w:rPr>
            </w:pPr>
            <w:r>
              <w:rPr>
                <w:rFonts w:eastAsiaTheme="majorEastAsia" w:cstheme="majorBidi"/>
                <w:b/>
                <w:color w:val="000000" w:themeColor="text1"/>
                <w:szCs w:val="26"/>
              </w:rPr>
              <w:t>2024</w:t>
            </w:r>
          </w:p>
        </w:tc>
        <w:tc>
          <w:tcPr>
            <w:tcW w:w="2407" w:type="dxa"/>
            <w:shd w:val="clear" w:color="auto" w:fill="D9D9D9" w:themeFill="background1" w:themeFillShade="D9"/>
          </w:tcPr>
          <w:p w14:paraId="58FB063B" w14:textId="495FFDE4" w:rsidR="0059375B" w:rsidRDefault="0059375B" w:rsidP="0059375B">
            <w:pPr>
              <w:tabs>
                <w:tab w:val="left" w:pos="5400"/>
              </w:tabs>
              <w:spacing w:line="240" w:lineRule="auto"/>
              <w:rPr>
                <w:rFonts w:eastAsiaTheme="majorEastAsia" w:cstheme="majorBidi"/>
                <w:b/>
                <w:color w:val="000000" w:themeColor="text1"/>
                <w:szCs w:val="26"/>
              </w:rPr>
            </w:pPr>
            <w:r>
              <w:rPr>
                <w:rFonts w:eastAsiaTheme="majorEastAsia" w:cstheme="majorBidi"/>
                <w:b/>
                <w:color w:val="000000" w:themeColor="text1"/>
                <w:szCs w:val="26"/>
              </w:rPr>
              <w:t>2025</w:t>
            </w:r>
          </w:p>
        </w:tc>
      </w:tr>
      <w:tr w:rsidR="00D64753" w14:paraId="56756DD9" w14:textId="77777777" w:rsidTr="0059375B">
        <w:tc>
          <w:tcPr>
            <w:tcW w:w="2407" w:type="dxa"/>
          </w:tcPr>
          <w:p w14:paraId="53E41C30" w14:textId="773C82C9" w:rsidR="00D64753" w:rsidRPr="0059375B" w:rsidRDefault="00D64753" w:rsidP="00D64753">
            <w:pPr>
              <w:tabs>
                <w:tab w:val="left" w:pos="5400"/>
              </w:tabs>
              <w:spacing w:line="240" w:lineRule="auto"/>
              <w:rPr>
                <w:rFonts w:eastAsiaTheme="majorEastAsia" w:cstheme="majorBidi"/>
                <w:bCs/>
                <w:color w:val="000000" w:themeColor="text1"/>
                <w:szCs w:val="26"/>
              </w:rPr>
            </w:pPr>
            <w:r w:rsidRPr="0059375B">
              <w:rPr>
                <w:rFonts w:eastAsiaTheme="majorEastAsia" w:cstheme="majorBidi"/>
                <w:bCs/>
                <w:color w:val="000000" w:themeColor="text1"/>
                <w:szCs w:val="26"/>
              </w:rPr>
              <w:t xml:space="preserve">January </w:t>
            </w:r>
          </w:p>
        </w:tc>
        <w:tc>
          <w:tcPr>
            <w:tcW w:w="2407" w:type="dxa"/>
          </w:tcPr>
          <w:p w14:paraId="711A455C" w14:textId="0A276D22" w:rsidR="00D64753" w:rsidRPr="0059375B" w:rsidRDefault="00D64753" w:rsidP="00D64753">
            <w:pPr>
              <w:tabs>
                <w:tab w:val="left" w:pos="5400"/>
              </w:tabs>
              <w:spacing w:line="240" w:lineRule="auto"/>
              <w:rPr>
                <w:rFonts w:eastAsiaTheme="majorEastAsia" w:cstheme="majorBidi"/>
                <w:bCs/>
                <w:color w:val="000000" w:themeColor="text1"/>
                <w:szCs w:val="26"/>
              </w:rPr>
            </w:pPr>
            <w:r w:rsidRPr="004B22F0">
              <w:t>579</w:t>
            </w:r>
          </w:p>
        </w:tc>
        <w:tc>
          <w:tcPr>
            <w:tcW w:w="2407" w:type="dxa"/>
          </w:tcPr>
          <w:p w14:paraId="17E3D828" w14:textId="6FAFD178" w:rsidR="00D64753" w:rsidRPr="0059375B" w:rsidRDefault="00D64753" w:rsidP="00D64753">
            <w:pPr>
              <w:tabs>
                <w:tab w:val="left" w:pos="5400"/>
              </w:tabs>
              <w:spacing w:line="240" w:lineRule="auto"/>
              <w:rPr>
                <w:rFonts w:eastAsiaTheme="majorEastAsia" w:cstheme="majorBidi"/>
                <w:bCs/>
                <w:color w:val="000000" w:themeColor="text1"/>
                <w:szCs w:val="26"/>
              </w:rPr>
            </w:pPr>
            <w:r w:rsidRPr="00B0791D">
              <w:t>662</w:t>
            </w:r>
          </w:p>
        </w:tc>
        <w:tc>
          <w:tcPr>
            <w:tcW w:w="2407" w:type="dxa"/>
          </w:tcPr>
          <w:p w14:paraId="1AE82238" w14:textId="53AE3221" w:rsidR="00D64753" w:rsidRPr="0059375B" w:rsidRDefault="00D64753" w:rsidP="00D64753">
            <w:pPr>
              <w:tabs>
                <w:tab w:val="left" w:pos="5400"/>
              </w:tabs>
              <w:spacing w:line="240" w:lineRule="auto"/>
              <w:rPr>
                <w:rFonts w:eastAsiaTheme="majorEastAsia" w:cstheme="majorBidi"/>
                <w:bCs/>
                <w:color w:val="000000" w:themeColor="text1"/>
                <w:szCs w:val="26"/>
              </w:rPr>
            </w:pPr>
            <w:r w:rsidRPr="000D3E46">
              <w:t>804</w:t>
            </w:r>
          </w:p>
        </w:tc>
      </w:tr>
      <w:tr w:rsidR="00D64753" w14:paraId="593CB260" w14:textId="77777777" w:rsidTr="0059375B">
        <w:tc>
          <w:tcPr>
            <w:tcW w:w="2407" w:type="dxa"/>
          </w:tcPr>
          <w:p w14:paraId="7203FDD0" w14:textId="48379A63" w:rsidR="00D64753" w:rsidRPr="0059375B" w:rsidRDefault="00D64753" w:rsidP="00D64753">
            <w:pPr>
              <w:tabs>
                <w:tab w:val="left" w:pos="5400"/>
              </w:tabs>
              <w:spacing w:line="240" w:lineRule="auto"/>
              <w:rPr>
                <w:rFonts w:eastAsiaTheme="majorEastAsia" w:cstheme="majorBidi"/>
                <w:bCs/>
                <w:color w:val="000000" w:themeColor="text1"/>
                <w:szCs w:val="26"/>
              </w:rPr>
            </w:pPr>
            <w:r w:rsidRPr="0059375B">
              <w:rPr>
                <w:rFonts w:eastAsiaTheme="majorEastAsia" w:cstheme="majorBidi"/>
                <w:bCs/>
                <w:color w:val="000000" w:themeColor="text1"/>
                <w:szCs w:val="26"/>
              </w:rPr>
              <w:t>February</w:t>
            </w:r>
          </w:p>
        </w:tc>
        <w:tc>
          <w:tcPr>
            <w:tcW w:w="2407" w:type="dxa"/>
          </w:tcPr>
          <w:p w14:paraId="1E2D088E" w14:textId="259257B7" w:rsidR="00D64753" w:rsidRPr="0059375B" w:rsidRDefault="00D64753" w:rsidP="00D64753">
            <w:pPr>
              <w:tabs>
                <w:tab w:val="left" w:pos="5400"/>
              </w:tabs>
              <w:spacing w:line="240" w:lineRule="auto"/>
              <w:rPr>
                <w:rFonts w:eastAsiaTheme="majorEastAsia" w:cstheme="majorBidi"/>
                <w:bCs/>
                <w:color w:val="000000" w:themeColor="text1"/>
                <w:szCs w:val="26"/>
              </w:rPr>
            </w:pPr>
            <w:r w:rsidRPr="004B22F0">
              <w:t>601</w:t>
            </w:r>
          </w:p>
        </w:tc>
        <w:tc>
          <w:tcPr>
            <w:tcW w:w="2407" w:type="dxa"/>
          </w:tcPr>
          <w:p w14:paraId="40ADE9F5" w14:textId="4703CFB2" w:rsidR="00D64753" w:rsidRPr="0059375B" w:rsidRDefault="00D64753" w:rsidP="00D64753">
            <w:pPr>
              <w:tabs>
                <w:tab w:val="left" w:pos="5400"/>
              </w:tabs>
              <w:spacing w:line="240" w:lineRule="auto"/>
              <w:rPr>
                <w:rFonts w:eastAsiaTheme="majorEastAsia" w:cstheme="majorBidi"/>
                <w:bCs/>
                <w:color w:val="000000" w:themeColor="text1"/>
                <w:szCs w:val="26"/>
              </w:rPr>
            </w:pPr>
            <w:r w:rsidRPr="00B0791D">
              <w:t>619</w:t>
            </w:r>
          </w:p>
        </w:tc>
        <w:tc>
          <w:tcPr>
            <w:tcW w:w="2407" w:type="dxa"/>
          </w:tcPr>
          <w:p w14:paraId="6AF52296" w14:textId="5CC5F574" w:rsidR="00D64753" w:rsidRPr="0059375B" w:rsidRDefault="00D64753" w:rsidP="00D64753">
            <w:pPr>
              <w:tabs>
                <w:tab w:val="left" w:pos="5400"/>
              </w:tabs>
              <w:spacing w:line="240" w:lineRule="auto"/>
              <w:rPr>
                <w:rFonts w:eastAsiaTheme="majorEastAsia" w:cstheme="majorBidi"/>
                <w:bCs/>
                <w:color w:val="000000" w:themeColor="text1"/>
                <w:szCs w:val="26"/>
              </w:rPr>
            </w:pPr>
            <w:r w:rsidRPr="000D3E46">
              <w:t>794</w:t>
            </w:r>
          </w:p>
        </w:tc>
      </w:tr>
      <w:tr w:rsidR="00D64753" w14:paraId="6988BA03" w14:textId="77777777" w:rsidTr="0059375B">
        <w:tc>
          <w:tcPr>
            <w:tcW w:w="2407" w:type="dxa"/>
          </w:tcPr>
          <w:p w14:paraId="0893FDA5" w14:textId="68AC3601" w:rsidR="00D64753" w:rsidRPr="0059375B" w:rsidRDefault="00D64753" w:rsidP="00D64753">
            <w:pPr>
              <w:tabs>
                <w:tab w:val="left" w:pos="5400"/>
              </w:tabs>
              <w:spacing w:line="240" w:lineRule="auto"/>
              <w:rPr>
                <w:rFonts w:eastAsiaTheme="majorEastAsia" w:cstheme="majorBidi"/>
                <w:bCs/>
                <w:color w:val="000000" w:themeColor="text1"/>
                <w:szCs w:val="26"/>
              </w:rPr>
            </w:pPr>
            <w:r w:rsidRPr="0059375B">
              <w:rPr>
                <w:rFonts w:eastAsiaTheme="majorEastAsia" w:cstheme="majorBidi"/>
                <w:bCs/>
                <w:color w:val="000000" w:themeColor="text1"/>
                <w:szCs w:val="26"/>
              </w:rPr>
              <w:t>March</w:t>
            </w:r>
          </w:p>
        </w:tc>
        <w:tc>
          <w:tcPr>
            <w:tcW w:w="2407" w:type="dxa"/>
          </w:tcPr>
          <w:p w14:paraId="30766494" w14:textId="7A3BE151" w:rsidR="00D64753" w:rsidRPr="0059375B" w:rsidRDefault="00D64753" w:rsidP="00D64753">
            <w:pPr>
              <w:tabs>
                <w:tab w:val="left" w:pos="5400"/>
              </w:tabs>
              <w:spacing w:line="240" w:lineRule="auto"/>
              <w:rPr>
                <w:rFonts w:eastAsiaTheme="majorEastAsia" w:cstheme="majorBidi"/>
                <w:bCs/>
                <w:color w:val="000000" w:themeColor="text1"/>
                <w:szCs w:val="26"/>
              </w:rPr>
            </w:pPr>
            <w:r w:rsidRPr="004B22F0">
              <w:t>696</w:t>
            </w:r>
          </w:p>
        </w:tc>
        <w:tc>
          <w:tcPr>
            <w:tcW w:w="2407" w:type="dxa"/>
          </w:tcPr>
          <w:p w14:paraId="48FD601A" w14:textId="7843B71A" w:rsidR="00D64753" w:rsidRPr="0059375B" w:rsidRDefault="00D64753" w:rsidP="00D64753">
            <w:pPr>
              <w:tabs>
                <w:tab w:val="left" w:pos="5400"/>
              </w:tabs>
              <w:spacing w:line="240" w:lineRule="auto"/>
              <w:rPr>
                <w:rFonts w:eastAsiaTheme="majorEastAsia" w:cstheme="majorBidi"/>
                <w:bCs/>
                <w:color w:val="000000" w:themeColor="text1"/>
                <w:szCs w:val="26"/>
              </w:rPr>
            </w:pPr>
            <w:r w:rsidRPr="00B0791D">
              <w:t>634</w:t>
            </w:r>
          </w:p>
        </w:tc>
        <w:tc>
          <w:tcPr>
            <w:tcW w:w="2407" w:type="dxa"/>
          </w:tcPr>
          <w:p w14:paraId="3B5C9339" w14:textId="31663856" w:rsidR="00D64753" w:rsidRPr="0059375B" w:rsidRDefault="00D64753" w:rsidP="00D64753">
            <w:pPr>
              <w:tabs>
                <w:tab w:val="left" w:pos="5400"/>
              </w:tabs>
              <w:spacing w:line="240" w:lineRule="auto"/>
              <w:rPr>
                <w:rFonts w:eastAsiaTheme="majorEastAsia" w:cstheme="majorBidi"/>
                <w:bCs/>
                <w:color w:val="000000" w:themeColor="text1"/>
                <w:szCs w:val="26"/>
              </w:rPr>
            </w:pPr>
            <w:r w:rsidRPr="000D3E46">
              <w:t>817</w:t>
            </w:r>
          </w:p>
        </w:tc>
      </w:tr>
      <w:tr w:rsidR="00D64753" w14:paraId="3E2FCD40" w14:textId="77777777" w:rsidTr="0059375B">
        <w:tc>
          <w:tcPr>
            <w:tcW w:w="2407" w:type="dxa"/>
          </w:tcPr>
          <w:p w14:paraId="3D54E9CB" w14:textId="0E52CA56" w:rsidR="00D64753" w:rsidRPr="0059375B" w:rsidRDefault="00D64753" w:rsidP="00D64753">
            <w:pPr>
              <w:tabs>
                <w:tab w:val="left" w:pos="5400"/>
              </w:tabs>
              <w:spacing w:line="240" w:lineRule="auto"/>
              <w:rPr>
                <w:rFonts w:eastAsiaTheme="majorEastAsia" w:cstheme="majorBidi"/>
                <w:bCs/>
                <w:color w:val="000000" w:themeColor="text1"/>
                <w:szCs w:val="26"/>
              </w:rPr>
            </w:pPr>
            <w:r w:rsidRPr="0059375B">
              <w:rPr>
                <w:rFonts w:eastAsiaTheme="majorEastAsia" w:cstheme="majorBidi"/>
                <w:bCs/>
                <w:color w:val="000000" w:themeColor="text1"/>
                <w:szCs w:val="26"/>
              </w:rPr>
              <w:t>April</w:t>
            </w:r>
          </w:p>
        </w:tc>
        <w:tc>
          <w:tcPr>
            <w:tcW w:w="2407" w:type="dxa"/>
          </w:tcPr>
          <w:p w14:paraId="7D99EF61" w14:textId="663FD875" w:rsidR="00D64753" w:rsidRPr="0059375B" w:rsidRDefault="00D64753" w:rsidP="00D64753">
            <w:pPr>
              <w:tabs>
                <w:tab w:val="left" w:pos="5400"/>
              </w:tabs>
              <w:spacing w:line="240" w:lineRule="auto"/>
              <w:rPr>
                <w:rFonts w:eastAsiaTheme="majorEastAsia" w:cstheme="majorBidi"/>
                <w:bCs/>
                <w:color w:val="000000" w:themeColor="text1"/>
                <w:szCs w:val="26"/>
              </w:rPr>
            </w:pPr>
            <w:r w:rsidRPr="004B22F0">
              <w:t>592</w:t>
            </w:r>
          </w:p>
        </w:tc>
        <w:tc>
          <w:tcPr>
            <w:tcW w:w="2407" w:type="dxa"/>
          </w:tcPr>
          <w:p w14:paraId="158145E4" w14:textId="58D45FAC" w:rsidR="00D64753" w:rsidRPr="0059375B" w:rsidRDefault="00D64753" w:rsidP="00D64753">
            <w:pPr>
              <w:tabs>
                <w:tab w:val="left" w:pos="5400"/>
              </w:tabs>
              <w:spacing w:line="240" w:lineRule="auto"/>
              <w:rPr>
                <w:rFonts w:eastAsiaTheme="majorEastAsia" w:cstheme="majorBidi"/>
                <w:bCs/>
                <w:color w:val="000000" w:themeColor="text1"/>
                <w:szCs w:val="26"/>
              </w:rPr>
            </w:pPr>
            <w:r w:rsidRPr="00B0791D">
              <w:t>631</w:t>
            </w:r>
          </w:p>
        </w:tc>
        <w:tc>
          <w:tcPr>
            <w:tcW w:w="2407" w:type="dxa"/>
          </w:tcPr>
          <w:p w14:paraId="1B62F3CD" w14:textId="398C02E0" w:rsidR="00D64753" w:rsidRPr="0059375B" w:rsidRDefault="00D64753" w:rsidP="00D64753">
            <w:pPr>
              <w:tabs>
                <w:tab w:val="left" w:pos="5400"/>
              </w:tabs>
              <w:spacing w:line="240" w:lineRule="auto"/>
              <w:rPr>
                <w:rFonts w:eastAsiaTheme="majorEastAsia" w:cstheme="majorBidi"/>
                <w:bCs/>
                <w:color w:val="000000" w:themeColor="text1"/>
                <w:szCs w:val="26"/>
              </w:rPr>
            </w:pPr>
            <w:r w:rsidRPr="000D3E46">
              <w:t>726</w:t>
            </w:r>
          </w:p>
        </w:tc>
      </w:tr>
      <w:tr w:rsidR="00D64753" w14:paraId="0F4ED022" w14:textId="77777777" w:rsidTr="0059375B">
        <w:tc>
          <w:tcPr>
            <w:tcW w:w="2407" w:type="dxa"/>
          </w:tcPr>
          <w:p w14:paraId="4AE1D88E" w14:textId="40DB1F60" w:rsidR="00D64753" w:rsidRPr="0059375B" w:rsidRDefault="00D64753" w:rsidP="00D64753">
            <w:pPr>
              <w:tabs>
                <w:tab w:val="left" w:pos="5400"/>
              </w:tabs>
              <w:spacing w:line="240" w:lineRule="auto"/>
              <w:rPr>
                <w:rFonts w:eastAsiaTheme="majorEastAsia" w:cstheme="majorBidi"/>
                <w:bCs/>
                <w:color w:val="000000" w:themeColor="text1"/>
                <w:szCs w:val="26"/>
              </w:rPr>
            </w:pPr>
            <w:r w:rsidRPr="0059375B">
              <w:rPr>
                <w:rFonts w:eastAsiaTheme="majorEastAsia" w:cstheme="majorBidi"/>
                <w:bCs/>
                <w:color w:val="000000" w:themeColor="text1"/>
                <w:szCs w:val="26"/>
              </w:rPr>
              <w:t>May</w:t>
            </w:r>
          </w:p>
        </w:tc>
        <w:tc>
          <w:tcPr>
            <w:tcW w:w="2407" w:type="dxa"/>
          </w:tcPr>
          <w:p w14:paraId="553DA44A" w14:textId="3A600068" w:rsidR="00D64753" w:rsidRPr="0059375B" w:rsidRDefault="00D64753" w:rsidP="00D64753">
            <w:pPr>
              <w:tabs>
                <w:tab w:val="left" w:pos="5400"/>
              </w:tabs>
              <w:spacing w:line="240" w:lineRule="auto"/>
              <w:rPr>
                <w:rFonts w:eastAsiaTheme="majorEastAsia" w:cstheme="majorBidi"/>
                <w:bCs/>
                <w:color w:val="000000" w:themeColor="text1"/>
                <w:szCs w:val="26"/>
              </w:rPr>
            </w:pPr>
            <w:r w:rsidRPr="004B22F0">
              <w:t>674</w:t>
            </w:r>
          </w:p>
        </w:tc>
        <w:tc>
          <w:tcPr>
            <w:tcW w:w="2407" w:type="dxa"/>
          </w:tcPr>
          <w:p w14:paraId="38D48985" w14:textId="666733CE" w:rsidR="00D64753" w:rsidRPr="0059375B" w:rsidRDefault="00D64753" w:rsidP="00D64753">
            <w:pPr>
              <w:tabs>
                <w:tab w:val="left" w:pos="5400"/>
              </w:tabs>
              <w:spacing w:line="240" w:lineRule="auto"/>
              <w:rPr>
                <w:rFonts w:eastAsiaTheme="majorEastAsia" w:cstheme="majorBidi"/>
                <w:bCs/>
                <w:color w:val="000000" w:themeColor="text1"/>
                <w:szCs w:val="26"/>
              </w:rPr>
            </w:pPr>
            <w:r w:rsidRPr="00B0791D">
              <w:t>545</w:t>
            </w:r>
          </w:p>
        </w:tc>
        <w:tc>
          <w:tcPr>
            <w:tcW w:w="2407" w:type="dxa"/>
          </w:tcPr>
          <w:p w14:paraId="4CAC769A" w14:textId="4B5717BA" w:rsidR="00D64753" w:rsidRPr="0059375B" w:rsidRDefault="00D64753" w:rsidP="00D64753">
            <w:pPr>
              <w:tabs>
                <w:tab w:val="left" w:pos="5400"/>
              </w:tabs>
              <w:spacing w:line="240" w:lineRule="auto"/>
              <w:rPr>
                <w:rFonts w:eastAsiaTheme="majorEastAsia" w:cstheme="majorBidi"/>
                <w:bCs/>
                <w:color w:val="000000" w:themeColor="text1"/>
                <w:szCs w:val="26"/>
              </w:rPr>
            </w:pPr>
            <w:r w:rsidRPr="000D3E46">
              <w:t>795</w:t>
            </w:r>
          </w:p>
        </w:tc>
      </w:tr>
      <w:tr w:rsidR="00D64753" w14:paraId="64D525A8" w14:textId="77777777" w:rsidTr="0059375B">
        <w:tc>
          <w:tcPr>
            <w:tcW w:w="2407" w:type="dxa"/>
          </w:tcPr>
          <w:p w14:paraId="2A27851E" w14:textId="28CCBB8A" w:rsidR="00D64753" w:rsidRPr="0059375B" w:rsidRDefault="00D64753" w:rsidP="00D64753">
            <w:pPr>
              <w:tabs>
                <w:tab w:val="left" w:pos="5400"/>
              </w:tabs>
              <w:spacing w:line="240" w:lineRule="auto"/>
              <w:rPr>
                <w:rFonts w:eastAsiaTheme="majorEastAsia" w:cstheme="majorBidi"/>
                <w:bCs/>
                <w:color w:val="000000" w:themeColor="text1"/>
                <w:szCs w:val="26"/>
              </w:rPr>
            </w:pPr>
            <w:r w:rsidRPr="0059375B">
              <w:rPr>
                <w:rFonts w:eastAsiaTheme="majorEastAsia" w:cstheme="majorBidi"/>
                <w:bCs/>
                <w:color w:val="000000" w:themeColor="text1"/>
                <w:szCs w:val="26"/>
              </w:rPr>
              <w:t>June</w:t>
            </w:r>
          </w:p>
        </w:tc>
        <w:tc>
          <w:tcPr>
            <w:tcW w:w="2407" w:type="dxa"/>
          </w:tcPr>
          <w:p w14:paraId="492A9881" w14:textId="0FFC71F2" w:rsidR="00D64753" w:rsidRPr="0059375B" w:rsidRDefault="00D64753" w:rsidP="00D64753">
            <w:pPr>
              <w:tabs>
                <w:tab w:val="left" w:pos="5400"/>
              </w:tabs>
              <w:spacing w:line="240" w:lineRule="auto"/>
              <w:rPr>
                <w:rFonts w:eastAsiaTheme="majorEastAsia" w:cstheme="majorBidi"/>
                <w:bCs/>
                <w:color w:val="000000" w:themeColor="text1"/>
                <w:szCs w:val="26"/>
              </w:rPr>
            </w:pPr>
            <w:r w:rsidRPr="004B22F0">
              <w:t>670</w:t>
            </w:r>
          </w:p>
        </w:tc>
        <w:tc>
          <w:tcPr>
            <w:tcW w:w="2407" w:type="dxa"/>
          </w:tcPr>
          <w:p w14:paraId="02296715" w14:textId="203B5C60" w:rsidR="00D64753" w:rsidRPr="0059375B" w:rsidRDefault="00D64753" w:rsidP="00D64753">
            <w:pPr>
              <w:tabs>
                <w:tab w:val="left" w:pos="5400"/>
              </w:tabs>
              <w:spacing w:line="240" w:lineRule="auto"/>
              <w:rPr>
                <w:rFonts w:eastAsiaTheme="majorEastAsia" w:cstheme="majorBidi"/>
                <w:bCs/>
                <w:color w:val="000000" w:themeColor="text1"/>
                <w:szCs w:val="26"/>
              </w:rPr>
            </w:pPr>
            <w:r w:rsidRPr="00B0791D">
              <w:t>707</w:t>
            </w:r>
          </w:p>
        </w:tc>
        <w:tc>
          <w:tcPr>
            <w:tcW w:w="2407" w:type="dxa"/>
          </w:tcPr>
          <w:p w14:paraId="0964386B" w14:textId="673617EE" w:rsidR="00D64753" w:rsidRPr="0059375B" w:rsidRDefault="00D64753" w:rsidP="00D64753">
            <w:pPr>
              <w:tabs>
                <w:tab w:val="left" w:pos="5400"/>
              </w:tabs>
              <w:spacing w:line="240" w:lineRule="auto"/>
              <w:rPr>
                <w:rFonts w:eastAsiaTheme="majorEastAsia" w:cstheme="majorBidi"/>
                <w:bCs/>
                <w:color w:val="000000" w:themeColor="text1"/>
                <w:szCs w:val="26"/>
              </w:rPr>
            </w:pPr>
            <w:r w:rsidRPr="000D3E46">
              <w:t>775</w:t>
            </w:r>
          </w:p>
        </w:tc>
      </w:tr>
      <w:tr w:rsidR="00D64753" w14:paraId="655CB450" w14:textId="77777777" w:rsidTr="0059375B">
        <w:tc>
          <w:tcPr>
            <w:tcW w:w="2407" w:type="dxa"/>
          </w:tcPr>
          <w:p w14:paraId="14271413" w14:textId="217DB9B7" w:rsidR="00D64753" w:rsidRPr="0059375B" w:rsidRDefault="00D64753" w:rsidP="00D64753">
            <w:pPr>
              <w:tabs>
                <w:tab w:val="left" w:pos="5400"/>
              </w:tabs>
              <w:spacing w:line="240" w:lineRule="auto"/>
              <w:rPr>
                <w:rFonts w:eastAsiaTheme="majorEastAsia" w:cstheme="majorBidi"/>
                <w:bCs/>
                <w:color w:val="000000" w:themeColor="text1"/>
                <w:szCs w:val="26"/>
              </w:rPr>
            </w:pPr>
            <w:r w:rsidRPr="0059375B">
              <w:rPr>
                <w:rFonts w:eastAsiaTheme="majorEastAsia" w:cstheme="majorBidi"/>
                <w:bCs/>
                <w:color w:val="000000" w:themeColor="text1"/>
                <w:szCs w:val="26"/>
              </w:rPr>
              <w:t>July</w:t>
            </w:r>
          </w:p>
        </w:tc>
        <w:tc>
          <w:tcPr>
            <w:tcW w:w="2407" w:type="dxa"/>
          </w:tcPr>
          <w:p w14:paraId="3A39DBC5" w14:textId="62AC146C" w:rsidR="00D64753" w:rsidRPr="0059375B" w:rsidRDefault="00D64753" w:rsidP="00D64753">
            <w:pPr>
              <w:tabs>
                <w:tab w:val="left" w:pos="5400"/>
              </w:tabs>
              <w:spacing w:line="240" w:lineRule="auto"/>
              <w:rPr>
                <w:rFonts w:eastAsiaTheme="majorEastAsia" w:cstheme="majorBidi"/>
                <w:bCs/>
                <w:color w:val="000000" w:themeColor="text1"/>
                <w:szCs w:val="26"/>
              </w:rPr>
            </w:pPr>
            <w:r w:rsidRPr="004B22F0">
              <w:t>562</w:t>
            </w:r>
          </w:p>
        </w:tc>
        <w:tc>
          <w:tcPr>
            <w:tcW w:w="2407" w:type="dxa"/>
          </w:tcPr>
          <w:p w14:paraId="58B0D740" w14:textId="20538FFD" w:rsidR="00D64753" w:rsidRPr="0059375B" w:rsidRDefault="00D64753" w:rsidP="00D64753">
            <w:pPr>
              <w:tabs>
                <w:tab w:val="left" w:pos="5400"/>
              </w:tabs>
              <w:spacing w:line="240" w:lineRule="auto"/>
              <w:rPr>
                <w:rFonts w:eastAsiaTheme="majorEastAsia" w:cstheme="majorBidi"/>
                <w:bCs/>
                <w:color w:val="000000" w:themeColor="text1"/>
                <w:szCs w:val="26"/>
              </w:rPr>
            </w:pPr>
            <w:r w:rsidRPr="00B0791D">
              <w:t>715</w:t>
            </w:r>
          </w:p>
        </w:tc>
        <w:tc>
          <w:tcPr>
            <w:tcW w:w="2407" w:type="dxa"/>
          </w:tcPr>
          <w:p w14:paraId="133EA56B" w14:textId="2140EBBE" w:rsidR="00D64753" w:rsidRPr="0059375B" w:rsidRDefault="00D64753" w:rsidP="00D64753">
            <w:pPr>
              <w:tabs>
                <w:tab w:val="left" w:pos="5400"/>
              </w:tabs>
              <w:spacing w:line="240" w:lineRule="auto"/>
              <w:rPr>
                <w:rFonts w:eastAsiaTheme="majorEastAsia" w:cstheme="majorBidi"/>
                <w:bCs/>
                <w:color w:val="000000" w:themeColor="text1"/>
                <w:szCs w:val="26"/>
              </w:rPr>
            </w:pPr>
            <w:r w:rsidRPr="000D3E46">
              <w:t>836</w:t>
            </w:r>
          </w:p>
        </w:tc>
      </w:tr>
      <w:tr w:rsidR="00D64753" w14:paraId="4FC2137E" w14:textId="77777777" w:rsidTr="0059375B">
        <w:tc>
          <w:tcPr>
            <w:tcW w:w="2407" w:type="dxa"/>
          </w:tcPr>
          <w:p w14:paraId="7C1CFAA4" w14:textId="45052B4B" w:rsidR="00D64753" w:rsidRPr="0059375B" w:rsidRDefault="00D64753" w:rsidP="00D64753">
            <w:pPr>
              <w:tabs>
                <w:tab w:val="left" w:pos="5400"/>
              </w:tabs>
              <w:spacing w:line="240" w:lineRule="auto"/>
              <w:rPr>
                <w:rFonts w:eastAsiaTheme="majorEastAsia" w:cstheme="majorBidi"/>
                <w:bCs/>
                <w:color w:val="000000" w:themeColor="text1"/>
                <w:szCs w:val="26"/>
              </w:rPr>
            </w:pPr>
            <w:r w:rsidRPr="0059375B">
              <w:rPr>
                <w:rFonts w:eastAsiaTheme="majorEastAsia" w:cstheme="majorBidi"/>
                <w:bCs/>
                <w:color w:val="000000" w:themeColor="text1"/>
                <w:szCs w:val="26"/>
              </w:rPr>
              <w:t>August</w:t>
            </w:r>
          </w:p>
        </w:tc>
        <w:tc>
          <w:tcPr>
            <w:tcW w:w="2407" w:type="dxa"/>
          </w:tcPr>
          <w:p w14:paraId="7EC85E0F" w14:textId="7E986652" w:rsidR="00D64753" w:rsidRPr="0059375B" w:rsidRDefault="00D64753" w:rsidP="00D64753">
            <w:pPr>
              <w:tabs>
                <w:tab w:val="left" w:pos="5400"/>
              </w:tabs>
              <w:spacing w:line="240" w:lineRule="auto"/>
              <w:rPr>
                <w:rFonts w:eastAsiaTheme="majorEastAsia" w:cstheme="majorBidi"/>
                <w:bCs/>
                <w:color w:val="000000" w:themeColor="text1"/>
                <w:szCs w:val="26"/>
              </w:rPr>
            </w:pPr>
            <w:r w:rsidRPr="004B22F0">
              <w:t>706</w:t>
            </w:r>
          </w:p>
        </w:tc>
        <w:tc>
          <w:tcPr>
            <w:tcW w:w="2407" w:type="dxa"/>
          </w:tcPr>
          <w:p w14:paraId="67CD68A6" w14:textId="40C7B0D5" w:rsidR="00D64753" w:rsidRPr="0059375B" w:rsidRDefault="00D64753" w:rsidP="00D64753">
            <w:pPr>
              <w:tabs>
                <w:tab w:val="left" w:pos="5400"/>
              </w:tabs>
              <w:spacing w:line="240" w:lineRule="auto"/>
              <w:rPr>
                <w:rFonts w:eastAsiaTheme="majorEastAsia" w:cstheme="majorBidi"/>
                <w:bCs/>
                <w:color w:val="000000" w:themeColor="text1"/>
                <w:szCs w:val="26"/>
              </w:rPr>
            </w:pPr>
            <w:r w:rsidRPr="00B0791D">
              <w:t>858</w:t>
            </w:r>
          </w:p>
        </w:tc>
        <w:tc>
          <w:tcPr>
            <w:tcW w:w="2407" w:type="dxa"/>
          </w:tcPr>
          <w:p w14:paraId="4E34843E" w14:textId="52A0892D" w:rsidR="00D64753" w:rsidRPr="0059375B" w:rsidRDefault="00D64753" w:rsidP="00D64753">
            <w:pPr>
              <w:tabs>
                <w:tab w:val="left" w:pos="5400"/>
              </w:tabs>
              <w:spacing w:line="240" w:lineRule="auto"/>
              <w:rPr>
                <w:rFonts w:eastAsiaTheme="majorEastAsia" w:cstheme="majorBidi"/>
                <w:bCs/>
                <w:color w:val="000000" w:themeColor="text1"/>
                <w:szCs w:val="26"/>
              </w:rPr>
            </w:pPr>
            <w:r w:rsidRPr="000D3E46">
              <w:t>788</w:t>
            </w:r>
          </w:p>
        </w:tc>
      </w:tr>
      <w:tr w:rsidR="00D64753" w14:paraId="4A4B872F" w14:textId="77777777" w:rsidTr="0059375B">
        <w:tc>
          <w:tcPr>
            <w:tcW w:w="2407" w:type="dxa"/>
          </w:tcPr>
          <w:p w14:paraId="082FD230" w14:textId="23DA7852" w:rsidR="00D64753" w:rsidRPr="0059375B" w:rsidRDefault="00D64753" w:rsidP="00D64753">
            <w:pPr>
              <w:tabs>
                <w:tab w:val="left" w:pos="5400"/>
              </w:tabs>
              <w:spacing w:line="240" w:lineRule="auto"/>
              <w:rPr>
                <w:rFonts w:eastAsiaTheme="majorEastAsia" w:cstheme="majorBidi"/>
                <w:bCs/>
                <w:color w:val="000000" w:themeColor="text1"/>
                <w:szCs w:val="26"/>
              </w:rPr>
            </w:pPr>
            <w:r w:rsidRPr="0059375B">
              <w:rPr>
                <w:rFonts w:eastAsiaTheme="majorEastAsia" w:cstheme="majorBidi"/>
                <w:bCs/>
                <w:color w:val="000000" w:themeColor="text1"/>
                <w:szCs w:val="26"/>
              </w:rPr>
              <w:t>September</w:t>
            </w:r>
          </w:p>
        </w:tc>
        <w:tc>
          <w:tcPr>
            <w:tcW w:w="2407" w:type="dxa"/>
          </w:tcPr>
          <w:p w14:paraId="2D9F2F4A" w14:textId="379A57FE" w:rsidR="00D64753" w:rsidRPr="0059375B" w:rsidRDefault="00D64753" w:rsidP="00D64753">
            <w:pPr>
              <w:tabs>
                <w:tab w:val="left" w:pos="5400"/>
              </w:tabs>
              <w:spacing w:line="240" w:lineRule="auto"/>
              <w:rPr>
                <w:rFonts w:eastAsiaTheme="majorEastAsia" w:cstheme="majorBidi"/>
                <w:bCs/>
                <w:color w:val="000000" w:themeColor="text1"/>
                <w:szCs w:val="26"/>
              </w:rPr>
            </w:pPr>
            <w:r w:rsidRPr="004B22F0">
              <w:t>620</w:t>
            </w:r>
          </w:p>
        </w:tc>
        <w:tc>
          <w:tcPr>
            <w:tcW w:w="2407" w:type="dxa"/>
          </w:tcPr>
          <w:p w14:paraId="4EE5F808" w14:textId="47D79FA3" w:rsidR="00D64753" w:rsidRPr="0059375B" w:rsidRDefault="00D64753" w:rsidP="00D64753">
            <w:pPr>
              <w:tabs>
                <w:tab w:val="left" w:pos="5400"/>
              </w:tabs>
              <w:spacing w:line="240" w:lineRule="auto"/>
              <w:rPr>
                <w:rFonts w:eastAsiaTheme="majorEastAsia" w:cstheme="majorBidi"/>
                <w:bCs/>
                <w:color w:val="000000" w:themeColor="text1"/>
                <w:szCs w:val="26"/>
              </w:rPr>
            </w:pPr>
            <w:r w:rsidRPr="00B0791D">
              <w:t>793</w:t>
            </w:r>
          </w:p>
        </w:tc>
        <w:tc>
          <w:tcPr>
            <w:tcW w:w="2407" w:type="dxa"/>
          </w:tcPr>
          <w:p w14:paraId="6769360D" w14:textId="73BB632E" w:rsidR="00D64753" w:rsidRPr="0059375B" w:rsidRDefault="00D64753" w:rsidP="00D64753">
            <w:pPr>
              <w:tabs>
                <w:tab w:val="left" w:pos="5400"/>
              </w:tabs>
              <w:spacing w:line="240" w:lineRule="auto"/>
              <w:rPr>
                <w:rFonts w:eastAsiaTheme="majorEastAsia" w:cstheme="majorBidi"/>
                <w:bCs/>
                <w:color w:val="000000" w:themeColor="text1"/>
                <w:szCs w:val="26"/>
              </w:rPr>
            </w:pPr>
            <w:r w:rsidRPr="000D3E46">
              <w:t>791</w:t>
            </w:r>
          </w:p>
        </w:tc>
      </w:tr>
      <w:tr w:rsidR="00D64753" w14:paraId="4E67BA56" w14:textId="77777777" w:rsidTr="0059375B">
        <w:tc>
          <w:tcPr>
            <w:tcW w:w="2407" w:type="dxa"/>
          </w:tcPr>
          <w:p w14:paraId="0DE73295" w14:textId="2DB0A8CF" w:rsidR="00D64753" w:rsidRPr="0059375B" w:rsidRDefault="00D64753" w:rsidP="00D64753">
            <w:pPr>
              <w:tabs>
                <w:tab w:val="left" w:pos="5400"/>
              </w:tabs>
              <w:spacing w:line="240" w:lineRule="auto"/>
              <w:rPr>
                <w:rFonts w:eastAsiaTheme="majorEastAsia" w:cstheme="majorBidi"/>
                <w:bCs/>
                <w:color w:val="000000" w:themeColor="text1"/>
                <w:szCs w:val="26"/>
              </w:rPr>
            </w:pPr>
            <w:r w:rsidRPr="0059375B">
              <w:rPr>
                <w:rFonts w:eastAsiaTheme="majorEastAsia" w:cstheme="majorBidi"/>
                <w:bCs/>
                <w:color w:val="000000" w:themeColor="text1"/>
                <w:szCs w:val="26"/>
              </w:rPr>
              <w:t>October</w:t>
            </w:r>
          </w:p>
        </w:tc>
        <w:tc>
          <w:tcPr>
            <w:tcW w:w="2407" w:type="dxa"/>
          </w:tcPr>
          <w:p w14:paraId="798C2B4F" w14:textId="372E7D05" w:rsidR="00D64753" w:rsidRPr="0059375B" w:rsidRDefault="00D64753" w:rsidP="00D64753">
            <w:pPr>
              <w:tabs>
                <w:tab w:val="left" w:pos="5400"/>
              </w:tabs>
              <w:spacing w:line="240" w:lineRule="auto"/>
              <w:rPr>
                <w:rFonts w:eastAsiaTheme="majorEastAsia" w:cstheme="majorBidi"/>
                <w:bCs/>
                <w:color w:val="000000" w:themeColor="text1"/>
                <w:szCs w:val="26"/>
              </w:rPr>
            </w:pPr>
            <w:r w:rsidRPr="004B22F0">
              <w:t>575</w:t>
            </w:r>
          </w:p>
        </w:tc>
        <w:tc>
          <w:tcPr>
            <w:tcW w:w="2407" w:type="dxa"/>
          </w:tcPr>
          <w:p w14:paraId="116663D9" w14:textId="36141C43" w:rsidR="00D64753" w:rsidRPr="0059375B" w:rsidRDefault="00D64753" w:rsidP="00D64753">
            <w:pPr>
              <w:tabs>
                <w:tab w:val="left" w:pos="5400"/>
              </w:tabs>
              <w:spacing w:line="240" w:lineRule="auto"/>
              <w:rPr>
                <w:rFonts w:eastAsiaTheme="majorEastAsia" w:cstheme="majorBidi"/>
                <w:bCs/>
                <w:color w:val="000000" w:themeColor="text1"/>
                <w:szCs w:val="26"/>
              </w:rPr>
            </w:pPr>
            <w:r w:rsidRPr="00B0791D">
              <w:t>810</w:t>
            </w:r>
          </w:p>
        </w:tc>
        <w:tc>
          <w:tcPr>
            <w:tcW w:w="2407" w:type="dxa"/>
          </w:tcPr>
          <w:p w14:paraId="20112FE9" w14:textId="76D8C1C3" w:rsidR="00D64753" w:rsidRPr="0059375B" w:rsidRDefault="00D64753" w:rsidP="00D64753">
            <w:pPr>
              <w:tabs>
                <w:tab w:val="left" w:pos="5400"/>
              </w:tabs>
              <w:spacing w:line="240" w:lineRule="auto"/>
              <w:rPr>
                <w:rFonts w:eastAsiaTheme="majorEastAsia" w:cstheme="majorBidi"/>
                <w:bCs/>
                <w:color w:val="000000" w:themeColor="text1"/>
                <w:szCs w:val="26"/>
              </w:rPr>
            </w:pPr>
            <w:r w:rsidRPr="000D3E46">
              <w:t>830</w:t>
            </w:r>
          </w:p>
        </w:tc>
      </w:tr>
      <w:tr w:rsidR="00D64753" w14:paraId="1D1D5729" w14:textId="77777777" w:rsidTr="0059375B">
        <w:tc>
          <w:tcPr>
            <w:tcW w:w="2407" w:type="dxa"/>
          </w:tcPr>
          <w:p w14:paraId="24A1D833" w14:textId="3249AD04" w:rsidR="00D64753" w:rsidRPr="0059375B" w:rsidRDefault="00D64753" w:rsidP="00D64753">
            <w:pPr>
              <w:tabs>
                <w:tab w:val="left" w:pos="5400"/>
              </w:tabs>
              <w:spacing w:line="240" w:lineRule="auto"/>
              <w:rPr>
                <w:rFonts w:eastAsiaTheme="majorEastAsia" w:cstheme="majorBidi"/>
                <w:bCs/>
                <w:color w:val="000000" w:themeColor="text1"/>
                <w:szCs w:val="26"/>
              </w:rPr>
            </w:pPr>
            <w:r w:rsidRPr="0059375B">
              <w:rPr>
                <w:rFonts w:eastAsiaTheme="majorEastAsia" w:cstheme="majorBidi"/>
                <w:bCs/>
                <w:color w:val="000000" w:themeColor="text1"/>
                <w:szCs w:val="26"/>
              </w:rPr>
              <w:t>November</w:t>
            </w:r>
          </w:p>
        </w:tc>
        <w:tc>
          <w:tcPr>
            <w:tcW w:w="2407" w:type="dxa"/>
          </w:tcPr>
          <w:p w14:paraId="6FEFD745" w14:textId="0D7F092D" w:rsidR="00D64753" w:rsidRPr="0059375B" w:rsidRDefault="00D64753" w:rsidP="00D64753">
            <w:pPr>
              <w:tabs>
                <w:tab w:val="left" w:pos="5400"/>
              </w:tabs>
              <w:spacing w:line="240" w:lineRule="auto"/>
              <w:rPr>
                <w:rFonts w:eastAsiaTheme="majorEastAsia" w:cstheme="majorBidi"/>
                <w:bCs/>
                <w:color w:val="000000" w:themeColor="text1"/>
                <w:szCs w:val="26"/>
              </w:rPr>
            </w:pPr>
            <w:r w:rsidRPr="004B22F0">
              <w:t>589</w:t>
            </w:r>
          </w:p>
        </w:tc>
        <w:tc>
          <w:tcPr>
            <w:tcW w:w="2407" w:type="dxa"/>
          </w:tcPr>
          <w:p w14:paraId="5F225B7D" w14:textId="3C8D0D55" w:rsidR="00D64753" w:rsidRPr="0059375B" w:rsidRDefault="00D64753" w:rsidP="00D64753">
            <w:pPr>
              <w:tabs>
                <w:tab w:val="left" w:pos="5400"/>
              </w:tabs>
              <w:spacing w:line="240" w:lineRule="auto"/>
              <w:rPr>
                <w:rFonts w:eastAsiaTheme="majorEastAsia" w:cstheme="majorBidi"/>
                <w:bCs/>
                <w:color w:val="000000" w:themeColor="text1"/>
                <w:szCs w:val="26"/>
              </w:rPr>
            </w:pPr>
            <w:r w:rsidRPr="00B0791D">
              <w:t>725</w:t>
            </w:r>
          </w:p>
        </w:tc>
        <w:tc>
          <w:tcPr>
            <w:tcW w:w="2407" w:type="dxa"/>
          </w:tcPr>
          <w:p w14:paraId="441CBA21" w14:textId="15D13C49" w:rsidR="00D64753" w:rsidRPr="0059375B" w:rsidRDefault="00D64753" w:rsidP="00D64753">
            <w:pPr>
              <w:tabs>
                <w:tab w:val="left" w:pos="5400"/>
              </w:tabs>
              <w:spacing w:line="240" w:lineRule="auto"/>
              <w:rPr>
                <w:rFonts w:eastAsiaTheme="majorEastAsia" w:cstheme="majorBidi"/>
                <w:bCs/>
                <w:color w:val="000000" w:themeColor="text1"/>
                <w:szCs w:val="26"/>
              </w:rPr>
            </w:pPr>
            <w:r>
              <w:rPr>
                <w:rFonts w:eastAsiaTheme="majorEastAsia" w:cstheme="majorBidi"/>
                <w:bCs/>
                <w:color w:val="000000" w:themeColor="text1"/>
                <w:szCs w:val="26"/>
              </w:rPr>
              <w:t>~</w:t>
            </w:r>
          </w:p>
        </w:tc>
      </w:tr>
      <w:tr w:rsidR="00D64753" w14:paraId="096AEDE6" w14:textId="77777777" w:rsidTr="0059375B">
        <w:tc>
          <w:tcPr>
            <w:tcW w:w="2407" w:type="dxa"/>
          </w:tcPr>
          <w:p w14:paraId="50FE3FBF" w14:textId="78D3269B" w:rsidR="00D64753" w:rsidRPr="0059375B" w:rsidRDefault="00D64753" w:rsidP="00D64753">
            <w:pPr>
              <w:tabs>
                <w:tab w:val="left" w:pos="5400"/>
              </w:tabs>
              <w:spacing w:line="240" w:lineRule="auto"/>
              <w:rPr>
                <w:rFonts w:eastAsiaTheme="majorEastAsia" w:cstheme="majorBidi"/>
                <w:bCs/>
                <w:color w:val="000000" w:themeColor="text1"/>
                <w:szCs w:val="26"/>
              </w:rPr>
            </w:pPr>
            <w:r w:rsidRPr="0059375B">
              <w:rPr>
                <w:rFonts w:eastAsiaTheme="majorEastAsia" w:cstheme="majorBidi"/>
                <w:bCs/>
                <w:color w:val="000000" w:themeColor="text1"/>
                <w:szCs w:val="26"/>
              </w:rPr>
              <w:t>December</w:t>
            </w:r>
          </w:p>
        </w:tc>
        <w:tc>
          <w:tcPr>
            <w:tcW w:w="2407" w:type="dxa"/>
          </w:tcPr>
          <w:p w14:paraId="44E06405" w14:textId="5D8FCD73" w:rsidR="00D64753" w:rsidRPr="0059375B" w:rsidRDefault="00D64753" w:rsidP="00D64753">
            <w:pPr>
              <w:tabs>
                <w:tab w:val="left" w:pos="5400"/>
              </w:tabs>
              <w:spacing w:line="240" w:lineRule="auto"/>
              <w:rPr>
                <w:rFonts w:eastAsiaTheme="majorEastAsia" w:cstheme="majorBidi"/>
                <w:bCs/>
                <w:color w:val="000000" w:themeColor="text1"/>
                <w:szCs w:val="26"/>
              </w:rPr>
            </w:pPr>
            <w:r w:rsidRPr="004B22F0">
              <w:t>455</w:t>
            </w:r>
          </w:p>
        </w:tc>
        <w:tc>
          <w:tcPr>
            <w:tcW w:w="2407" w:type="dxa"/>
          </w:tcPr>
          <w:p w14:paraId="6F69E14A" w14:textId="0A454B4D" w:rsidR="00D64753" w:rsidRPr="0059375B" w:rsidRDefault="00D64753" w:rsidP="00D64753">
            <w:pPr>
              <w:tabs>
                <w:tab w:val="left" w:pos="5400"/>
              </w:tabs>
              <w:spacing w:line="240" w:lineRule="auto"/>
              <w:rPr>
                <w:rFonts w:eastAsiaTheme="majorEastAsia" w:cstheme="majorBidi"/>
                <w:bCs/>
                <w:color w:val="000000" w:themeColor="text1"/>
                <w:szCs w:val="26"/>
              </w:rPr>
            </w:pPr>
            <w:r w:rsidRPr="00B0791D">
              <w:t>580</w:t>
            </w:r>
          </w:p>
        </w:tc>
        <w:tc>
          <w:tcPr>
            <w:tcW w:w="2407" w:type="dxa"/>
          </w:tcPr>
          <w:p w14:paraId="4BF4CD0B" w14:textId="170287AD" w:rsidR="00D64753" w:rsidRPr="0059375B" w:rsidRDefault="00D64753" w:rsidP="00D64753">
            <w:pPr>
              <w:tabs>
                <w:tab w:val="left" w:pos="5400"/>
              </w:tabs>
              <w:spacing w:line="240" w:lineRule="auto"/>
              <w:rPr>
                <w:rFonts w:eastAsiaTheme="majorEastAsia" w:cstheme="majorBidi"/>
                <w:bCs/>
                <w:color w:val="000000" w:themeColor="text1"/>
                <w:szCs w:val="26"/>
              </w:rPr>
            </w:pPr>
            <w:r>
              <w:rPr>
                <w:rFonts w:eastAsiaTheme="majorEastAsia" w:cstheme="majorBidi"/>
                <w:bCs/>
                <w:color w:val="000000" w:themeColor="text1"/>
                <w:szCs w:val="26"/>
              </w:rPr>
              <w:t>~</w:t>
            </w:r>
          </w:p>
        </w:tc>
      </w:tr>
    </w:tbl>
    <w:p w14:paraId="6735D9FC" w14:textId="30912BAF" w:rsidR="0059375B" w:rsidRPr="00117C52" w:rsidRDefault="00117C52" w:rsidP="00A10155">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Data is management information only, correct as at 20/11/2025 and subject to change.</w:t>
      </w:r>
      <w:r>
        <w:rPr>
          <w:rFonts w:eastAsiaTheme="majorEastAsia" w:cstheme="majorBidi"/>
          <w:bCs/>
          <w:color w:val="000000" w:themeColor="text1"/>
          <w:szCs w:val="26"/>
        </w:rPr>
        <w:br/>
      </w:r>
    </w:p>
    <w:p w14:paraId="34C149AD" w14:textId="77777777" w:rsidR="0059375B" w:rsidRPr="00A10155" w:rsidRDefault="0059375B" w:rsidP="00A10155">
      <w:pPr>
        <w:tabs>
          <w:tab w:val="left" w:pos="5400"/>
        </w:tabs>
        <w:rPr>
          <w:rFonts w:eastAsiaTheme="majorEastAsia" w:cstheme="majorBidi"/>
          <w:b/>
          <w:color w:val="000000" w:themeColor="text1"/>
          <w:szCs w:val="26"/>
        </w:rPr>
      </w:pPr>
    </w:p>
    <w:p w14:paraId="70B71DF2" w14:textId="77777777" w:rsidR="001F2770" w:rsidRDefault="00A10155" w:rsidP="001F2770">
      <w:pPr>
        <w:tabs>
          <w:tab w:val="left" w:pos="5400"/>
        </w:tabs>
        <w:rPr>
          <w:rFonts w:eastAsiaTheme="majorEastAsia" w:cstheme="majorBidi"/>
          <w:b/>
          <w:color w:val="000000" w:themeColor="text1"/>
          <w:szCs w:val="26"/>
        </w:rPr>
      </w:pPr>
      <w:r w:rsidRPr="00A10155">
        <w:rPr>
          <w:rFonts w:eastAsiaTheme="majorEastAsia" w:cstheme="majorBidi"/>
          <w:b/>
          <w:color w:val="000000" w:themeColor="text1"/>
          <w:szCs w:val="26"/>
        </w:rPr>
        <w:lastRenderedPageBreak/>
        <w:t>2. The number of SARs completed within the statutory one month deadline, and the number completed within:</w:t>
      </w:r>
    </w:p>
    <w:p w14:paraId="1F007008" w14:textId="77777777" w:rsidR="001F2770" w:rsidRDefault="00A10155" w:rsidP="001F2770">
      <w:pPr>
        <w:pStyle w:val="ListParagraph"/>
        <w:numPr>
          <w:ilvl w:val="0"/>
          <w:numId w:val="4"/>
        </w:numPr>
        <w:tabs>
          <w:tab w:val="left" w:pos="5400"/>
        </w:tabs>
        <w:rPr>
          <w:rFonts w:eastAsiaTheme="majorEastAsia" w:cstheme="majorBidi"/>
          <w:b/>
          <w:color w:val="000000" w:themeColor="text1"/>
          <w:szCs w:val="26"/>
        </w:rPr>
      </w:pPr>
      <w:r w:rsidRPr="001F2770">
        <w:rPr>
          <w:rFonts w:eastAsiaTheme="majorEastAsia" w:cstheme="majorBidi"/>
          <w:b/>
          <w:color w:val="000000" w:themeColor="text1"/>
          <w:szCs w:val="26"/>
        </w:rPr>
        <w:t>1 - 3 months</w:t>
      </w:r>
    </w:p>
    <w:p w14:paraId="32808120" w14:textId="77777777" w:rsidR="001F2770" w:rsidRDefault="00A10155" w:rsidP="001F2770">
      <w:pPr>
        <w:pStyle w:val="ListParagraph"/>
        <w:numPr>
          <w:ilvl w:val="0"/>
          <w:numId w:val="4"/>
        </w:numPr>
        <w:tabs>
          <w:tab w:val="left" w:pos="5400"/>
        </w:tabs>
        <w:rPr>
          <w:rFonts w:eastAsiaTheme="majorEastAsia" w:cstheme="majorBidi"/>
          <w:b/>
          <w:color w:val="000000" w:themeColor="text1"/>
          <w:szCs w:val="26"/>
        </w:rPr>
      </w:pPr>
      <w:r w:rsidRPr="001F2770">
        <w:rPr>
          <w:rFonts w:eastAsiaTheme="majorEastAsia" w:cstheme="majorBidi"/>
          <w:b/>
          <w:color w:val="000000" w:themeColor="text1"/>
          <w:szCs w:val="26"/>
        </w:rPr>
        <w:t>3 - 6 months</w:t>
      </w:r>
    </w:p>
    <w:p w14:paraId="5201E7FA" w14:textId="77777777" w:rsidR="001F2770" w:rsidRDefault="00A10155" w:rsidP="001F2770">
      <w:pPr>
        <w:pStyle w:val="ListParagraph"/>
        <w:numPr>
          <w:ilvl w:val="0"/>
          <w:numId w:val="4"/>
        </w:numPr>
        <w:tabs>
          <w:tab w:val="left" w:pos="5400"/>
        </w:tabs>
        <w:rPr>
          <w:rFonts w:eastAsiaTheme="majorEastAsia" w:cstheme="majorBidi"/>
          <w:b/>
          <w:color w:val="000000" w:themeColor="text1"/>
          <w:szCs w:val="26"/>
        </w:rPr>
      </w:pPr>
      <w:r w:rsidRPr="001F2770">
        <w:rPr>
          <w:rFonts w:eastAsiaTheme="majorEastAsia" w:cstheme="majorBidi"/>
          <w:b/>
          <w:color w:val="000000" w:themeColor="text1"/>
          <w:szCs w:val="26"/>
        </w:rPr>
        <w:t>Over 6 months</w:t>
      </w:r>
    </w:p>
    <w:p w14:paraId="6B78F8BC" w14:textId="3019348E" w:rsidR="00A10155" w:rsidRPr="001F2770" w:rsidRDefault="00A10155" w:rsidP="001F2770">
      <w:pPr>
        <w:pStyle w:val="ListParagraph"/>
        <w:numPr>
          <w:ilvl w:val="0"/>
          <w:numId w:val="4"/>
        </w:numPr>
        <w:tabs>
          <w:tab w:val="left" w:pos="5400"/>
        </w:tabs>
        <w:rPr>
          <w:rFonts w:eastAsiaTheme="majorEastAsia" w:cstheme="majorBidi"/>
          <w:b/>
          <w:color w:val="000000" w:themeColor="text1"/>
          <w:szCs w:val="26"/>
        </w:rPr>
      </w:pPr>
      <w:r w:rsidRPr="001F2770">
        <w:rPr>
          <w:rFonts w:eastAsiaTheme="majorEastAsia" w:cstheme="majorBidi"/>
          <w:b/>
          <w:color w:val="000000" w:themeColor="text1"/>
          <w:szCs w:val="26"/>
        </w:rPr>
        <w:t>Still outstanding (as of the date of this FOI)</w:t>
      </w:r>
    </w:p>
    <w:p w14:paraId="7585375C" w14:textId="77777777" w:rsidR="00883F7A" w:rsidRPr="00883F7A" w:rsidRDefault="00883F7A" w:rsidP="00883F7A">
      <w:r w:rsidRPr="00883F7A">
        <w:t>Unfortunately, it would cost more than the FOI threshold of £600 to process your request and I am therefore refusing to do so in terms of section 12(1) of the Act.</w:t>
      </w:r>
    </w:p>
    <w:p w14:paraId="12A9B9C3" w14:textId="77777777" w:rsidR="00883F7A" w:rsidRPr="00883F7A" w:rsidRDefault="00883F7A" w:rsidP="00883F7A">
      <w:r w:rsidRPr="00883F7A">
        <w:t>Police Scotland do not record information on the number of days taken to respond to a SAR.</w:t>
      </w:r>
    </w:p>
    <w:p w14:paraId="144832B4" w14:textId="77777777" w:rsidR="00883F7A" w:rsidRPr="00883F7A" w:rsidRDefault="00883F7A" w:rsidP="00883F7A">
      <w:r w:rsidRPr="00883F7A">
        <w:t>Compliance with SAR deadlines is calculated based on a deadline date field and a closed date field.</w:t>
      </w:r>
    </w:p>
    <w:p w14:paraId="30CDD418" w14:textId="75DBF949" w:rsidR="00883F7A" w:rsidRPr="00883F7A" w:rsidRDefault="00883F7A" w:rsidP="00883F7A">
      <w:r w:rsidRPr="00883F7A">
        <w:t xml:space="preserve">We do record the received date of the SAR, but more often than not, the actual date of validity will be later than this, </w:t>
      </w:r>
      <w:r w:rsidR="001F2770" w:rsidRPr="00883F7A">
        <w:t xml:space="preserve">mainly </w:t>
      </w:r>
      <w:r w:rsidRPr="00883F7A">
        <w:t>due to the necessary identification documents not being provided at the outset</w:t>
      </w:r>
      <w:r w:rsidR="001F2770">
        <w:t xml:space="preserve"> or</w:t>
      </w:r>
      <w:r w:rsidRPr="00883F7A">
        <w:t xml:space="preserve"> clarification being sought.</w:t>
      </w:r>
    </w:p>
    <w:p w14:paraId="1AEB3212" w14:textId="634E791A" w:rsidR="00A10155" w:rsidRDefault="00883F7A" w:rsidP="00883F7A">
      <w:r w:rsidRPr="00883F7A">
        <w:t>We do not record the date at which a SAR becomes valid, and we are therefore unable to collate turnaround times, other than by reviewing the circumstances of each SAR individually.</w:t>
      </w:r>
    </w:p>
    <w:p w14:paraId="4EE04D37" w14:textId="6A729253" w:rsidR="00883F7A" w:rsidRDefault="00883F7A" w:rsidP="00883F7A">
      <w:pPr>
        <w:rPr>
          <w:rFonts w:eastAsiaTheme="majorEastAsia" w:cstheme="majorBidi"/>
          <w:bCs/>
          <w:color w:val="000000" w:themeColor="text1"/>
          <w:szCs w:val="26"/>
        </w:rPr>
      </w:pPr>
      <w:r>
        <w:rPr>
          <w:rFonts w:eastAsiaTheme="majorEastAsia" w:cstheme="majorBidi"/>
          <w:bCs/>
          <w:color w:val="000000" w:themeColor="text1"/>
          <w:szCs w:val="26"/>
        </w:rPr>
        <w:t xml:space="preserve">You should also note that it is possible to extend the deadline of a SAR by up to two months. </w:t>
      </w:r>
    </w:p>
    <w:p w14:paraId="775C6D8B" w14:textId="606FF0B6" w:rsidR="00786CB4" w:rsidRDefault="00786CB4" w:rsidP="00883F7A">
      <w:pPr>
        <w:rPr>
          <w:rFonts w:eastAsiaTheme="majorEastAsia" w:cstheme="majorBidi"/>
          <w:bCs/>
          <w:color w:val="000000" w:themeColor="text1"/>
          <w:szCs w:val="26"/>
        </w:rPr>
      </w:pPr>
      <w:r>
        <w:rPr>
          <w:rFonts w:eastAsiaTheme="majorEastAsia" w:cstheme="majorBidi"/>
          <w:bCs/>
          <w:color w:val="000000" w:themeColor="text1"/>
          <w:szCs w:val="26"/>
        </w:rPr>
        <w:t>To be of assistance, I can provide you with our overall compliance figures</w:t>
      </w:r>
      <w:r w:rsidR="007C2CBB">
        <w:rPr>
          <w:rFonts w:eastAsiaTheme="majorEastAsia" w:cstheme="majorBidi"/>
          <w:bCs/>
          <w:color w:val="000000" w:themeColor="text1"/>
          <w:szCs w:val="26"/>
        </w:rPr>
        <w:t>,</w:t>
      </w:r>
      <w:r>
        <w:rPr>
          <w:rFonts w:eastAsiaTheme="majorEastAsia" w:cstheme="majorBidi"/>
          <w:bCs/>
          <w:color w:val="000000" w:themeColor="text1"/>
          <w:szCs w:val="26"/>
        </w:rPr>
        <w:t xml:space="preserve"> which represent the percentage of SARs responded to within the statutory deadline.</w:t>
      </w:r>
    </w:p>
    <w:tbl>
      <w:tblPr>
        <w:tblStyle w:val="TableGrid"/>
        <w:tblW w:w="0" w:type="auto"/>
        <w:tblLook w:val="04A0" w:firstRow="1" w:lastRow="0" w:firstColumn="1" w:lastColumn="0" w:noHBand="0" w:noVBand="1"/>
      </w:tblPr>
      <w:tblGrid>
        <w:gridCol w:w="937"/>
        <w:gridCol w:w="1417"/>
        <w:gridCol w:w="1417"/>
        <w:gridCol w:w="1417"/>
        <w:gridCol w:w="1417"/>
      </w:tblGrid>
      <w:tr w:rsidR="001F2770" w:rsidRPr="001F2770" w14:paraId="3EB77C11" w14:textId="77777777" w:rsidTr="001F2770">
        <w:trPr>
          <w:trHeight w:val="300"/>
        </w:trPr>
        <w:tc>
          <w:tcPr>
            <w:tcW w:w="937" w:type="dxa"/>
            <w:shd w:val="clear" w:color="auto" w:fill="D9D9D9" w:themeFill="background1" w:themeFillShade="D9"/>
            <w:noWrap/>
            <w:hideMark/>
          </w:tcPr>
          <w:p w14:paraId="7DD21C24" w14:textId="68E77686" w:rsidR="001F2770" w:rsidRPr="001F2770" w:rsidRDefault="001F2770" w:rsidP="001F2770">
            <w:pPr>
              <w:tabs>
                <w:tab w:val="left" w:pos="5400"/>
              </w:tabs>
              <w:spacing w:line="240" w:lineRule="auto"/>
              <w:rPr>
                <w:rFonts w:eastAsiaTheme="majorEastAsia" w:cstheme="majorBidi"/>
                <w:b/>
                <w:color w:val="000000" w:themeColor="text1"/>
                <w:szCs w:val="26"/>
              </w:rPr>
            </w:pPr>
            <w:r w:rsidRPr="001F2770">
              <w:rPr>
                <w:rFonts w:eastAsiaTheme="majorEastAsia" w:cstheme="majorBidi"/>
                <w:b/>
                <w:color w:val="000000" w:themeColor="text1"/>
                <w:szCs w:val="26"/>
              </w:rPr>
              <w:t> </w:t>
            </w:r>
            <w:r>
              <w:rPr>
                <w:rFonts w:eastAsiaTheme="majorEastAsia" w:cstheme="majorBidi"/>
                <w:b/>
                <w:color w:val="000000" w:themeColor="text1"/>
                <w:szCs w:val="26"/>
              </w:rPr>
              <w:t>Year</w:t>
            </w:r>
          </w:p>
        </w:tc>
        <w:tc>
          <w:tcPr>
            <w:tcW w:w="1417" w:type="dxa"/>
            <w:shd w:val="clear" w:color="auto" w:fill="D9D9D9" w:themeFill="background1" w:themeFillShade="D9"/>
            <w:noWrap/>
            <w:hideMark/>
          </w:tcPr>
          <w:p w14:paraId="008E7ACE" w14:textId="0416AD59" w:rsidR="001F2770" w:rsidRPr="001F2770" w:rsidRDefault="001F2770" w:rsidP="001F2770">
            <w:pPr>
              <w:tabs>
                <w:tab w:val="left" w:pos="5400"/>
              </w:tabs>
              <w:spacing w:line="240" w:lineRule="auto"/>
              <w:rPr>
                <w:rFonts w:eastAsiaTheme="majorEastAsia" w:cstheme="majorBidi"/>
                <w:b/>
                <w:bCs/>
                <w:color w:val="000000" w:themeColor="text1"/>
                <w:szCs w:val="26"/>
              </w:rPr>
            </w:pPr>
            <w:r w:rsidRPr="001F2770">
              <w:rPr>
                <w:rFonts w:eastAsiaTheme="majorEastAsia" w:cstheme="majorBidi"/>
                <w:b/>
                <w:bCs/>
                <w:color w:val="000000" w:themeColor="text1"/>
                <w:szCs w:val="26"/>
              </w:rPr>
              <w:t>Q</w:t>
            </w:r>
            <w:r>
              <w:rPr>
                <w:rFonts w:eastAsiaTheme="majorEastAsia" w:cstheme="majorBidi"/>
                <w:b/>
                <w:bCs/>
                <w:color w:val="000000" w:themeColor="text1"/>
                <w:szCs w:val="26"/>
              </w:rPr>
              <w:t xml:space="preserve">uarter </w:t>
            </w:r>
            <w:r w:rsidRPr="001F2770">
              <w:rPr>
                <w:rFonts w:eastAsiaTheme="majorEastAsia" w:cstheme="majorBidi"/>
                <w:b/>
                <w:bCs/>
                <w:color w:val="000000" w:themeColor="text1"/>
                <w:szCs w:val="26"/>
              </w:rPr>
              <w:t>1</w:t>
            </w:r>
          </w:p>
        </w:tc>
        <w:tc>
          <w:tcPr>
            <w:tcW w:w="1417" w:type="dxa"/>
            <w:shd w:val="clear" w:color="auto" w:fill="D9D9D9" w:themeFill="background1" w:themeFillShade="D9"/>
            <w:noWrap/>
            <w:hideMark/>
          </w:tcPr>
          <w:p w14:paraId="7509EFB3" w14:textId="2C4A8FA0" w:rsidR="001F2770" w:rsidRPr="001F2770" w:rsidRDefault="001F2770" w:rsidP="001F2770">
            <w:pPr>
              <w:tabs>
                <w:tab w:val="left" w:pos="5400"/>
              </w:tabs>
              <w:spacing w:line="240" w:lineRule="auto"/>
              <w:rPr>
                <w:rFonts w:eastAsiaTheme="majorEastAsia" w:cstheme="majorBidi"/>
                <w:b/>
                <w:bCs/>
                <w:color w:val="000000" w:themeColor="text1"/>
                <w:szCs w:val="26"/>
              </w:rPr>
            </w:pPr>
            <w:r w:rsidRPr="001F2770">
              <w:rPr>
                <w:rFonts w:eastAsiaTheme="majorEastAsia" w:cstheme="majorBidi"/>
                <w:b/>
                <w:bCs/>
                <w:color w:val="000000" w:themeColor="text1"/>
                <w:szCs w:val="26"/>
              </w:rPr>
              <w:t>Q</w:t>
            </w:r>
            <w:r>
              <w:rPr>
                <w:rFonts w:eastAsiaTheme="majorEastAsia" w:cstheme="majorBidi"/>
                <w:b/>
                <w:bCs/>
                <w:color w:val="000000" w:themeColor="text1"/>
                <w:szCs w:val="26"/>
              </w:rPr>
              <w:t xml:space="preserve">uarter </w:t>
            </w:r>
            <w:r w:rsidRPr="001F2770">
              <w:rPr>
                <w:rFonts w:eastAsiaTheme="majorEastAsia" w:cstheme="majorBidi"/>
                <w:b/>
                <w:bCs/>
                <w:color w:val="000000" w:themeColor="text1"/>
                <w:szCs w:val="26"/>
              </w:rPr>
              <w:t>2</w:t>
            </w:r>
          </w:p>
        </w:tc>
        <w:tc>
          <w:tcPr>
            <w:tcW w:w="1417" w:type="dxa"/>
            <w:shd w:val="clear" w:color="auto" w:fill="D9D9D9" w:themeFill="background1" w:themeFillShade="D9"/>
            <w:noWrap/>
            <w:hideMark/>
          </w:tcPr>
          <w:p w14:paraId="193D8F15" w14:textId="12456CFB" w:rsidR="001F2770" w:rsidRPr="001F2770" w:rsidRDefault="001F2770" w:rsidP="001F2770">
            <w:pPr>
              <w:tabs>
                <w:tab w:val="left" w:pos="5400"/>
              </w:tabs>
              <w:spacing w:line="240" w:lineRule="auto"/>
              <w:rPr>
                <w:rFonts w:eastAsiaTheme="majorEastAsia" w:cstheme="majorBidi"/>
                <w:b/>
                <w:bCs/>
                <w:color w:val="000000" w:themeColor="text1"/>
                <w:szCs w:val="26"/>
              </w:rPr>
            </w:pPr>
            <w:r w:rsidRPr="001F2770">
              <w:rPr>
                <w:rFonts w:eastAsiaTheme="majorEastAsia" w:cstheme="majorBidi"/>
                <w:b/>
                <w:bCs/>
                <w:color w:val="000000" w:themeColor="text1"/>
                <w:szCs w:val="26"/>
              </w:rPr>
              <w:t>Q</w:t>
            </w:r>
            <w:r>
              <w:rPr>
                <w:rFonts w:eastAsiaTheme="majorEastAsia" w:cstheme="majorBidi"/>
                <w:b/>
                <w:bCs/>
                <w:color w:val="000000" w:themeColor="text1"/>
                <w:szCs w:val="26"/>
              </w:rPr>
              <w:t xml:space="preserve">uarter </w:t>
            </w:r>
            <w:r w:rsidRPr="001F2770">
              <w:rPr>
                <w:rFonts w:eastAsiaTheme="majorEastAsia" w:cstheme="majorBidi"/>
                <w:b/>
                <w:bCs/>
                <w:color w:val="000000" w:themeColor="text1"/>
                <w:szCs w:val="26"/>
              </w:rPr>
              <w:t>3</w:t>
            </w:r>
          </w:p>
        </w:tc>
        <w:tc>
          <w:tcPr>
            <w:tcW w:w="1417" w:type="dxa"/>
            <w:shd w:val="clear" w:color="auto" w:fill="D9D9D9" w:themeFill="background1" w:themeFillShade="D9"/>
            <w:noWrap/>
            <w:hideMark/>
          </w:tcPr>
          <w:p w14:paraId="69A6CA9B" w14:textId="7AB72ED8" w:rsidR="001F2770" w:rsidRPr="001F2770" w:rsidRDefault="001F2770" w:rsidP="001F2770">
            <w:pPr>
              <w:tabs>
                <w:tab w:val="left" w:pos="5400"/>
              </w:tabs>
              <w:spacing w:line="240" w:lineRule="auto"/>
              <w:rPr>
                <w:rFonts w:eastAsiaTheme="majorEastAsia" w:cstheme="majorBidi"/>
                <w:b/>
                <w:bCs/>
                <w:color w:val="000000" w:themeColor="text1"/>
                <w:szCs w:val="26"/>
              </w:rPr>
            </w:pPr>
            <w:r w:rsidRPr="001F2770">
              <w:rPr>
                <w:rFonts w:eastAsiaTheme="majorEastAsia" w:cstheme="majorBidi"/>
                <w:b/>
                <w:bCs/>
                <w:color w:val="000000" w:themeColor="text1"/>
                <w:szCs w:val="26"/>
              </w:rPr>
              <w:t>Q</w:t>
            </w:r>
            <w:r>
              <w:rPr>
                <w:rFonts w:eastAsiaTheme="majorEastAsia" w:cstheme="majorBidi"/>
                <w:b/>
                <w:bCs/>
                <w:color w:val="000000" w:themeColor="text1"/>
                <w:szCs w:val="26"/>
              </w:rPr>
              <w:t xml:space="preserve">uarter </w:t>
            </w:r>
            <w:r w:rsidRPr="001F2770">
              <w:rPr>
                <w:rFonts w:eastAsiaTheme="majorEastAsia" w:cstheme="majorBidi"/>
                <w:b/>
                <w:bCs/>
                <w:color w:val="000000" w:themeColor="text1"/>
                <w:szCs w:val="26"/>
              </w:rPr>
              <w:t>4</w:t>
            </w:r>
          </w:p>
        </w:tc>
      </w:tr>
      <w:tr w:rsidR="001F2770" w:rsidRPr="001F2770" w14:paraId="6F28280C" w14:textId="77777777" w:rsidTr="001F2770">
        <w:trPr>
          <w:trHeight w:val="300"/>
        </w:trPr>
        <w:tc>
          <w:tcPr>
            <w:tcW w:w="937" w:type="dxa"/>
            <w:noWrap/>
            <w:hideMark/>
          </w:tcPr>
          <w:p w14:paraId="201F7743" w14:textId="77777777" w:rsidR="001F2770" w:rsidRPr="001F2770" w:rsidRDefault="001F2770" w:rsidP="001F2770">
            <w:pPr>
              <w:tabs>
                <w:tab w:val="left" w:pos="5400"/>
              </w:tabs>
              <w:spacing w:line="240" w:lineRule="auto"/>
              <w:rPr>
                <w:rFonts w:eastAsiaTheme="majorEastAsia" w:cstheme="majorBidi"/>
                <w:bCs/>
                <w:color w:val="000000" w:themeColor="text1"/>
                <w:szCs w:val="26"/>
              </w:rPr>
            </w:pPr>
            <w:r w:rsidRPr="001F2770">
              <w:rPr>
                <w:rFonts w:eastAsiaTheme="majorEastAsia" w:cstheme="majorBidi"/>
                <w:bCs/>
                <w:color w:val="000000" w:themeColor="text1"/>
                <w:szCs w:val="26"/>
              </w:rPr>
              <w:t>2023</w:t>
            </w:r>
          </w:p>
        </w:tc>
        <w:tc>
          <w:tcPr>
            <w:tcW w:w="1417" w:type="dxa"/>
            <w:noWrap/>
            <w:hideMark/>
          </w:tcPr>
          <w:p w14:paraId="722F0C12" w14:textId="77777777" w:rsidR="001F2770" w:rsidRPr="001F2770" w:rsidRDefault="001F2770" w:rsidP="001F2770">
            <w:pPr>
              <w:tabs>
                <w:tab w:val="left" w:pos="5400"/>
              </w:tabs>
              <w:spacing w:line="240" w:lineRule="auto"/>
              <w:rPr>
                <w:rFonts w:eastAsiaTheme="majorEastAsia" w:cstheme="majorBidi"/>
                <w:bCs/>
                <w:color w:val="000000" w:themeColor="text1"/>
                <w:szCs w:val="26"/>
              </w:rPr>
            </w:pPr>
            <w:r w:rsidRPr="001F2770">
              <w:rPr>
                <w:rFonts w:eastAsiaTheme="majorEastAsia" w:cstheme="majorBidi"/>
                <w:bCs/>
                <w:color w:val="000000" w:themeColor="text1"/>
                <w:szCs w:val="26"/>
              </w:rPr>
              <w:t>94%</w:t>
            </w:r>
          </w:p>
        </w:tc>
        <w:tc>
          <w:tcPr>
            <w:tcW w:w="1417" w:type="dxa"/>
            <w:noWrap/>
            <w:hideMark/>
          </w:tcPr>
          <w:p w14:paraId="11EEFA5D" w14:textId="77777777" w:rsidR="001F2770" w:rsidRPr="001F2770" w:rsidRDefault="001F2770" w:rsidP="001F2770">
            <w:pPr>
              <w:tabs>
                <w:tab w:val="left" w:pos="5400"/>
              </w:tabs>
              <w:spacing w:line="240" w:lineRule="auto"/>
              <w:rPr>
                <w:rFonts w:eastAsiaTheme="majorEastAsia" w:cstheme="majorBidi"/>
                <w:bCs/>
                <w:color w:val="000000" w:themeColor="text1"/>
                <w:szCs w:val="26"/>
              </w:rPr>
            </w:pPr>
            <w:r w:rsidRPr="001F2770">
              <w:rPr>
                <w:rFonts w:eastAsiaTheme="majorEastAsia" w:cstheme="majorBidi"/>
                <w:bCs/>
                <w:color w:val="000000" w:themeColor="text1"/>
                <w:szCs w:val="26"/>
              </w:rPr>
              <w:t>94%</w:t>
            </w:r>
          </w:p>
        </w:tc>
        <w:tc>
          <w:tcPr>
            <w:tcW w:w="1417" w:type="dxa"/>
            <w:noWrap/>
            <w:hideMark/>
          </w:tcPr>
          <w:p w14:paraId="180783F3" w14:textId="77777777" w:rsidR="001F2770" w:rsidRPr="001F2770" w:rsidRDefault="001F2770" w:rsidP="001F2770">
            <w:pPr>
              <w:tabs>
                <w:tab w:val="left" w:pos="5400"/>
              </w:tabs>
              <w:spacing w:line="240" w:lineRule="auto"/>
              <w:rPr>
                <w:rFonts w:eastAsiaTheme="majorEastAsia" w:cstheme="majorBidi"/>
                <w:bCs/>
                <w:color w:val="000000" w:themeColor="text1"/>
                <w:szCs w:val="26"/>
              </w:rPr>
            </w:pPr>
            <w:r w:rsidRPr="001F2770">
              <w:rPr>
                <w:rFonts w:eastAsiaTheme="majorEastAsia" w:cstheme="majorBidi"/>
                <w:bCs/>
                <w:color w:val="000000" w:themeColor="text1"/>
                <w:szCs w:val="26"/>
              </w:rPr>
              <w:t>82%</w:t>
            </w:r>
          </w:p>
        </w:tc>
        <w:tc>
          <w:tcPr>
            <w:tcW w:w="1417" w:type="dxa"/>
            <w:noWrap/>
            <w:hideMark/>
          </w:tcPr>
          <w:p w14:paraId="735DC3A9" w14:textId="77777777" w:rsidR="001F2770" w:rsidRPr="001F2770" w:rsidRDefault="001F2770" w:rsidP="001F2770">
            <w:pPr>
              <w:tabs>
                <w:tab w:val="left" w:pos="5400"/>
              </w:tabs>
              <w:spacing w:line="240" w:lineRule="auto"/>
              <w:rPr>
                <w:rFonts w:eastAsiaTheme="majorEastAsia" w:cstheme="majorBidi"/>
                <w:bCs/>
                <w:color w:val="000000" w:themeColor="text1"/>
                <w:szCs w:val="26"/>
              </w:rPr>
            </w:pPr>
            <w:r w:rsidRPr="001F2770">
              <w:rPr>
                <w:rFonts w:eastAsiaTheme="majorEastAsia" w:cstheme="majorBidi"/>
                <w:bCs/>
                <w:color w:val="000000" w:themeColor="text1"/>
                <w:szCs w:val="26"/>
              </w:rPr>
              <w:t>77%</w:t>
            </w:r>
          </w:p>
        </w:tc>
      </w:tr>
      <w:tr w:rsidR="001F2770" w:rsidRPr="001F2770" w14:paraId="306A666A" w14:textId="77777777" w:rsidTr="001F2770">
        <w:trPr>
          <w:trHeight w:val="300"/>
        </w:trPr>
        <w:tc>
          <w:tcPr>
            <w:tcW w:w="937" w:type="dxa"/>
            <w:noWrap/>
            <w:hideMark/>
          </w:tcPr>
          <w:p w14:paraId="729545B9" w14:textId="77777777" w:rsidR="001F2770" w:rsidRPr="001F2770" w:rsidRDefault="001F2770" w:rsidP="001F2770">
            <w:pPr>
              <w:tabs>
                <w:tab w:val="left" w:pos="5400"/>
              </w:tabs>
              <w:spacing w:line="240" w:lineRule="auto"/>
              <w:rPr>
                <w:rFonts w:eastAsiaTheme="majorEastAsia" w:cstheme="majorBidi"/>
                <w:bCs/>
                <w:color w:val="000000" w:themeColor="text1"/>
                <w:szCs w:val="26"/>
              </w:rPr>
            </w:pPr>
            <w:r w:rsidRPr="001F2770">
              <w:rPr>
                <w:rFonts w:eastAsiaTheme="majorEastAsia" w:cstheme="majorBidi"/>
                <w:bCs/>
                <w:color w:val="000000" w:themeColor="text1"/>
                <w:szCs w:val="26"/>
              </w:rPr>
              <w:t>2024</w:t>
            </w:r>
          </w:p>
        </w:tc>
        <w:tc>
          <w:tcPr>
            <w:tcW w:w="1417" w:type="dxa"/>
            <w:noWrap/>
            <w:hideMark/>
          </w:tcPr>
          <w:p w14:paraId="63A0C3AA" w14:textId="77777777" w:rsidR="001F2770" w:rsidRPr="001F2770" w:rsidRDefault="001F2770" w:rsidP="001F2770">
            <w:pPr>
              <w:tabs>
                <w:tab w:val="left" w:pos="5400"/>
              </w:tabs>
              <w:spacing w:line="240" w:lineRule="auto"/>
              <w:rPr>
                <w:rFonts w:eastAsiaTheme="majorEastAsia" w:cstheme="majorBidi"/>
                <w:bCs/>
                <w:color w:val="000000" w:themeColor="text1"/>
                <w:szCs w:val="26"/>
              </w:rPr>
            </w:pPr>
            <w:r w:rsidRPr="001F2770">
              <w:rPr>
                <w:rFonts w:eastAsiaTheme="majorEastAsia" w:cstheme="majorBidi"/>
                <w:bCs/>
                <w:color w:val="000000" w:themeColor="text1"/>
                <w:szCs w:val="26"/>
              </w:rPr>
              <w:t>67%</w:t>
            </w:r>
          </w:p>
        </w:tc>
        <w:tc>
          <w:tcPr>
            <w:tcW w:w="1417" w:type="dxa"/>
            <w:noWrap/>
            <w:hideMark/>
          </w:tcPr>
          <w:p w14:paraId="297F3B88" w14:textId="77777777" w:rsidR="001F2770" w:rsidRPr="001F2770" w:rsidRDefault="001F2770" w:rsidP="001F2770">
            <w:pPr>
              <w:tabs>
                <w:tab w:val="left" w:pos="5400"/>
              </w:tabs>
              <w:spacing w:line="240" w:lineRule="auto"/>
              <w:rPr>
                <w:rFonts w:eastAsiaTheme="majorEastAsia" w:cstheme="majorBidi"/>
                <w:bCs/>
                <w:color w:val="000000" w:themeColor="text1"/>
                <w:szCs w:val="26"/>
              </w:rPr>
            </w:pPr>
            <w:r w:rsidRPr="001F2770">
              <w:rPr>
                <w:rFonts w:eastAsiaTheme="majorEastAsia" w:cstheme="majorBidi"/>
                <w:bCs/>
                <w:color w:val="000000" w:themeColor="text1"/>
                <w:szCs w:val="26"/>
              </w:rPr>
              <w:t>45%</w:t>
            </w:r>
          </w:p>
        </w:tc>
        <w:tc>
          <w:tcPr>
            <w:tcW w:w="1417" w:type="dxa"/>
            <w:noWrap/>
            <w:hideMark/>
          </w:tcPr>
          <w:p w14:paraId="111BA408" w14:textId="77777777" w:rsidR="001F2770" w:rsidRPr="001F2770" w:rsidRDefault="001F2770" w:rsidP="001F2770">
            <w:pPr>
              <w:tabs>
                <w:tab w:val="left" w:pos="5400"/>
              </w:tabs>
              <w:spacing w:line="240" w:lineRule="auto"/>
              <w:rPr>
                <w:rFonts w:eastAsiaTheme="majorEastAsia" w:cstheme="majorBidi"/>
                <w:bCs/>
                <w:color w:val="000000" w:themeColor="text1"/>
                <w:szCs w:val="26"/>
              </w:rPr>
            </w:pPr>
            <w:r w:rsidRPr="001F2770">
              <w:rPr>
                <w:rFonts w:eastAsiaTheme="majorEastAsia" w:cstheme="majorBidi"/>
                <w:bCs/>
                <w:color w:val="000000" w:themeColor="text1"/>
                <w:szCs w:val="26"/>
              </w:rPr>
              <w:t>47%</w:t>
            </w:r>
          </w:p>
        </w:tc>
        <w:tc>
          <w:tcPr>
            <w:tcW w:w="1417" w:type="dxa"/>
            <w:noWrap/>
            <w:hideMark/>
          </w:tcPr>
          <w:p w14:paraId="6C706F4A" w14:textId="77777777" w:rsidR="001F2770" w:rsidRPr="001F2770" w:rsidRDefault="001F2770" w:rsidP="001F2770">
            <w:pPr>
              <w:tabs>
                <w:tab w:val="left" w:pos="5400"/>
              </w:tabs>
              <w:spacing w:line="240" w:lineRule="auto"/>
              <w:rPr>
                <w:rFonts w:eastAsiaTheme="majorEastAsia" w:cstheme="majorBidi"/>
                <w:bCs/>
                <w:color w:val="000000" w:themeColor="text1"/>
                <w:szCs w:val="26"/>
              </w:rPr>
            </w:pPr>
            <w:r w:rsidRPr="001F2770">
              <w:rPr>
                <w:rFonts w:eastAsiaTheme="majorEastAsia" w:cstheme="majorBidi"/>
                <w:bCs/>
                <w:color w:val="000000" w:themeColor="text1"/>
                <w:szCs w:val="26"/>
              </w:rPr>
              <w:t>58%</w:t>
            </w:r>
          </w:p>
        </w:tc>
      </w:tr>
      <w:tr w:rsidR="001F2770" w:rsidRPr="001F2770" w14:paraId="0A43A30C" w14:textId="77777777" w:rsidTr="001F2770">
        <w:trPr>
          <w:trHeight w:val="300"/>
        </w:trPr>
        <w:tc>
          <w:tcPr>
            <w:tcW w:w="937" w:type="dxa"/>
            <w:noWrap/>
            <w:hideMark/>
          </w:tcPr>
          <w:p w14:paraId="7CE7C626" w14:textId="77777777" w:rsidR="001F2770" w:rsidRPr="001F2770" w:rsidRDefault="001F2770" w:rsidP="001F2770">
            <w:pPr>
              <w:tabs>
                <w:tab w:val="left" w:pos="5400"/>
              </w:tabs>
              <w:spacing w:line="240" w:lineRule="auto"/>
              <w:rPr>
                <w:rFonts w:eastAsiaTheme="majorEastAsia" w:cstheme="majorBidi"/>
                <w:bCs/>
                <w:color w:val="000000" w:themeColor="text1"/>
                <w:szCs w:val="26"/>
              </w:rPr>
            </w:pPr>
            <w:r w:rsidRPr="001F2770">
              <w:rPr>
                <w:rFonts w:eastAsiaTheme="majorEastAsia" w:cstheme="majorBidi"/>
                <w:bCs/>
                <w:color w:val="000000" w:themeColor="text1"/>
                <w:szCs w:val="26"/>
              </w:rPr>
              <w:t>2025</w:t>
            </w:r>
          </w:p>
        </w:tc>
        <w:tc>
          <w:tcPr>
            <w:tcW w:w="1417" w:type="dxa"/>
            <w:noWrap/>
            <w:hideMark/>
          </w:tcPr>
          <w:p w14:paraId="62A9913F" w14:textId="77777777" w:rsidR="001F2770" w:rsidRPr="001F2770" w:rsidRDefault="001F2770" w:rsidP="001F2770">
            <w:pPr>
              <w:tabs>
                <w:tab w:val="left" w:pos="5400"/>
              </w:tabs>
              <w:spacing w:line="240" w:lineRule="auto"/>
              <w:rPr>
                <w:rFonts w:eastAsiaTheme="majorEastAsia" w:cstheme="majorBidi"/>
                <w:bCs/>
                <w:color w:val="000000" w:themeColor="text1"/>
                <w:szCs w:val="26"/>
              </w:rPr>
            </w:pPr>
            <w:r w:rsidRPr="001F2770">
              <w:rPr>
                <w:rFonts w:eastAsiaTheme="majorEastAsia" w:cstheme="majorBidi"/>
                <w:bCs/>
                <w:color w:val="000000" w:themeColor="text1"/>
                <w:szCs w:val="26"/>
              </w:rPr>
              <w:t>66%</w:t>
            </w:r>
          </w:p>
        </w:tc>
        <w:tc>
          <w:tcPr>
            <w:tcW w:w="1417" w:type="dxa"/>
            <w:noWrap/>
            <w:hideMark/>
          </w:tcPr>
          <w:p w14:paraId="1E35F807" w14:textId="77777777" w:rsidR="001F2770" w:rsidRPr="001F2770" w:rsidRDefault="001F2770" w:rsidP="001F2770">
            <w:pPr>
              <w:tabs>
                <w:tab w:val="left" w:pos="5400"/>
              </w:tabs>
              <w:spacing w:line="240" w:lineRule="auto"/>
              <w:rPr>
                <w:rFonts w:eastAsiaTheme="majorEastAsia" w:cstheme="majorBidi"/>
                <w:bCs/>
                <w:color w:val="000000" w:themeColor="text1"/>
                <w:szCs w:val="26"/>
              </w:rPr>
            </w:pPr>
            <w:r w:rsidRPr="001F2770">
              <w:rPr>
                <w:rFonts w:eastAsiaTheme="majorEastAsia" w:cstheme="majorBidi"/>
                <w:bCs/>
                <w:color w:val="000000" w:themeColor="text1"/>
                <w:szCs w:val="26"/>
              </w:rPr>
              <w:t>52%</w:t>
            </w:r>
          </w:p>
        </w:tc>
        <w:tc>
          <w:tcPr>
            <w:tcW w:w="1417" w:type="dxa"/>
            <w:noWrap/>
            <w:hideMark/>
          </w:tcPr>
          <w:p w14:paraId="1778EBBA" w14:textId="77777777" w:rsidR="001F2770" w:rsidRPr="001F2770" w:rsidRDefault="001F2770" w:rsidP="001F2770">
            <w:pPr>
              <w:tabs>
                <w:tab w:val="left" w:pos="5400"/>
              </w:tabs>
              <w:spacing w:line="240" w:lineRule="auto"/>
              <w:rPr>
                <w:rFonts w:eastAsiaTheme="majorEastAsia" w:cstheme="majorBidi"/>
                <w:bCs/>
                <w:color w:val="000000" w:themeColor="text1"/>
                <w:szCs w:val="26"/>
              </w:rPr>
            </w:pPr>
            <w:r w:rsidRPr="001F2770">
              <w:rPr>
                <w:rFonts w:eastAsiaTheme="majorEastAsia" w:cstheme="majorBidi"/>
                <w:bCs/>
                <w:color w:val="000000" w:themeColor="text1"/>
                <w:szCs w:val="26"/>
              </w:rPr>
              <w:t>38%</w:t>
            </w:r>
          </w:p>
        </w:tc>
        <w:tc>
          <w:tcPr>
            <w:tcW w:w="1417" w:type="dxa"/>
            <w:noWrap/>
            <w:hideMark/>
          </w:tcPr>
          <w:p w14:paraId="14F8077A" w14:textId="608D1917" w:rsidR="001F2770" w:rsidRPr="001F2770" w:rsidRDefault="001F2770" w:rsidP="001F2770">
            <w:pPr>
              <w:tabs>
                <w:tab w:val="left" w:pos="5400"/>
              </w:tabs>
              <w:spacing w:line="240" w:lineRule="auto"/>
              <w:rPr>
                <w:rFonts w:eastAsiaTheme="majorEastAsia" w:cstheme="majorBidi"/>
                <w:bCs/>
                <w:color w:val="000000" w:themeColor="text1"/>
                <w:szCs w:val="26"/>
              </w:rPr>
            </w:pPr>
            <w:r w:rsidRPr="001F2770">
              <w:rPr>
                <w:rFonts w:eastAsiaTheme="majorEastAsia" w:cstheme="majorBidi"/>
                <w:bCs/>
                <w:color w:val="000000" w:themeColor="text1"/>
                <w:szCs w:val="26"/>
              </w:rPr>
              <w:t> </w:t>
            </w:r>
            <w:r>
              <w:rPr>
                <w:rFonts w:eastAsiaTheme="majorEastAsia" w:cstheme="majorBidi"/>
                <w:bCs/>
                <w:color w:val="000000" w:themeColor="text1"/>
                <w:szCs w:val="26"/>
              </w:rPr>
              <w:t>~</w:t>
            </w:r>
          </w:p>
        </w:tc>
      </w:tr>
    </w:tbl>
    <w:p w14:paraId="4D49CC99" w14:textId="77777777" w:rsidR="00883F7A" w:rsidRPr="00A10155" w:rsidRDefault="00883F7A" w:rsidP="00A10155">
      <w:pPr>
        <w:tabs>
          <w:tab w:val="left" w:pos="5400"/>
        </w:tabs>
        <w:rPr>
          <w:rFonts w:eastAsiaTheme="majorEastAsia" w:cstheme="majorBidi"/>
          <w:b/>
          <w:color w:val="000000" w:themeColor="text1"/>
          <w:szCs w:val="26"/>
        </w:rPr>
      </w:pPr>
    </w:p>
    <w:p w14:paraId="1B775B84" w14:textId="77777777" w:rsidR="00D64753" w:rsidRDefault="00D64753" w:rsidP="00A10155">
      <w:pPr>
        <w:tabs>
          <w:tab w:val="left" w:pos="5400"/>
        </w:tabs>
        <w:rPr>
          <w:rFonts w:eastAsiaTheme="majorEastAsia" w:cstheme="majorBidi"/>
          <w:b/>
          <w:color w:val="000000" w:themeColor="text1"/>
          <w:szCs w:val="26"/>
        </w:rPr>
      </w:pPr>
    </w:p>
    <w:p w14:paraId="5EA3BD84" w14:textId="77777777" w:rsidR="00D64753" w:rsidRDefault="00D64753" w:rsidP="00A10155">
      <w:pPr>
        <w:tabs>
          <w:tab w:val="left" w:pos="5400"/>
        </w:tabs>
        <w:rPr>
          <w:rFonts w:eastAsiaTheme="majorEastAsia" w:cstheme="majorBidi"/>
          <w:b/>
          <w:color w:val="000000" w:themeColor="text1"/>
          <w:szCs w:val="26"/>
        </w:rPr>
      </w:pPr>
    </w:p>
    <w:p w14:paraId="4BEC940F" w14:textId="4CFE9B97" w:rsidR="00A10155" w:rsidRPr="00A10155" w:rsidRDefault="00A10155" w:rsidP="00A10155">
      <w:pPr>
        <w:tabs>
          <w:tab w:val="left" w:pos="5400"/>
        </w:tabs>
        <w:rPr>
          <w:rFonts w:eastAsiaTheme="majorEastAsia" w:cstheme="majorBidi"/>
          <w:b/>
          <w:color w:val="000000" w:themeColor="text1"/>
          <w:szCs w:val="26"/>
        </w:rPr>
      </w:pPr>
      <w:r w:rsidRPr="00A10155">
        <w:rPr>
          <w:rFonts w:eastAsiaTheme="majorEastAsia" w:cstheme="majorBidi"/>
          <w:b/>
          <w:color w:val="000000" w:themeColor="text1"/>
          <w:szCs w:val="26"/>
        </w:rPr>
        <w:lastRenderedPageBreak/>
        <w:t>3. The longest delay recorded between receiving a SAR and issuing a response since January 2023.</w:t>
      </w:r>
    </w:p>
    <w:p w14:paraId="6E0A39AB" w14:textId="6F01CD01" w:rsidR="00606BE1" w:rsidRDefault="00D64753" w:rsidP="00606BE1">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A request received in March 2023 was responded to in December 2024 - </w:t>
      </w:r>
      <w:r w:rsidR="00606BE1">
        <w:rPr>
          <w:rFonts w:eastAsiaTheme="majorEastAsia" w:cstheme="majorBidi"/>
          <w:bCs/>
          <w:color w:val="000000" w:themeColor="text1"/>
          <w:szCs w:val="26"/>
        </w:rPr>
        <w:t>that is the longest recorded delay recorded for a SAR response since January 2023.</w:t>
      </w:r>
    </w:p>
    <w:p w14:paraId="56EEFF3B" w14:textId="77777777" w:rsidR="00786CB4" w:rsidRPr="00A10155" w:rsidRDefault="00786CB4" w:rsidP="00A10155">
      <w:pPr>
        <w:tabs>
          <w:tab w:val="left" w:pos="5400"/>
        </w:tabs>
        <w:rPr>
          <w:rFonts w:eastAsiaTheme="majorEastAsia" w:cstheme="majorBidi"/>
          <w:b/>
          <w:color w:val="000000" w:themeColor="text1"/>
          <w:szCs w:val="26"/>
        </w:rPr>
      </w:pPr>
    </w:p>
    <w:p w14:paraId="62BAEA1C" w14:textId="11A8746D" w:rsidR="00A10155" w:rsidRPr="00A10155" w:rsidRDefault="00A10155" w:rsidP="00A10155">
      <w:pPr>
        <w:tabs>
          <w:tab w:val="left" w:pos="5400"/>
        </w:tabs>
        <w:rPr>
          <w:rFonts w:eastAsiaTheme="majorEastAsia" w:cstheme="majorBidi"/>
          <w:b/>
          <w:color w:val="000000" w:themeColor="text1"/>
          <w:szCs w:val="26"/>
        </w:rPr>
      </w:pPr>
      <w:r w:rsidRPr="00A10155">
        <w:rPr>
          <w:rFonts w:eastAsiaTheme="majorEastAsia" w:cstheme="majorBidi"/>
          <w:b/>
          <w:color w:val="000000" w:themeColor="text1"/>
          <w:szCs w:val="26"/>
        </w:rPr>
        <w:t xml:space="preserve">4. Any internal or external audits, assessments, or reviews carried out since January 2023 regarding delays or compliance issues in Police </w:t>
      </w:r>
      <w:r w:rsidR="00786CB4" w:rsidRPr="00A10155">
        <w:rPr>
          <w:rFonts w:eastAsiaTheme="majorEastAsia" w:cstheme="majorBidi"/>
          <w:b/>
          <w:color w:val="000000" w:themeColor="text1"/>
          <w:szCs w:val="26"/>
        </w:rPr>
        <w:t>Scotland’s</w:t>
      </w:r>
      <w:r w:rsidRPr="00A10155">
        <w:rPr>
          <w:rFonts w:eastAsiaTheme="majorEastAsia" w:cstheme="majorBidi"/>
          <w:b/>
          <w:color w:val="000000" w:themeColor="text1"/>
          <w:szCs w:val="26"/>
        </w:rPr>
        <w:t xml:space="preserve"> SAR handling.</w:t>
      </w:r>
    </w:p>
    <w:p w14:paraId="46A9924F" w14:textId="09A448B5" w:rsidR="00D863F5" w:rsidRPr="00D863F5" w:rsidRDefault="00D863F5" w:rsidP="00D863F5">
      <w:pPr>
        <w:tabs>
          <w:tab w:val="left" w:pos="5400"/>
        </w:tabs>
        <w:rPr>
          <w:rFonts w:eastAsiaTheme="majorEastAsia" w:cstheme="majorBidi"/>
          <w:bCs/>
          <w:color w:val="000000" w:themeColor="text1"/>
          <w:szCs w:val="26"/>
        </w:rPr>
      </w:pPr>
      <w:r>
        <w:rPr>
          <w:bCs/>
        </w:rPr>
        <w:t>I</w:t>
      </w:r>
      <w:r w:rsidR="007C2CBB">
        <w:rPr>
          <w:rFonts w:eastAsiaTheme="majorEastAsia" w:cstheme="majorBidi"/>
          <w:bCs/>
          <w:color w:val="000000" w:themeColor="text1"/>
          <w:szCs w:val="26"/>
        </w:rPr>
        <w:t xml:space="preserve">n October 2025, a review report was issued by the </w:t>
      </w:r>
      <w:r w:rsidR="007C2CBB" w:rsidRPr="007C2CBB">
        <w:rPr>
          <w:rFonts w:eastAsiaTheme="majorEastAsia" w:cstheme="majorBidi"/>
          <w:bCs/>
          <w:color w:val="000000" w:themeColor="text1"/>
          <w:szCs w:val="26"/>
        </w:rPr>
        <w:t>Police Scotland</w:t>
      </w:r>
      <w:r w:rsidR="007C2CBB">
        <w:rPr>
          <w:rFonts w:eastAsiaTheme="majorEastAsia" w:cstheme="majorBidi"/>
          <w:bCs/>
          <w:color w:val="000000" w:themeColor="text1"/>
          <w:szCs w:val="26"/>
        </w:rPr>
        <w:t xml:space="preserve"> Risk, Assurance and Inspection Team</w:t>
      </w:r>
      <w:r>
        <w:rPr>
          <w:rFonts w:eastAsiaTheme="majorEastAsia" w:cstheme="majorBidi"/>
          <w:bCs/>
          <w:color w:val="000000" w:themeColor="text1"/>
          <w:szCs w:val="26"/>
        </w:rPr>
        <w:t xml:space="preserve"> based on the following terms of reference:</w:t>
      </w:r>
    </w:p>
    <w:p w14:paraId="6B71E529" w14:textId="10131216" w:rsidR="007C2CBB" w:rsidRPr="007C2CBB" w:rsidRDefault="007C2CBB" w:rsidP="007C2CBB">
      <w:pPr>
        <w:pStyle w:val="ListParagraph"/>
        <w:numPr>
          <w:ilvl w:val="0"/>
          <w:numId w:val="7"/>
        </w:numPr>
        <w:tabs>
          <w:tab w:val="left" w:pos="5400"/>
        </w:tabs>
        <w:ind w:left="360"/>
        <w:rPr>
          <w:rFonts w:eastAsiaTheme="majorEastAsia" w:cstheme="majorBidi"/>
          <w:bCs/>
          <w:color w:val="000000" w:themeColor="text1"/>
          <w:szCs w:val="26"/>
        </w:rPr>
      </w:pPr>
      <w:r w:rsidRPr="007C2CBB">
        <w:rPr>
          <w:rFonts w:eastAsiaTheme="majorEastAsia" w:cstheme="majorBidi"/>
          <w:bCs/>
          <w:color w:val="000000" w:themeColor="text1"/>
          <w:szCs w:val="26"/>
        </w:rPr>
        <w:t xml:space="preserve">Review SAR policies and procedures. </w:t>
      </w:r>
    </w:p>
    <w:p w14:paraId="4C2B49D8" w14:textId="18FE709E" w:rsidR="007C2CBB" w:rsidRPr="007C2CBB" w:rsidRDefault="007C2CBB" w:rsidP="007C2CBB">
      <w:pPr>
        <w:pStyle w:val="ListParagraph"/>
        <w:numPr>
          <w:ilvl w:val="0"/>
          <w:numId w:val="7"/>
        </w:numPr>
        <w:tabs>
          <w:tab w:val="left" w:pos="5400"/>
        </w:tabs>
        <w:ind w:left="360"/>
        <w:rPr>
          <w:rFonts w:eastAsiaTheme="majorEastAsia" w:cstheme="majorBidi"/>
          <w:bCs/>
          <w:color w:val="000000" w:themeColor="text1"/>
          <w:szCs w:val="26"/>
        </w:rPr>
      </w:pPr>
      <w:r w:rsidRPr="007C2CBB">
        <w:rPr>
          <w:rFonts w:eastAsiaTheme="majorEastAsia" w:cstheme="majorBidi"/>
          <w:bCs/>
          <w:color w:val="000000" w:themeColor="text1"/>
          <w:szCs w:val="26"/>
        </w:rPr>
        <w:t xml:space="preserve">Assess the administrative process and impact of legislative timescales for SARs. </w:t>
      </w:r>
    </w:p>
    <w:p w14:paraId="1D869A45" w14:textId="77777777" w:rsidR="007C2CBB" w:rsidRDefault="007C2CBB" w:rsidP="007C2CBB">
      <w:pPr>
        <w:pStyle w:val="ListParagraph"/>
        <w:numPr>
          <w:ilvl w:val="0"/>
          <w:numId w:val="7"/>
        </w:numPr>
        <w:tabs>
          <w:tab w:val="left" w:pos="5400"/>
        </w:tabs>
        <w:ind w:left="360"/>
        <w:rPr>
          <w:rFonts w:eastAsiaTheme="majorEastAsia" w:cstheme="majorBidi"/>
          <w:bCs/>
          <w:color w:val="000000" w:themeColor="text1"/>
          <w:szCs w:val="26"/>
        </w:rPr>
      </w:pPr>
      <w:r w:rsidRPr="007C2CBB">
        <w:rPr>
          <w:rFonts w:eastAsiaTheme="majorEastAsia" w:cstheme="majorBidi"/>
          <w:bCs/>
          <w:color w:val="000000" w:themeColor="text1"/>
          <w:szCs w:val="26"/>
        </w:rPr>
        <w:t xml:space="preserve">To consider good practice through benchmarking to identify potential solutions which support the SAR process. </w:t>
      </w:r>
    </w:p>
    <w:p w14:paraId="6C5AFE7D" w14:textId="66386BA6" w:rsidR="007C2CBB" w:rsidRPr="007C2CBB" w:rsidRDefault="007C2CBB" w:rsidP="007C2CBB">
      <w:pPr>
        <w:pStyle w:val="ListParagraph"/>
        <w:numPr>
          <w:ilvl w:val="0"/>
          <w:numId w:val="7"/>
        </w:numPr>
        <w:tabs>
          <w:tab w:val="left" w:pos="5400"/>
        </w:tabs>
        <w:ind w:left="360"/>
        <w:rPr>
          <w:rFonts w:eastAsiaTheme="majorEastAsia" w:cstheme="majorBidi"/>
          <w:bCs/>
          <w:color w:val="000000" w:themeColor="text1"/>
          <w:szCs w:val="26"/>
        </w:rPr>
      </w:pPr>
      <w:r w:rsidRPr="007C2CBB">
        <w:rPr>
          <w:rFonts w:eastAsiaTheme="majorEastAsia" w:cstheme="majorBidi"/>
          <w:bCs/>
          <w:color w:val="000000" w:themeColor="text1"/>
          <w:szCs w:val="26"/>
        </w:rPr>
        <w:t xml:space="preserve">Produce a factual assurance report outlining any recommendations or improvement opportunities identified. </w:t>
      </w:r>
    </w:p>
    <w:p w14:paraId="15F27D41" w14:textId="578CD599" w:rsidR="00D863F5" w:rsidRDefault="00D863F5" w:rsidP="006879B0">
      <w:pPr>
        <w:tabs>
          <w:tab w:val="left" w:pos="5400"/>
        </w:tabs>
        <w:rPr>
          <w:rFonts w:eastAsiaTheme="majorEastAsia" w:cstheme="majorBidi"/>
          <w:bCs/>
          <w:color w:val="000000" w:themeColor="text1"/>
          <w:szCs w:val="26"/>
        </w:rPr>
      </w:pPr>
      <w:r>
        <w:t>I am refusing to provide you with a copy of the report in terms of s</w:t>
      </w:r>
      <w:r w:rsidRPr="00453F0A">
        <w:t>ection 16</w:t>
      </w:r>
      <w:r>
        <w:t>(1) of the Act on the basis that the exemption outlined at section 30(c) of the Act applies - prejudice to the effective conduct of public affairs.</w:t>
      </w:r>
    </w:p>
    <w:p w14:paraId="62908F57" w14:textId="19D337AE" w:rsidR="007C2CBB" w:rsidRDefault="00D863F5" w:rsidP="00A10155">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P</w:t>
      </w:r>
      <w:r w:rsidR="007C2CBB">
        <w:rPr>
          <w:rFonts w:eastAsiaTheme="majorEastAsia" w:cstheme="majorBidi"/>
          <w:bCs/>
          <w:color w:val="000000" w:themeColor="text1"/>
          <w:szCs w:val="26"/>
        </w:rPr>
        <w:t xml:space="preserve">ublication </w:t>
      </w:r>
      <w:r>
        <w:rPr>
          <w:rFonts w:eastAsiaTheme="majorEastAsia" w:cstheme="majorBidi"/>
          <w:bCs/>
          <w:color w:val="000000" w:themeColor="text1"/>
          <w:szCs w:val="26"/>
        </w:rPr>
        <w:t>of the report is very recent, and</w:t>
      </w:r>
      <w:r w:rsidR="007C2CBB">
        <w:rPr>
          <w:rFonts w:eastAsiaTheme="majorEastAsia" w:cstheme="majorBidi"/>
          <w:bCs/>
          <w:color w:val="000000" w:themeColor="text1"/>
          <w:szCs w:val="26"/>
        </w:rPr>
        <w:t xml:space="preserve"> it remains under consideration by the relevant management team</w:t>
      </w:r>
      <w:r>
        <w:rPr>
          <w:rFonts w:eastAsiaTheme="majorEastAsia" w:cstheme="majorBidi"/>
          <w:bCs/>
          <w:color w:val="000000" w:themeColor="text1"/>
          <w:szCs w:val="26"/>
        </w:rPr>
        <w:t xml:space="preserve"> at this time, pending sharing with the wider team and action being taken as regards the various recommendations.</w:t>
      </w:r>
    </w:p>
    <w:p w14:paraId="0222DD2A" w14:textId="570BBCF7" w:rsidR="00D863F5" w:rsidRDefault="00D863F5" w:rsidP="00A10155">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Whilst there is a public interest in terms of accountability and public awareness as regards how </w:t>
      </w:r>
      <w:r w:rsidRPr="00D863F5">
        <w:rPr>
          <w:rFonts w:eastAsiaTheme="majorEastAsia" w:cstheme="majorBidi"/>
          <w:bCs/>
          <w:color w:val="000000" w:themeColor="text1"/>
          <w:szCs w:val="26"/>
        </w:rPr>
        <w:t>Police Scotland</w:t>
      </w:r>
      <w:r>
        <w:rPr>
          <w:rFonts w:eastAsiaTheme="majorEastAsia" w:cstheme="majorBidi"/>
          <w:bCs/>
          <w:color w:val="000000" w:themeColor="text1"/>
          <w:szCs w:val="26"/>
        </w:rPr>
        <w:t xml:space="preserve"> is managing its legislative SAR obligations, it cannot be in the public interest for reviews to be publicly disclosed before such time that they have been fully considered and actioned by the relevant management team. </w:t>
      </w:r>
    </w:p>
    <w:p w14:paraId="3459B7C5" w14:textId="2C9EB54D" w:rsidR="00D863F5" w:rsidRDefault="00D863F5" w:rsidP="00D863F5">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To be of assistance, I can also advise you that data regarding SAR compliance is shared with the Information Commissioner’s Office (ICO) monthly, via the Force Data Protection Officer.</w:t>
      </w:r>
    </w:p>
    <w:p w14:paraId="1A17168B" w14:textId="77777777" w:rsidR="007C2CBB" w:rsidRPr="007C2CBB" w:rsidRDefault="007C2CBB" w:rsidP="00A10155">
      <w:pPr>
        <w:tabs>
          <w:tab w:val="left" w:pos="5400"/>
        </w:tabs>
        <w:rPr>
          <w:rFonts w:eastAsiaTheme="majorEastAsia" w:cstheme="majorBidi"/>
          <w:bCs/>
          <w:color w:val="000000" w:themeColor="text1"/>
          <w:szCs w:val="26"/>
        </w:rPr>
      </w:pPr>
    </w:p>
    <w:p w14:paraId="6DC9A3BC" w14:textId="77777777" w:rsidR="00BB7AB3" w:rsidRDefault="00BB7AB3">
      <w:pPr>
        <w:rPr>
          <w:rFonts w:eastAsiaTheme="majorEastAsia" w:cstheme="majorBidi"/>
          <w:b/>
          <w:color w:val="000000" w:themeColor="text1"/>
          <w:szCs w:val="26"/>
        </w:rPr>
      </w:pPr>
      <w:r>
        <w:rPr>
          <w:rFonts w:eastAsiaTheme="majorEastAsia" w:cstheme="majorBidi"/>
          <w:b/>
          <w:color w:val="000000" w:themeColor="text1"/>
          <w:szCs w:val="26"/>
        </w:rPr>
        <w:br w:type="page"/>
      </w:r>
    </w:p>
    <w:p w14:paraId="12D4EBE4" w14:textId="10D59BE0" w:rsidR="00A10155" w:rsidRPr="00A10155" w:rsidRDefault="00A10155" w:rsidP="00A10155">
      <w:pPr>
        <w:tabs>
          <w:tab w:val="left" w:pos="5400"/>
        </w:tabs>
        <w:rPr>
          <w:rFonts w:eastAsiaTheme="majorEastAsia" w:cstheme="majorBidi"/>
          <w:b/>
          <w:color w:val="000000" w:themeColor="text1"/>
          <w:szCs w:val="26"/>
        </w:rPr>
      </w:pPr>
      <w:r w:rsidRPr="00A10155">
        <w:rPr>
          <w:rFonts w:eastAsiaTheme="majorEastAsia" w:cstheme="majorBidi"/>
          <w:b/>
          <w:color w:val="000000" w:themeColor="text1"/>
          <w:szCs w:val="26"/>
        </w:rPr>
        <w:lastRenderedPageBreak/>
        <w:t>5. A copy of any internal policy documents, guidance, or memos issued to SAR handling staff that discuss:</w:t>
      </w:r>
    </w:p>
    <w:p w14:paraId="0D6A55A9" w14:textId="77777777" w:rsidR="00A10155" w:rsidRPr="00A10155" w:rsidRDefault="00A10155" w:rsidP="00A10155">
      <w:pPr>
        <w:numPr>
          <w:ilvl w:val="0"/>
          <w:numId w:val="3"/>
        </w:numPr>
        <w:tabs>
          <w:tab w:val="clear" w:pos="360"/>
          <w:tab w:val="num" w:pos="720"/>
          <w:tab w:val="left" w:pos="5400"/>
        </w:tabs>
        <w:rPr>
          <w:rFonts w:eastAsiaTheme="majorEastAsia" w:cstheme="majorBidi"/>
          <w:b/>
          <w:color w:val="000000" w:themeColor="text1"/>
          <w:szCs w:val="26"/>
        </w:rPr>
      </w:pPr>
      <w:r w:rsidRPr="00A10155">
        <w:rPr>
          <w:rFonts w:eastAsiaTheme="majorEastAsia" w:cstheme="majorBidi"/>
          <w:b/>
          <w:color w:val="000000" w:themeColor="text1"/>
          <w:szCs w:val="26"/>
        </w:rPr>
        <w:t>Delays in SAR processing</w:t>
      </w:r>
    </w:p>
    <w:p w14:paraId="4364E0FA" w14:textId="77777777" w:rsidR="00A10155" w:rsidRPr="00A10155" w:rsidRDefault="00A10155" w:rsidP="00A10155">
      <w:pPr>
        <w:numPr>
          <w:ilvl w:val="0"/>
          <w:numId w:val="3"/>
        </w:numPr>
        <w:tabs>
          <w:tab w:val="clear" w:pos="360"/>
          <w:tab w:val="num" w:pos="720"/>
          <w:tab w:val="left" w:pos="5400"/>
        </w:tabs>
        <w:rPr>
          <w:rFonts w:eastAsiaTheme="majorEastAsia" w:cstheme="majorBidi"/>
          <w:b/>
          <w:color w:val="000000" w:themeColor="text1"/>
          <w:szCs w:val="26"/>
        </w:rPr>
      </w:pPr>
      <w:r w:rsidRPr="00A10155">
        <w:rPr>
          <w:rFonts w:eastAsiaTheme="majorEastAsia" w:cstheme="majorBidi"/>
          <w:b/>
          <w:color w:val="000000" w:themeColor="text1"/>
          <w:szCs w:val="26"/>
        </w:rPr>
        <w:t>Communications with applicants regarding delays</w:t>
      </w:r>
    </w:p>
    <w:p w14:paraId="4E4D00C7" w14:textId="65972818" w:rsidR="00883F7A" w:rsidRPr="00883F7A" w:rsidRDefault="00A10155" w:rsidP="00375AA0">
      <w:pPr>
        <w:numPr>
          <w:ilvl w:val="0"/>
          <w:numId w:val="3"/>
        </w:numPr>
        <w:tabs>
          <w:tab w:val="clear" w:pos="360"/>
          <w:tab w:val="num" w:pos="720"/>
          <w:tab w:val="left" w:pos="5400"/>
        </w:tabs>
        <w:rPr>
          <w:rFonts w:eastAsiaTheme="majorEastAsia" w:cstheme="majorBidi"/>
          <w:b/>
          <w:color w:val="000000" w:themeColor="text1"/>
          <w:szCs w:val="26"/>
        </w:rPr>
      </w:pPr>
      <w:r w:rsidRPr="00A10155">
        <w:rPr>
          <w:rFonts w:eastAsiaTheme="majorEastAsia" w:cstheme="majorBidi"/>
          <w:b/>
          <w:color w:val="000000" w:themeColor="text1"/>
          <w:szCs w:val="26"/>
        </w:rPr>
        <w:t>Changes in published timelines for expected SAR responses (e.g. the shift from 6 to 9 months in expected wait time)</w:t>
      </w:r>
    </w:p>
    <w:p w14:paraId="7CE6CA08" w14:textId="77777777" w:rsidR="007C2CBB" w:rsidRPr="008E32EF" w:rsidRDefault="007C2CBB">
      <w:pPr>
        <w:rPr>
          <w:bCs/>
        </w:rPr>
      </w:pPr>
      <w:r w:rsidRPr="008E32EF">
        <w:rPr>
          <w:bCs/>
        </w:rPr>
        <w:t>The information sought is not held by Police Scotland and section 17 of the Act applies.</w:t>
      </w:r>
    </w:p>
    <w:p w14:paraId="788779AA" w14:textId="23D2A31E" w:rsidR="007C2CBB" w:rsidRDefault="00324C57" w:rsidP="00883F7A">
      <w:pPr>
        <w:tabs>
          <w:tab w:val="left" w:pos="5400"/>
        </w:tabs>
      </w:pPr>
      <w:r>
        <w:t>There are two actions/ decisions that would fall within the general scope of your request, but neither was the subject of policy/ guidance/ memo etc., with updates to staff being primarily delivered at team meetings.</w:t>
      </w:r>
    </w:p>
    <w:p w14:paraId="470CEEE3" w14:textId="78DEAA71" w:rsidR="00324C57" w:rsidRDefault="00324C57" w:rsidP="00324C57">
      <w:pPr>
        <w:tabs>
          <w:tab w:val="left" w:pos="5400"/>
        </w:tabs>
      </w:pPr>
      <w:r>
        <w:t xml:space="preserve">Police Scotland no longer responds to ‘chase up’ emails from SAR applicants.  </w:t>
      </w:r>
    </w:p>
    <w:p w14:paraId="56355F51" w14:textId="113D97C8" w:rsidR="00324C57" w:rsidRDefault="00324C57" w:rsidP="00324C57">
      <w:pPr>
        <w:tabs>
          <w:tab w:val="left" w:pos="5400"/>
        </w:tabs>
      </w:pPr>
      <w:r>
        <w:t>To be of assistance, I can advise you that the rationale for the decision was resource.</w:t>
      </w:r>
    </w:p>
    <w:p w14:paraId="589692FF" w14:textId="77777777" w:rsidR="00324C57" w:rsidRDefault="00324C57" w:rsidP="00324C57">
      <w:pPr>
        <w:tabs>
          <w:tab w:val="left" w:pos="5400"/>
        </w:tabs>
      </w:pPr>
      <w:r>
        <w:t>Contacting all individual SAR applicants would be a significantly time-consuming exercise, which would divert resource from researching and responding to SARs more promptly.</w:t>
      </w:r>
    </w:p>
    <w:p w14:paraId="7FD7C6B6" w14:textId="77777777" w:rsidR="00324C57" w:rsidRDefault="00324C57" w:rsidP="00324C57">
      <w:pPr>
        <w:tabs>
          <w:tab w:val="left" w:pos="5400"/>
        </w:tabs>
      </w:pPr>
      <w:r>
        <w:t>T</w:t>
      </w:r>
      <w:r w:rsidRPr="00324C57">
        <w:t>he 9 month backlog message was added</w:t>
      </w:r>
      <w:r>
        <w:t xml:space="preserve"> to the force website</w:t>
      </w:r>
      <w:r w:rsidRPr="00324C57">
        <w:t xml:space="preserve"> on 10 July 2025.</w:t>
      </w:r>
    </w:p>
    <w:p w14:paraId="1E591DCF" w14:textId="4E017FF2" w:rsidR="00324C57" w:rsidRDefault="00324C57" w:rsidP="00324C57">
      <w:pPr>
        <w:tabs>
          <w:tab w:val="left" w:pos="5400"/>
        </w:tabs>
      </w:pPr>
      <w:r w:rsidRPr="00324C57">
        <w:t>Prior to that</w:t>
      </w:r>
      <w:r>
        <w:t>,</w:t>
      </w:r>
      <w:r w:rsidRPr="00324C57">
        <w:t xml:space="preserve"> </w:t>
      </w:r>
      <w:r>
        <w:t xml:space="preserve">and </w:t>
      </w:r>
      <w:r w:rsidRPr="00324C57">
        <w:t xml:space="preserve">since 22 January 2025, </w:t>
      </w:r>
      <w:r w:rsidR="00D863F5">
        <w:t>the website</w:t>
      </w:r>
      <w:r w:rsidRPr="00324C57">
        <w:t xml:space="preserve"> </w:t>
      </w:r>
      <w:r>
        <w:t>referred to a</w:t>
      </w:r>
      <w:r w:rsidRPr="00324C57">
        <w:t xml:space="preserve"> 6 month</w:t>
      </w:r>
      <w:r>
        <w:t xml:space="preserve"> backlog</w:t>
      </w:r>
      <w:r w:rsidRPr="00324C57">
        <w:t>.</w:t>
      </w:r>
    </w:p>
    <w:p w14:paraId="35264E66" w14:textId="57F99F17" w:rsidR="00324C57" w:rsidRPr="00324C57" w:rsidRDefault="00324C57" w:rsidP="00324C57">
      <w:pPr>
        <w:tabs>
          <w:tab w:val="left" w:pos="5400"/>
        </w:tabs>
      </w:pPr>
      <w:r w:rsidRPr="00324C57">
        <w:t>Prior to that there was no information online about backlogs/ wait-times.</w:t>
      </w:r>
    </w:p>
    <w:p w14:paraId="2F1E80AA" w14:textId="0CEF27C4" w:rsidR="00324C57" w:rsidRDefault="00324C57" w:rsidP="00883F7A">
      <w:pPr>
        <w:tabs>
          <w:tab w:val="left" w:pos="5400"/>
        </w:tabs>
      </w:pPr>
      <w:r>
        <w:t>To be of assistance, I can advise you that the rationale for the decision to include that information was to better inform applicants as to the current situation.</w:t>
      </w:r>
    </w:p>
    <w:p w14:paraId="2795AD28" w14:textId="7AD2800D" w:rsidR="00883F7A" w:rsidRDefault="00883F7A" w:rsidP="00883F7A">
      <w:pPr>
        <w:tabs>
          <w:tab w:val="left" w:pos="5400"/>
        </w:tabs>
      </w:pPr>
      <w:r>
        <w:t>Police Scotland has experienced an increase of more than 60% in SARs received over the past four years alone.</w:t>
      </w:r>
    </w:p>
    <w:p w14:paraId="34209A38" w14:textId="77777777" w:rsidR="00883F7A" w:rsidRDefault="00883F7A" w:rsidP="00883F7A">
      <w:pPr>
        <w:tabs>
          <w:tab w:val="left" w:pos="5400"/>
        </w:tabs>
      </w:pPr>
      <w:r>
        <w:t>Unfortunately, that means that some SARs have not been responded to within a calendar month, as per the legislation.</w:t>
      </w:r>
    </w:p>
    <w:p w14:paraId="61C92325" w14:textId="77777777" w:rsidR="00883F7A" w:rsidRDefault="00883F7A" w:rsidP="00883F7A">
      <w:pPr>
        <w:tabs>
          <w:tab w:val="left" w:pos="5400"/>
        </w:tabs>
      </w:pPr>
      <w:r>
        <w:t>Please be assured that our colleagues in Data Protection are working to respond to SARs as quickly as possible.</w:t>
      </w:r>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lastRenderedPageBreak/>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1C18942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A163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4FE5A3D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A163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6EAA9F2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A163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24CE519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A1639">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4E29B693"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A1639">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463D3C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A1639">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72A84"/>
    <w:multiLevelType w:val="hybridMultilevel"/>
    <w:tmpl w:val="C4FC9ECC"/>
    <w:lvl w:ilvl="0" w:tplc="7846986A">
      <w:numFmt w:val="bullet"/>
      <w:lvlText w:val="•"/>
      <w:lvlJc w:val="left"/>
      <w:pPr>
        <w:ind w:left="72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EDA7E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26C7903"/>
    <w:multiLevelType w:val="hybridMultilevel"/>
    <w:tmpl w:val="6276E308"/>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E4A75ED"/>
    <w:multiLevelType w:val="hybridMultilevel"/>
    <w:tmpl w:val="A83A2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496DAF"/>
    <w:multiLevelType w:val="multilevel"/>
    <w:tmpl w:val="3CBA07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E5E4004"/>
    <w:multiLevelType w:val="multilevel"/>
    <w:tmpl w:val="419684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107238746">
    <w:abstractNumId w:val="5"/>
  </w:num>
  <w:num w:numId="2" w16cid:durableId="1327780221">
    <w:abstractNumId w:val="4"/>
  </w:num>
  <w:num w:numId="3" w16cid:durableId="2057385724">
    <w:abstractNumId w:val="6"/>
  </w:num>
  <w:num w:numId="4" w16cid:durableId="555705999">
    <w:abstractNumId w:val="2"/>
  </w:num>
  <w:num w:numId="5" w16cid:durableId="697924505">
    <w:abstractNumId w:val="1"/>
  </w:num>
  <w:num w:numId="6" w16cid:durableId="1974560927">
    <w:abstractNumId w:val="3"/>
  </w:num>
  <w:num w:numId="7" w16cid:durableId="561335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07951"/>
    <w:rsid w:val="00090F3B"/>
    <w:rsid w:val="000E2F19"/>
    <w:rsid w:val="000E6526"/>
    <w:rsid w:val="001160E2"/>
    <w:rsid w:val="00117C52"/>
    <w:rsid w:val="00141533"/>
    <w:rsid w:val="00167528"/>
    <w:rsid w:val="00195CC4"/>
    <w:rsid w:val="001F2261"/>
    <w:rsid w:val="001F2770"/>
    <w:rsid w:val="00207326"/>
    <w:rsid w:val="00253DF6"/>
    <w:rsid w:val="00254EC9"/>
    <w:rsid w:val="00255F1E"/>
    <w:rsid w:val="00324C57"/>
    <w:rsid w:val="0034364D"/>
    <w:rsid w:val="0036503B"/>
    <w:rsid w:val="00375AA0"/>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59375B"/>
    <w:rsid w:val="00606BE1"/>
    <w:rsid w:val="00645CFA"/>
    <w:rsid w:val="00685219"/>
    <w:rsid w:val="006D5799"/>
    <w:rsid w:val="007440EA"/>
    <w:rsid w:val="00750D83"/>
    <w:rsid w:val="00785DBC"/>
    <w:rsid w:val="00786CB4"/>
    <w:rsid w:val="00793DD5"/>
    <w:rsid w:val="007C2CBB"/>
    <w:rsid w:val="007D55F6"/>
    <w:rsid w:val="007F490F"/>
    <w:rsid w:val="0086779C"/>
    <w:rsid w:val="00874BFD"/>
    <w:rsid w:val="00883F7A"/>
    <w:rsid w:val="008964EF"/>
    <w:rsid w:val="00915E01"/>
    <w:rsid w:val="009631A4"/>
    <w:rsid w:val="00975704"/>
    <w:rsid w:val="00977296"/>
    <w:rsid w:val="009D2AA5"/>
    <w:rsid w:val="009D2F57"/>
    <w:rsid w:val="00A10155"/>
    <w:rsid w:val="00A25E93"/>
    <w:rsid w:val="00A320FF"/>
    <w:rsid w:val="00A70AC0"/>
    <w:rsid w:val="00A84EA9"/>
    <w:rsid w:val="00AC443C"/>
    <w:rsid w:val="00B033D6"/>
    <w:rsid w:val="00B11A55"/>
    <w:rsid w:val="00B17211"/>
    <w:rsid w:val="00B461B2"/>
    <w:rsid w:val="00B654B6"/>
    <w:rsid w:val="00B71B3C"/>
    <w:rsid w:val="00BB7AB3"/>
    <w:rsid w:val="00BC389E"/>
    <w:rsid w:val="00BE1888"/>
    <w:rsid w:val="00BF6B81"/>
    <w:rsid w:val="00C077A8"/>
    <w:rsid w:val="00C14FF4"/>
    <w:rsid w:val="00C1679F"/>
    <w:rsid w:val="00C606A2"/>
    <w:rsid w:val="00C63872"/>
    <w:rsid w:val="00C84948"/>
    <w:rsid w:val="00C94ED8"/>
    <w:rsid w:val="00CA1639"/>
    <w:rsid w:val="00CF1111"/>
    <w:rsid w:val="00D05706"/>
    <w:rsid w:val="00D24B19"/>
    <w:rsid w:val="00D27DC5"/>
    <w:rsid w:val="00D47E36"/>
    <w:rsid w:val="00D64753"/>
    <w:rsid w:val="00D863F5"/>
    <w:rsid w:val="00E55D79"/>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722268">
      <w:bodyDiv w:val="1"/>
      <w:marLeft w:val="0"/>
      <w:marRight w:val="0"/>
      <w:marTop w:val="0"/>
      <w:marBottom w:val="0"/>
      <w:divBdr>
        <w:top w:val="none" w:sz="0" w:space="0" w:color="auto"/>
        <w:left w:val="none" w:sz="0" w:space="0" w:color="auto"/>
        <w:bottom w:val="none" w:sz="0" w:space="0" w:color="auto"/>
        <w:right w:val="none" w:sz="0" w:space="0" w:color="auto"/>
      </w:divBdr>
    </w:div>
    <w:div w:id="368653459">
      <w:bodyDiv w:val="1"/>
      <w:marLeft w:val="0"/>
      <w:marRight w:val="0"/>
      <w:marTop w:val="0"/>
      <w:marBottom w:val="0"/>
      <w:divBdr>
        <w:top w:val="none" w:sz="0" w:space="0" w:color="auto"/>
        <w:left w:val="none" w:sz="0" w:space="0" w:color="auto"/>
        <w:bottom w:val="none" w:sz="0" w:space="0" w:color="auto"/>
        <w:right w:val="none" w:sz="0" w:space="0" w:color="auto"/>
      </w:divBdr>
    </w:div>
    <w:div w:id="485897427">
      <w:bodyDiv w:val="1"/>
      <w:marLeft w:val="0"/>
      <w:marRight w:val="0"/>
      <w:marTop w:val="0"/>
      <w:marBottom w:val="0"/>
      <w:divBdr>
        <w:top w:val="none" w:sz="0" w:space="0" w:color="auto"/>
        <w:left w:val="none" w:sz="0" w:space="0" w:color="auto"/>
        <w:bottom w:val="none" w:sz="0" w:space="0" w:color="auto"/>
        <w:right w:val="none" w:sz="0" w:space="0" w:color="auto"/>
      </w:divBdr>
    </w:div>
    <w:div w:id="697512888">
      <w:bodyDiv w:val="1"/>
      <w:marLeft w:val="0"/>
      <w:marRight w:val="0"/>
      <w:marTop w:val="0"/>
      <w:marBottom w:val="0"/>
      <w:divBdr>
        <w:top w:val="none" w:sz="0" w:space="0" w:color="auto"/>
        <w:left w:val="none" w:sz="0" w:space="0" w:color="auto"/>
        <w:bottom w:val="none" w:sz="0" w:space="0" w:color="auto"/>
        <w:right w:val="none" w:sz="0" w:space="0" w:color="auto"/>
      </w:divBdr>
    </w:div>
    <w:div w:id="707533054">
      <w:bodyDiv w:val="1"/>
      <w:marLeft w:val="0"/>
      <w:marRight w:val="0"/>
      <w:marTop w:val="0"/>
      <w:marBottom w:val="0"/>
      <w:divBdr>
        <w:top w:val="none" w:sz="0" w:space="0" w:color="auto"/>
        <w:left w:val="none" w:sz="0" w:space="0" w:color="auto"/>
        <w:bottom w:val="none" w:sz="0" w:space="0" w:color="auto"/>
        <w:right w:val="none" w:sz="0" w:space="0" w:color="auto"/>
      </w:divBdr>
    </w:div>
    <w:div w:id="716708454">
      <w:bodyDiv w:val="1"/>
      <w:marLeft w:val="0"/>
      <w:marRight w:val="0"/>
      <w:marTop w:val="0"/>
      <w:marBottom w:val="0"/>
      <w:divBdr>
        <w:top w:val="none" w:sz="0" w:space="0" w:color="auto"/>
        <w:left w:val="none" w:sz="0" w:space="0" w:color="auto"/>
        <w:bottom w:val="none" w:sz="0" w:space="0" w:color="auto"/>
        <w:right w:val="none" w:sz="0" w:space="0" w:color="auto"/>
      </w:divBdr>
    </w:div>
    <w:div w:id="1686320667">
      <w:bodyDiv w:val="1"/>
      <w:marLeft w:val="0"/>
      <w:marRight w:val="0"/>
      <w:marTop w:val="0"/>
      <w:marBottom w:val="0"/>
      <w:divBdr>
        <w:top w:val="none" w:sz="0" w:space="0" w:color="auto"/>
        <w:left w:val="none" w:sz="0" w:space="0" w:color="auto"/>
        <w:bottom w:val="none" w:sz="0" w:space="0" w:color="auto"/>
        <w:right w:val="none" w:sz="0" w:space="0" w:color="auto"/>
      </w:divBdr>
    </w:div>
    <w:div w:id="1977105006">
      <w:bodyDiv w:val="1"/>
      <w:marLeft w:val="0"/>
      <w:marRight w:val="0"/>
      <w:marTop w:val="0"/>
      <w:marBottom w:val="0"/>
      <w:divBdr>
        <w:top w:val="none" w:sz="0" w:space="0" w:color="auto"/>
        <w:left w:val="none" w:sz="0" w:space="0" w:color="auto"/>
        <w:bottom w:val="none" w:sz="0" w:space="0" w:color="auto"/>
        <w:right w:val="none" w:sz="0" w:space="0" w:color="auto"/>
      </w:divBdr>
    </w:div>
    <w:div w:id="2090419278">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Pages>
  <Words>1016</Words>
  <Characters>5797</Characters>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2025-12-01T09:58:00Z</cp:lastPrinted>
  <dcterms:created xsi:type="dcterms:W3CDTF">2024-01-26T13:56:00Z</dcterms:created>
  <dcterms:modified xsi:type="dcterms:W3CDTF">2025-12-01T09:58:00Z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