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3538"/>
        <w:gridCol w:w="3963"/>
      </w:tblGrid>
      <w:tr w:rsidR="00142BA3" w:rsidTr="00142BA3">
        <w:trPr>
          <w:trHeight w:val="1408"/>
          <w:tblHeader/>
        </w:trPr>
        <w:tc>
          <w:tcPr>
            <w:tcW w:w="2269" w:type="dxa"/>
            <w:vMerge w:val="restart"/>
          </w:tcPr>
          <w:p w:rsidR="00142BA3" w:rsidRDefault="00142BA3" w:rsidP="00540A52">
            <w:pPr>
              <w:pStyle w:val="Heading1"/>
              <w:spacing w:before="0" w:after="0" w:line="240" w:lineRule="auto"/>
            </w:pPr>
            <w:bookmarkStart w:id="0" w:name="_GoBack"/>
            <w:bookmarkEnd w:id="0"/>
            <w:r>
              <w:rPr>
                <w:noProof/>
                <w:lang w:eastAsia="en-GB"/>
              </w:rPr>
              <w:drawing>
                <wp:inline distT="0" distB="0" distL="0" distR="0" wp14:anchorId="40615E16" wp14:editId="7263466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gridSpan w:val="2"/>
          </w:tcPr>
          <w:p w:rsidR="00142BA3" w:rsidRPr="00456324" w:rsidRDefault="00142BA3" w:rsidP="00B17211">
            <w:pPr>
              <w:pStyle w:val="Heading1"/>
              <w:spacing w:before="120"/>
              <w:rPr>
                <w:sz w:val="4"/>
              </w:rPr>
            </w:pPr>
          </w:p>
          <w:p w:rsidR="00142BA3" w:rsidRDefault="00142BA3" w:rsidP="00B17211">
            <w:pPr>
              <w:pStyle w:val="Heading1"/>
              <w:spacing w:before="120"/>
            </w:pPr>
            <w:r>
              <w:t>F</w:t>
            </w:r>
            <w:r w:rsidRPr="003E12CA">
              <w:t xml:space="preserve">reedom of Information </w:t>
            </w:r>
            <w:r>
              <w:t>Response</w:t>
            </w:r>
          </w:p>
          <w:p w:rsidR="00142BA3" w:rsidRDefault="00142BA3" w:rsidP="00142BA3">
            <w:r w:rsidRPr="007F490F">
              <w:rPr>
                <w:rStyle w:val="Heading2Char"/>
              </w:rPr>
              <w:t>Our reference</w:t>
            </w:r>
            <w:r>
              <w:rPr>
                <w:rStyle w:val="Heading2Char"/>
              </w:rPr>
              <w:t>s</w:t>
            </w:r>
            <w:r w:rsidRPr="007F490F">
              <w:rPr>
                <w:rStyle w:val="Heading2Char"/>
              </w:rPr>
              <w:t>:</w:t>
            </w:r>
            <w:r>
              <w:t xml:space="preserve">  </w:t>
            </w:r>
          </w:p>
        </w:tc>
      </w:tr>
      <w:tr w:rsidR="00142BA3" w:rsidTr="00142BA3">
        <w:trPr>
          <w:trHeight w:val="2552"/>
          <w:tblHeader/>
        </w:trPr>
        <w:tc>
          <w:tcPr>
            <w:tcW w:w="2269" w:type="dxa"/>
            <w:vMerge/>
          </w:tcPr>
          <w:p w:rsidR="00142BA3" w:rsidRDefault="00142BA3" w:rsidP="00540A52">
            <w:pPr>
              <w:pStyle w:val="Heading1"/>
              <w:spacing w:before="0" w:after="0" w:line="240" w:lineRule="auto"/>
              <w:rPr>
                <w:noProof/>
                <w:lang w:eastAsia="en-GB"/>
              </w:rPr>
            </w:pPr>
          </w:p>
        </w:tc>
        <w:tc>
          <w:tcPr>
            <w:tcW w:w="3538" w:type="dxa"/>
          </w:tcPr>
          <w:p w:rsidR="00142BA3" w:rsidRPr="00B17211" w:rsidRDefault="00142BA3" w:rsidP="00142BA3">
            <w:r>
              <w:t>FOI 23-0933 - Sutherland</w:t>
            </w:r>
            <w:r>
              <w:br/>
              <w:t>FOI 23-0934 - Caithness</w:t>
            </w:r>
            <w:r>
              <w:br/>
              <w:t>FOI 23-0935 - Easter Ross</w:t>
            </w:r>
            <w:r>
              <w:br/>
              <w:t>FOI 23-0936 - Inverness</w:t>
            </w:r>
            <w:r>
              <w:br/>
              <w:t>FOI 23-0937 - Isle of Skye</w:t>
            </w:r>
            <w:r>
              <w:br/>
              <w:t>FOI 23-0938 - Lochaber</w:t>
            </w:r>
          </w:p>
        </w:tc>
        <w:tc>
          <w:tcPr>
            <w:tcW w:w="3963" w:type="dxa"/>
          </w:tcPr>
          <w:p w:rsidR="00142BA3" w:rsidRPr="00142BA3" w:rsidRDefault="00142BA3" w:rsidP="00142BA3">
            <w:pPr>
              <w:pStyle w:val="Heading1"/>
              <w:spacing w:before="120"/>
              <w:rPr>
                <w:b w:val="0"/>
                <w:sz w:val="24"/>
                <w:szCs w:val="24"/>
              </w:rPr>
            </w:pPr>
            <w:r w:rsidRPr="00142BA3">
              <w:rPr>
                <w:rFonts w:eastAsiaTheme="minorHAnsi" w:cs="Arial"/>
                <w:b w:val="0"/>
                <w:sz w:val="24"/>
                <w:szCs w:val="24"/>
              </w:rPr>
              <w:t>FOI 23-0939 - Highlands &amp; Islands</w:t>
            </w:r>
            <w:r w:rsidRPr="00142BA3">
              <w:rPr>
                <w:rFonts w:eastAsiaTheme="minorHAnsi" w:cs="Arial"/>
                <w:b w:val="0"/>
                <w:sz w:val="24"/>
                <w:szCs w:val="24"/>
              </w:rPr>
              <w:br/>
              <w:t>FOI 23-0940 - Rosshire</w:t>
            </w:r>
            <w:r w:rsidRPr="00142BA3">
              <w:rPr>
                <w:rFonts w:eastAsiaTheme="minorHAnsi" w:cs="Arial"/>
                <w:b w:val="0"/>
                <w:sz w:val="24"/>
                <w:szCs w:val="24"/>
              </w:rPr>
              <w:br/>
              <w:t>FOI 23-0942 - Shetland</w:t>
            </w:r>
            <w:r w:rsidRPr="00142BA3">
              <w:rPr>
                <w:rFonts w:eastAsiaTheme="minorHAnsi" w:cs="Arial"/>
                <w:b w:val="0"/>
                <w:sz w:val="24"/>
                <w:szCs w:val="24"/>
              </w:rPr>
              <w:br/>
              <w:t>FOI 23-0943 - Orkney</w:t>
            </w:r>
            <w:r w:rsidRPr="00142BA3">
              <w:rPr>
                <w:rFonts w:eastAsiaTheme="minorHAnsi" w:cs="Arial"/>
                <w:b w:val="0"/>
                <w:sz w:val="24"/>
                <w:szCs w:val="24"/>
              </w:rPr>
              <w:br/>
              <w:t>FOI 23-0944 - Western Isles</w:t>
            </w:r>
            <w:r w:rsidRPr="00142BA3">
              <w:rPr>
                <w:rFonts w:eastAsiaTheme="minorHAnsi" w:cs="Arial"/>
                <w:b w:val="0"/>
                <w:sz w:val="24"/>
                <w:szCs w:val="24"/>
              </w:rPr>
              <w:br/>
              <w:t>FOI 23-0945 - Scotland by division</w:t>
            </w:r>
          </w:p>
        </w:tc>
      </w:tr>
      <w:tr w:rsidR="00142BA3" w:rsidTr="00142BA3">
        <w:trPr>
          <w:trHeight w:val="475"/>
          <w:tblHeader/>
        </w:trPr>
        <w:tc>
          <w:tcPr>
            <w:tcW w:w="2269" w:type="dxa"/>
          </w:tcPr>
          <w:p w:rsidR="00142BA3" w:rsidRDefault="00142BA3" w:rsidP="00540A52">
            <w:pPr>
              <w:pStyle w:val="Heading1"/>
              <w:spacing w:before="0" w:after="0" w:line="240" w:lineRule="auto"/>
              <w:rPr>
                <w:noProof/>
                <w:lang w:eastAsia="en-GB"/>
              </w:rPr>
            </w:pPr>
          </w:p>
        </w:tc>
        <w:tc>
          <w:tcPr>
            <w:tcW w:w="7501" w:type="dxa"/>
            <w:gridSpan w:val="2"/>
          </w:tcPr>
          <w:p w:rsidR="00142BA3" w:rsidRPr="00142BA3" w:rsidRDefault="00142BA3" w:rsidP="00CA2EF4">
            <w:pPr>
              <w:pStyle w:val="Heading1"/>
              <w:spacing w:before="120"/>
              <w:rPr>
                <w:rFonts w:eastAsiaTheme="minorHAnsi" w:cs="Arial"/>
                <w:b w:val="0"/>
                <w:sz w:val="24"/>
                <w:szCs w:val="24"/>
              </w:rPr>
            </w:pPr>
            <w:r w:rsidRPr="00E9027D">
              <w:rPr>
                <w:rStyle w:val="Heading2Char"/>
                <w:b/>
                <w:sz w:val="24"/>
              </w:rPr>
              <w:t>Responded to:</w:t>
            </w:r>
            <w:r w:rsidRPr="00142BA3">
              <w:rPr>
                <w:sz w:val="24"/>
              </w:rPr>
              <w:t xml:space="preserve">  </w:t>
            </w:r>
            <w:r w:rsidR="00CA2EF4">
              <w:rPr>
                <w:b w:val="0"/>
                <w:sz w:val="24"/>
              </w:rPr>
              <w:t>9</w:t>
            </w:r>
            <w:r w:rsidRPr="00E9027D">
              <w:rPr>
                <w:b w:val="0"/>
                <w:sz w:val="24"/>
              </w:rPr>
              <w:t xml:space="preserve"> </w:t>
            </w:r>
            <w:r w:rsidR="00FF512D">
              <w:rPr>
                <w:b w:val="0"/>
                <w:sz w:val="24"/>
              </w:rPr>
              <w:t xml:space="preserve">May </w:t>
            </w:r>
            <w:r w:rsidRPr="00E9027D">
              <w:rPr>
                <w:b w:val="0"/>
                <w:sz w:val="24"/>
              </w:rPr>
              <w:t>2023</w:t>
            </w:r>
          </w:p>
        </w:tc>
      </w:tr>
    </w:tbl>
    <w:p w:rsidR="00E9027D" w:rsidRDefault="00793DD5" w:rsidP="00E9027D">
      <w:r w:rsidRPr="00793DD5">
        <w:t xml:space="preserve">Your </w:t>
      </w:r>
      <w:r w:rsidR="00F5279E">
        <w:t>twelve</w:t>
      </w:r>
      <w:r w:rsidR="00E9027D">
        <w:t xml:space="preserve"> </w:t>
      </w:r>
      <w:r w:rsidRPr="00793DD5">
        <w:t>recent request</w:t>
      </w:r>
      <w:r w:rsidR="00142BA3">
        <w:t>s</w:t>
      </w:r>
      <w:r w:rsidRPr="00793DD5">
        <w:t xml:space="preserve"> for information </w:t>
      </w:r>
      <w:r w:rsidR="00E9027D">
        <w:t xml:space="preserve">regarding police attendance at drug related deaths </w:t>
      </w:r>
      <w:r w:rsidR="00142BA3">
        <w:t>are</w:t>
      </w:r>
      <w:r w:rsidRPr="00793DD5">
        <w:t xml:space="preserve"> replicated below, together with </w:t>
      </w:r>
      <w:r w:rsidR="004341F0">
        <w:t>our</w:t>
      </w:r>
      <w:r w:rsidRPr="00793DD5">
        <w:t xml:space="preserve"> response.</w:t>
      </w:r>
    </w:p>
    <w:p w:rsidR="00E9027D" w:rsidRDefault="00E9027D" w:rsidP="00E9027D">
      <w:pPr>
        <w:tabs>
          <w:tab w:val="left" w:pos="5400"/>
        </w:tabs>
      </w:pPr>
      <w:r>
        <w:t>All requests have been individually considered in terms of the Act and the individual reference numbers for each are included above.</w:t>
      </w:r>
    </w:p>
    <w:p w:rsidR="00E9027D" w:rsidRDefault="00E9027D" w:rsidP="00E9027D">
      <w:pPr>
        <w:tabs>
          <w:tab w:val="left" w:pos="5400"/>
        </w:tabs>
      </w:pPr>
      <w:r>
        <w:t>This combined response is for administrative purposes only.</w:t>
      </w:r>
    </w:p>
    <w:p w:rsidR="00142BA3" w:rsidRPr="00142BA3" w:rsidRDefault="00142BA3" w:rsidP="00E9027D">
      <w:pPr>
        <w:tabs>
          <w:tab w:val="left" w:pos="5400"/>
        </w:tabs>
        <w:rPr>
          <w:rFonts w:eastAsiaTheme="majorEastAsia" w:cstheme="majorBidi"/>
          <w:b/>
          <w:color w:val="000000" w:themeColor="text1"/>
          <w:szCs w:val="26"/>
        </w:rPr>
      </w:pPr>
      <w:r w:rsidRPr="00142BA3">
        <w:rPr>
          <w:rFonts w:eastAsiaTheme="majorEastAsia" w:cstheme="majorBidi"/>
          <w:b/>
          <w:color w:val="000000" w:themeColor="text1"/>
          <w:szCs w:val="26"/>
        </w:rPr>
        <w:t xml:space="preserve">I wish to make a Freedom of Information Request for the number of drugs deaths that Police Scotland have attended in </w:t>
      </w:r>
      <w:r>
        <w:rPr>
          <w:rFonts w:eastAsiaTheme="majorEastAsia" w:cstheme="majorBidi"/>
          <w:b/>
          <w:color w:val="000000" w:themeColor="text1"/>
          <w:szCs w:val="26"/>
        </w:rPr>
        <w:t>[</w:t>
      </w:r>
      <w:r w:rsidR="00E9027D">
        <w:rPr>
          <w:rFonts w:eastAsiaTheme="majorEastAsia" w:cstheme="majorBidi"/>
          <w:b/>
          <w:color w:val="000000" w:themeColor="text1"/>
          <w:szCs w:val="26"/>
        </w:rPr>
        <w:t>are</w:t>
      </w:r>
      <w:r>
        <w:rPr>
          <w:rFonts w:eastAsiaTheme="majorEastAsia" w:cstheme="majorBidi"/>
          <w:b/>
          <w:color w:val="000000" w:themeColor="text1"/>
          <w:szCs w:val="26"/>
        </w:rPr>
        <w:t xml:space="preserve">as </w:t>
      </w:r>
      <w:r w:rsidR="00E9027D">
        <w:rPr>
          <w:rFonts w:eastAsiaTheme="majorEastAsia" w:cstheme="majorBidi"/>
          <w:b/>
          <w:color w:val="000000" w:themeColor="text1"/>
          <w:szCs w:val="26"/>
        </w:rPr>
        <w:t xml:space="preserve">listed </w:t>
      </w:r>
      <w:r>
        <w:rPr>
          <w:rFonts w:eastAsiaTheme="majorEastAsia" w:cstheme="majorBidi"/>
          <w:b/>
          <w:color w:val="000000" w:themeColor="text1"/>
          <w:szCs w:val="26"/>
        </w:rPr>
        <w:t>above]</w:t>
      </w:r>
      <w:r w:rsidRPr="00142BA3">
        <w:rPr>
          <w:rFonts w:eastAsiaTheme="majorEastAsia" w:cstheme="majorBidi"/>
          <w:b/>
          <w:color w:val="000000" w:themeColor="text1"/>
          <w:szCs w:val="26"/>
        </w:rPr>
        <w:t xml:space="preserve"> in the last five years.</w:t>
      </w:r>
    </w:p>
    <w:p w:rsidR="00142BA3" w:rsidRPr="00142BA3" w:rsidRDefault="00142BA3" w:rsidP="00142BA3">
      <w:pPr>
        <w:tabs>
          <w:tab w:val="left" w:pos="5400"/>
        </w:tabs>
        <w:rPr>
          <w:rFonts w:eastAsiaTheme="majorEastAsia" w:cstheme="majorBidi"/>
          <w:b/>
          <w:color w:val="000000" w:themeColor="text1"/>
          <w:szCs w:val="26"/>
        </w:rPr>
      </w:pPr>
      <w:r w:rsidRPr="00142BA3">
        <w:rPr>
          <w:rFonts w:eastAsiaTheme="majorEastAsia" w:cstheme="majorBidi"/>
          <w:b/>
          <w:color w:val="000000" w:themeColor="text1"/>
          <w:szCs w:val="26"/>
        </w:rPr>
        <w:t>With a breakdown of each year.</w:t>
      </w:r>
    </w:p>
    <w:p w:rsidR="00496A08" w:rsidRDefault="00E9027D" w:rsidP="00793DD5">
      <w:pPr>
        <w:tabs>
          <w:tab w:val="left" w:pos="5400"/>
        </w:tabs>
      </w:pPr>
      <w:r>
        <w:t>I’m afraid the position as regards these requests is quite complex.</w:t>
      </w:r>
    </w:p>
    <w:p w:rsidR="00FF512D" w:rsidRDefault="00FF512D" w:rsidP="00793DD5">
      <w:pPr>
        <w:tabs>
          <w:tab w:val="left" w:pos="5400"/>
        </w:tabs>
      </w:pPr>
      <w:r>
        <w:t xml:space="preserve">We can provide you with information regarding </w:t>
      </w:r>
      <w:r>
        <w:rPr>
          <w:i/>
        </w:rPr>
        <w:t xml:space="preserve">confirmed drug related deaths </w:t>
      </w:r>
      <w:r>
        <w:t xml:space="preserve">recorded by Police Scotland in N Division (Highlands and Islands).  </w:t>
      </w:r>
    </w:p>
    <w:p w:rsidR="00FF512D" w:rsidRDefault="00FF512D" w:rsidP="00793DD5">
      <w:pPr>
        <w:tabs>
          <w:tab w:val="left" w:pos="5400"/>
        </w:tabs>
      </w:pPr>
      <w:r>
        <w:t>Information relating to drug related deaths is however recorded by divisional area only for reporting purposes and it is not further broken down - for example to the areas listed in each of your requests.</w:t>
      </w:r>
    </w:p>
    <w:p w:rsidR="00FF512D" w:rsidRPr="00FF512D" w:rsidRDefault="00FF512D" w:rsidP="00793DD5">
      <w:pPr>
        <w:tabs>
          <w:tab w:val="left" w:pos="5400"/>
        </w:tabs>
      </w:pPr>
      <w:r>
        <w:t>Any attempt to categorise the data held in that way would involve the creation of new data, an exercise that falls outwith the parameters of the Act but furthermore, would be so significantly time consuming that it is assessed it would far exceed the cost exemption in any event.</w:t>
      </w:r>
    </w:p>
    <w:p w:rsidR="00E9027D" w:rsidRDefault="00E9027D" w:rsidP="00793DD5">
      <w:pPr>
        <w:tabs>
          <w:tab w:val="left" w:pos="5400"/>
        </w:tabs>
        <w:rPr>
          <w:i/>
        </w:rPr>
      </w:pPr>
      <w:r>
        <w:lastRenderedPageBreak/>
        <w:t xml:space="preserve">We </w:t>
      </w:r>
      <w:r w:rsidR="00FF512D">
        <w:t>could also</w:t>
      </w:r>
      <w:r>
        <w:t xml:space="preserve"> provide you with information regarding how many </w:t>
      </w:r>
      <w:r>
        <w:rPr>
          <w:i/>
        </w:rPr>
        <w:t xml:space="preserve">incidents </w:t>
      </w:r>
      <w:r>
        <w:t xml:space="preserve">Police Scotland officers attended in any given area where the incident was categorised as a </w:t>
      </w:r>
      <w:r>
        <w:rPr>
          <w:i/>
        </w:rPr>
        <w:t>sudden death.</w:t>
      </w:r>
    </w:p>
    <w:p w:rsidR="00E9027D" w:rsidRPr="00E9027D" w:rsidRDefault="00E9027D" w:rsidP="00793DD5">
      <w:pPr>
        <w:tabs>
          <w:tab w:val="left" w:pos="5400"/>
        </w:tabs>
      </w:pPr>
      <w:r>
        <w:t xml:space="preserve">However, the information held on our incident recording system will not include details </w:t>
      </w:r>
      <w:r w:rsidR="00EE3442">
        <w:t>of the cause of death or indeed the suspected cause of death of the individual.</w:t>
      </w:r>
    </w:p>
    <w:p w:rsidR="00EE3442" w:rsidRDefault="00E9027D" w:rsidP="00E9027D">
      <w:pPr>
        <w:tabs>
          <w:tab w:val="left" w:pos="5400"/>
        </w:tabs>
      </w:pPr>
      <w:r w:rsidRPr="00E9027D">
        <w:t xml:space="preserve">To explain, all deaths where drug misuse is suspected as being a contributory factor are subject to a thorough investigation by Police Scotland. </w:t>
      </w:r>
    </w:p>
    <w:p w:rsidR="00E9027D" w:rsidRDefault="00E9027D" w:rsidP="00E9027D">
      <w:pPr>
        <w:tabs>
          <w:tab w:val="left" w:pos="5400"/>
        </w:tabs>
      </w:pPr>
      <w:r w:rsidRPr="00E9027D">
        <w:t>Once complete, all information is provided to our NHS partners who will undertake toxicology and post mortem examinations, before ultimately forming a professional medical opinion regarding the primary cause of death.</w:t>
      </w:r>
    </w:p>
    <w:p w:rsidR="00EE3442" w:rsidRDefault="00EE3442" w:rsidP="00E9027D">
      <w:pPr>
        <w:tabs>
          <w:tab w:val="left" w:pos="5400"/>
        </w:tabs>
      </w:pPr>
      <w:r>
        <w:t>Information regarding that investigation and the ultimate cause of death is held separately to the incident recording data - meaning that in order to research your various requests, two separate data sets have to be linked and cross referred.</w:t>
      </w:r>
    </w:p>
    <w:p w:rsidR="00EE3442" w:rsidRPr="00453F0A" w:rsidRDefault="00EE3442" w:rsidP="00EE3442">
      <w:pPr>
        <w:tabs>
          <w:tab w:val="left" w:pos="5400"/>
        </w:tabs>
      </w:pPr>
      <w:r>
        <w:t xml:space="preserve">Given the number of incidents categorised as sudden death in the various areas listed across a five year period, </w:t>
      </w:r>
      <w:r w:rsidRPr="00453F0A">
        <w:t xml:space="preserve">I regret to inform you that I am unable to provide you with the information you have requested, as it would prove too costly to do so within the context of the fee regulations.  </w:t>
      </w:r>
    </w:p>
    <w:p w:rsidR="00EE3442" w:rsidRDefault="00EE3442" w:rsidP="000F4F01">
      <w:r w:rsidRPr="00453F0A">
        <w:t xml:space="preserve">As you may be aware the current cost threshold is £600 and I estimate that it would cost well in excess of this amount to process </w:t>
      </w:r>
      <w:r>
        <w:t>each of your</w:t>
      </w:r>
      <w:r w:rsidRPr="00453F0A">
        <w:t xml:space="preserve"> request</w:t>
      </w:r>
      <w:r>
        <w:t>s</w:t>
      </w:r>
      <w:r w:rsidRPr="00453F0A">
        <w:t xml:space="preserve">. </w:t>
      </w:r>
      <w:r>
        <w:t xml:space="preserve"> </w:t>
      </w:r>
    </w:p>
    <w:p w:rsidR="00EE3442" w:rsidRPr="00453F0A" w:rsidRDefault="00EE3442" w:rsidP="000F4F01">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EE3442" w:rsidRDefault="00EE3442" w:rsidP="00E9027D">
      <w:pPr>
        <w:tabs>
          <w:tab w:val="left" w:pos="5400"/>
        </w:tabs>
      </w:pPr>
      <w:r>
        <w:t>To be of assistance, I can advise you as follows.</w:t>
      </w:r>
    </w:p>
    <w:p w:rsidR="00EE3442" w:rsidRDefault="00EE3442" w:rsidP="00E9027D">
      <w:pPr>
        <w:tabs>
          <w:tab w:val="left" w:pos="5400"/>
        </w:tabs>
      </w:pPr>
      <w:r>
        <w:t>National Records of Scotland publish annual data regarding drug related deaths:</w:t>
      </w:r>
    </w:p>
    <w:p w:rsidR="00EE3442" w:rsidRDefault="00E74278" w:rsidP="00E9027D">
      <w:pPr>
        <w:tabs>
          <w:tab w:val="left" w:pos="5400"/>
        </w:tabs>
      </w:pPr>
      <w:hyperlink r:id="rId8" w:history="1">
        <w:r w:rsidR="00FF512D">
          <w:rPr>
            <w:rStyle w:val="Hyperlink"/>
          </w:rPr>
          <w:t>Drug-related Deaths in Scotland | National Records of Scotland (nrscotland.gov.uk)</w:t>
        </w:r>
      </w:hyperlink>
    </w:p>
    <w:p w:rsidR="00EE3442" w:rsidRDefault="00EE3442" w:rsidP="00E9027D">
      <w:pPr>
        <w:tabs>
          <w:tab w:val="left" w:pos="5400"/>
        </w:tabs>
      </w:pPr>
      <w:r>
        <w:t>The latest data is reproduced as follows</w:t>
      </w:r>
      <w:r w:rsidR="008F274C">
        <w:t xml:space="preserve"> (</w:t>
      </w:r>
      <w:r w:rsidR="00FF512D">
        <w:t>by Health Board area you may be interested in</w:t>
      </w:r>
      <w:r w:rsidR="008F274C">
        <w:t>)</w:t>
      </w:r>
      <w:r>
        <w:t>:</w:t>
      </w: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RS DRD data"/>
        <w:tblDescription w:val="NRS DRD data"/>
      </w:tblPr>
      <w:tblGrid>
        <w:gridCol w:w="3804"/>
        <w:gridCol w:w="1033"/>
        <w:gridCol w:w="1034"/>
        <w:gridCol w:w="1033"/>
        <w:gridCol w:w="1034"/>
      </w:tblGrid>
      <w:tr w:rsidR="00EE3442" w:rsidRPr="00EE3442" w:rsidTr="008F274C">
        <w:trPr>
          <w:trHeight w:val="20"/>
          <w:tblHeader/>
        </w:trPr>
        <w:tc>
          <w:tcPr>
            <w:tcW w:w="3804" w:type="dxa"/>
            <w:shd w:val="clear" w:color="auto" w:fill="D9D9D9" w:themeFill="background1" w:themeFillShade="D9"/>
            <w:noWrap/>
            <w:vAlign w:val="bottom"/>
            <w:hideMark/>
          </w:tcPr>
          <w:p w:rsidR="00EE3442" w:rsidRPr="00EE3442" w:rsidRDefault="00EE3442" w:rsidP="00EE3442">
            <w:pPr>
              <w:tabs>
                <w:tab w:val="left" w:pos="5400"/>
              </w:tabs>
              <w:rPr>
                <w:b/>
              </w:rPr>
            </w:pPr>
            <w:r w:rsidRPr="00EE3442">
              <w:rPr>
                <w:b/>
              </w:rPr>
              <w:t>Year Registered/ Health Board</w:t>
            </w:r>
          </w:p>
        </w:tc>
        <w:tc>
          <w:tcPr>
            <w:tcW w:w="1033" w:type="dxa"/>
            <w:shd w:val="clear" w:color="auto" w:fill="D9D9D9" w:themeFill="background1" w:themeFillShade="D9"/>
            <w:noWrap/>
            <w:vAlign w:val="center"/>
            <w:hideMark/>
          </w:tcPr>
          <w:p w:rsidR="00EE3442" w:rsidRPr="00EE3442" w:rsidRDefault="00EE3442" w:rsidP="00EE3442">
            <w:pPr>
              <w:tabs>
                <w:tab w:val="left" w:pos="5400"/>
              </w:tabs>
              <w:rPr>
                <w:b/>
                <w:bCs/>
              </w:rPr>
            </w:pPr>
            <w:r w:rsidRPr="00EE3442">
              <w:rPr>
                <w:b/>
                <w:bCs/>
              </w:rPr>
              <w:t>2018</w:t>
            </w:r>
          </w:p>
        </w:tc>
        <w:tc>
          <w:tcPr>
            <w:tcW w:w="1034" w:type="dxa"/>
            <w:shd w:val="clear" w:color="auto" w:fill="D9D9D9" w:themeFill="background1" w:themeFillShade="D9"/>
            <w:noWrap/>
            <w:vAlign w:val="center"/>
            <w:hideMark/>
          </w:tcPr>
          <w:p w:rsidR="00EE3442" w:rsidRPr="00EE3442" w:rsidRDefault="00EE3442" w:rsidP="00EE3442">
            <w:pPr>
              <w:tabs>
                <w:tab w:val="left" w:pos="5400"/>
              </w:tabs>
              <w:rPr>
                <w:b/>
                <w:bCs/>
              </w:rPr>
            </w:pPr>
            <w:r w:rsidRPr="00EE3442">
              <w:rPr>
                <w:b/>
                <w:bCs/>
              </w:rPr>
              <w:t>2019</w:t>
            </w:r>
          </w:p>
        </w:tc>
        <w:tc>
          <w:tcPr>
            <w:tcW w:w="1033" w:type="dxa"/>
            <w:shd w:val="clear" w:color="auto" w:fill="D9D9D9" w:themeFill="background1" w:themeFillShade="D9"/>
            <w:noWrap/>
            <w:vAlign w:val="center"/>
            <w:hideMark/>
          </w:tcPr>
          <w:p w:rsidR="00EE3442" w:rsidRPr="00EE3442" w:rsidRDefault="00EE3442" w:rsidP="00EE3442">
            <w:pPr>
              <w:tabs>
                <w:tab w:val="left" w:pos="5400"/>
              </w:tabs>
              <w:rPr>
                <w:b/>
                <w:bCs/>
              </w:rPr>
            </w:pPr>
            <w:r w:rsidRPr="00EE3442">
              <w:rPr>
                <w:b/>
                <w:bCs/>
              </w:rPr>
              <w:t>2020</w:t>
            </w:r>
          </w:p>
        </w:tc>
        <w:tc>
          <w:tcPr>
            <w:tcW w:w="1034" w:type="dxa"/>
            <w:shd w:val="clear" w:color="auto" w:fill="D9D9D9" w:themeFill="background1" w:themeFillShade="D9"/>
            <w:noWrap/>
            <w:vAlign w:val="center"/>
            <w:hideMark/>
          </w:tcPr>
          <w:p w:rsidR="00EE3442" w:rsidRPr="00EE3442" w:rsidRDefault="00EE3442" w:rsidP="00EE3442">
            <w:pPr>
              <w:tabs>
                <w:tab w:val="left" w:pos="5400"/>
              </w:tabs>
              <w:rPr>
                <w:b/>
                <w:bCs/>
              </w:rPr>
            </w:pPr>
            <w:r w:rsidRPr="00EE3442">
              <w:rPr>
                <w:b/>
                <w:bCs/>
              </w:rPr>
              <w:t>2021</w:t>
            </w:r>
          </w:p>
        </w:tc>
      </w:tr>
      <w:tr w:rsidR="00EE3442" w:rsidRPr="00EE3442" w:rsidTr="00EE3442">
        <w:trPr>
          <w:trHeight w:val="293"/>
        </w:trPr>
        <w:tc>
          <w:tcPr>
            <w:tcW w:w="3804" w:type="dxa"/>
            <w:shd w:val="clear" w:color="auto" w:fill="auto"/>
            <w:noWrap/>
            <w:vAlign w:val="bottom"/>
            <w:hideMark/>
          </w:tcPr>
          <w:p w:rsidR="00EE3442" w:rsidRPr="00EE3442" w:rsidRDefault="00EE3442" w:rsidP="00EE3442">
            <w:pPr>
              <w:tabs>
                <w:tab w:val="left" w:pos="5400"/>
              </w:tabs>
            </w:pPr>
            <w:r w:rsidRPr="00EE3442">
              <w:t>Scotland</w:t>
            </w:r>
          </w:p>
        </w:tc>
        <w:tc>
          <w:tcPr>
            <w:tcW w:w="1033" w:type="dxa"/>
            <w:shd w:val="clear" w:color="auto" w:fill="auto"/>
            <w:noWrap/>
            <w:vAlign w:val="bottom"/>
            <w:hideMark/>
          </w:tcPr>
          <w:p w:rsidR="00EE3442" w:rsidRPr="00EE3442" w:rsidRDefault="00EE3442" w:rsidP="00EE3442">
            <w:pPr>
              <w:tabs>
                <w:tab w:val="left" w:pos="5400"/>
              </w:tabs>
            </w:pPr>
            <w:r w:rsidRPr="00EE3442">
              <w:t>1,187</w:t>
            </w:r>
          </w:p>
        </w:tc>
        <w:tc>
          <w:tcPr>
            <w:tcW w:w="1034" w:type="dxa"/>
            <w:shd w:val="clear" w:color="auto" w:fill="auto"/>
            <w:noWrap/>
            <w:vAlign w:val="bottom"/>
            <w:hideMark/>
          </w:tcPr>
          <w:p w:rsidR="00EE3442" w:rsidRPr="00EE3442" w:rsidRDefault="00EE3442" w:rsidP="00EE3442">
            <w:pPr>
              <w:tabs>
                <w:tab w:val="left" w:pos="5400"/>
              </w:tabs>
            </w:pPr>
            <w:r w:rsidRPr="00EE3442">
              <w:t>1,280</w:t>
            </w:r>
          </w:p>
        </w:tc>
        <w:tc>
          <w:tcPr>
            <w:tcW w:w="1033" w:type="dxa"/>
            <w:shd w:val="clear" w:color="auto" w:fill="auto"/>
            <w:noWrap/>
            <w:vAlign w:val="bottom"/>
            <w:hideMark/>
          </w:tcPr>
          <w:p w:rsidR="00EE3442" w:rsidRPr="00EE3442" w:rsidRDefault="00EE3442" w:rsidP="00EE3442">
            <w:pPr>
              <w:tabs>
                <w:tab w:val="left" w:pos="5400"/>
              </w:tabs>
            </w:pPr>
            <w:r w:rsidRPr="00EE3442">
              <w:t>1,339</w:t>
            </w:r>
          </w:p>
        </w:tc>
        <w:tc>
          <w:tcPr>
            <w:tcW w:w="1034" w:type="dxa"/>
            <w:shd w:val="clear" w:color="auto" w:fill="auto"/>
            <w:noWrap/>
            <w:vAlign w:val="bottom"/>
            <w:hideMark/>
          </w:tcPr>
          <w:p w:rsidR="00EE3442" w:rsidRPr="00EE3442" w:rsidRDefault="00EE3442" w:rsidP="00EE3442">
            <w:pPr>
              <w:tabs>
                <w:tab w:val="left" w:pos="5400"/>
              </w:tabs>
            </w:pPr>
            <w:r w:rsidRPr="00EE3442">
              <w:t>1,330</w:t>
            </w:r>
          </w:p>
        </w:tc>
      </w:tr>
      <w:tr w:rsidR="00EE3442" w:rsidRPr="00EE3442" w:rsidTr="00EE3442">
        <w:trPr>
          <w:trHeight w:val="285"/>
        </w:trPr>
        <w:tc>
          <w:tcPr>
            <w:tcW w:w="3804" w:type="dxa"/>
            <w:shd w:val="clear" w:color="auto" w:fill="auto"/>
            <w:noWrap/>
            <w:vAlign w:val="bottom"/>
            <w:hideMark/>
          </w:tcPr>
          <w:p w:rsidR="00EE3442" w:rsidRPr="00EE3442" w:rsidRDefault="00EE3442" w:rsidP="00EE3442">
            <w:pPr>
              <w:tabs>
                <w:tab w:val="left" w:pos="5400"/>
              </w:tabs>
            </w:pPr>
            <w:r w:rsidRPr="00EE3442">
              <w:t xml:space="preserve">Highland </w:t>
            </w:r>
          </w:p>
        </w:tc>
        <w:tc>
          <w:tcPr>
            <w:tcW w:w="1033" w:type="dxa"/>
            <w:shd w:val="clear" w:color="auto" w:fill="auto"/>
            <w:noWrap/>
            <w:vAlign w:val="bottom"/>
            <w:hideMark/>
          </w:tcPr>
          <w:p w:rsidR="00EE3442" w:rsidRPr="00EE3442" w:rsidRDefault="00EE3442" w:rsidP="00EE3442">
            <w:pPr>
              <w:tabs>
                <w:tab w:val="left" w:pos="5400"/>
              </w:tabs>
            </w:pPr>
            <w:r w:rsidRPr="00EE3442">
              <w:t>45</w:t>
            </w:r>
          </w:p>
        </w:tc>
        <w:tc>
          <w:tcPr>
            <w:tcW w:w="1034" w:type="dxa"/>
            <w:shd w:val="clear" w:color="auto" w:fill="auto"/>
            <w:noWrap/>
            <w:vAlign w:val="bottom"/>
            <w:hideMark/>
          </w:tcPr>
          <w:p w:rsidR="00EE3442" w:rsidRPr="00EE3442" w:rsidRDefault="00EE3442" w:rsidP="00EE3442">
            <w:pPr>
              <w:tabs>
                <w:tab w:val="left" w:pos="5400"/>
              </w:tabs>
            </w:pPr>
            <w:r w:rsidRPr="00EE3442">
              <w:t>39</w:t>
            </w:r>
          </w:p>
        </w:tc>
        <w:tc>
          <w:tcPr>
            <w:tcW w:w="1033" w:type="dxa"/>
            <w:shd w:val="clear" w:color="auto" w:fill="auto"/>
            <w:noWrap/>
            <w:vAlign w:val="bottom"/>
            <w:hideMark/>
          </w:tcPr>
          <w:p w:rsidR="00EE3442" w:rsidRPr="00EE3442" w:rsidRDefault="00EE3442" w:rsidP="00EE3442">
            <w:pPr>
              <w:tabs>
                <w:tab w:val="left" w:pos="5400"/>
              </w:tabs>
            </w:pPr>
            <w:r w:rsidRPr="00EE3442">
              <w:t>49</w:t>
            </w:r>
          </w:p>
        </w:tc>
        <w:tc>
          <w:tcPr>
            <w:tcW w:w="1034" w:type="dxa"/>
            <w:shd w:val="clear" w:color="auto" w:fill="auto"/>
            <w:noWrap/>
            <w:vAlign w:val="bottom"/>
            <w:hideMark/>
          </w:tcPr>
          <w:p w:rsidR="00EE3442" w:rsidRPr="00EE3442" w:rsidRDefault="00EE3442" w:rsidP="00EE3442">
            <w:pPr>
              <w:tabs>
                <w:tab w:val="left" w:pos="5400"/>
              </w:tabs>
            </w:pPr>
            <w:r w:rsidRPr="00EE3442">
              <w:t>44</w:t>
            </w:r>
          </w:p>
        </w:tc>
      </w:tr>
      <w:tr w:rsidR="00EE3442" w:rsidRPr="00EE3442" w:rsidTr="00EE3442">
        <w:trPr>
          <w:trHeight w:val="255"/>
        </w:trPr>
        <w:tc>
          <w:tcPr>
            <w:tcW w:w="3804" w:type="dxa"/>
            <w:shd w:val="clear" w:color="auto" w:fill="auto"/>
            <w:noWrap/>
            <w:vAlign w:val="bottom"/>
            <w:hideMark/>
          </w:tcPr>
          <w:p w:rsidR="00EE3442" w:rsidRPr="00EE3442" w:rsidRDefault="00EE3442" w:rsidP="00EE3442">
            <w:pPr>
              <w:tabs>
                <w:tab w:val="left" w:pos="5400"/>
              </w:tabs>
            </w:pPr>
            <w:r w:rsidRPr="00EE3442">
              <w:t>Orkney</w:t>
            </w:r>
          </w:p>
        </w:tc>
        <w:tc>
          <w:tcPr>
            <w:tcW w:w="1033" w:type="dxa"/>
            <w:shd w:val="clear" w:color="auto" w:fill="auto"/>
            <w:noWrap/>
            <w:vAlign w:val="bottom"/>
            <w:hideMark/>
          </w:tcPr>
          <w:p w:rsidR="00EE3442" w:rsidRPr="00EE3442" w:rsidRDefault="00EE3442" w:rsidP="00EE3442">
            <w:pPr>
              <w:tabs>
                <w:tab w:val="left" w:pos="5400"/>
              </w:tabs>
            </w:pPr>
            <w:r w:rsidRPr="00EE3442">
              <w:t>3</w:t>
            </w:r>
          </w:p>
        </w:tc>
        <w:tc>
          <w:tcPr>
            <w:tcW w:w="1034" w:type="dxa"/>
            <w:shd w:val="clear" w:color="auto" w:fill="auto"/>
            <w:noWrap/>
            <w:vAlign w:val="bottom"/>
            <w:hideMark/>
          </w:tcPr>
          <w:p w:rsidR="00EE3442" w:rsidRPr="00EE3442" w:rsidRDefault="00EE3442" w:rsidP="00EE3442">
            <w:pPr>
              <w:tabs>
                <w:tab w:val="left" w:pos="5400"/>
              </w:tabs>
            </w:pPr>
            <w:r w:rsidRPr="00EE3442">
              <w:t>1</w:t>
            </w:r>
          </w:p>
        </w:tc>
        <w:tc>
          <w:tcPr>
            <w:tcW w:w="1033" w:type="dxa"/>
            <w:shd w:val="clear" w:color="auto" w:fill="auto"/>
            <w:noWrap/>
            <w:vAlign w:val="bottom"/>
            <w:hideMark/>
          </w:tcPr>
          <w:p w:rsidR="00EE3442" w:rsidRPr="00EE3442" w:rsidRDefault="00EE3442" w:rsidP="00EE3442">
            <w:pPr>
              <w:tabs>
                <w:tab w:val="left" w:pos="5400"/>
              </w:tabs>
            </w:pPr>
            <w:r w:rsidRPr="00EE3442">
              <w:t>3</w:t>
            </w:r>
          </w:p>
        </w:tc>
        <w:tc>
          <w:tcPr>
            <w:tcW w:w="1034" w:type="dxa"/>
            <w:shd w:val="clear" w:color="auto" w:fill="auto"/>
            <w:noWrap/>
            <w:vAlign w:val="bottom"/>
            <w:hideMark/>
          </w:tcPr>
          <w:p w:rsidR="00EE3442" w:rsidRPr="00EE3442" w:rsidRDefault="00EE3442" w:rsidP="00EE3442">
            <w:pPr>
              <w:tabs>
                <w:tab w:val="left" w:pos="5400"/>
              </w:tabs>
            </w:pPr>
            <w:r w:rsidRPr="00EE3442">
              <w:t>1</w:t>
            </w:r>
          </w:p>
        </w:tc>
      </w:tr>
      <w:tr w:rsidR="00EE3442" w:rsidRPr="00EE3442" w:rsidTr="00EE3442">
        <w:trPr>
          <w:trHeight w:val="255"/>
        </w:trPr>
        <w:tc>
          <w:tcPr>
            <w:tcW w:w="3804" w:type="dxa"/>
            <w:shd w:val="clear" w:color="auto" w:fill="auto"/>
            <w:noWrap/>
            <w:vAlign w:val="bottom"/>
            <w:hideMark/>
          </w:tcPr>
          <w:p w:rsidR="00EE3442" w:rsidRPr="00EE3442" w:rsidRDefault="00EE3442" w:rsidP="00EE3442">
            <w:pPr>
              <w:tabs>
                <w:tab w:val="left" w:pos="5400"/>
              </w:tabs>
            </w:pPr>
            <w:r w:rsidRPr="00EE3442">
              <w:lastRenderedPageBreak/>
              <w:t>Shetland</w:t>
            </w:r>
          </w:p>
        </w:tc>
        <w:tc>
          <w:tcPr>
            <w:tcW w:w="1033" w:type="dxa"/>
            <w:shd w:val="clear" w:color="auto" w:fill="auto"/>
            <w:noWrap/>
            <w:vAlign w:val="bottom"/>
            <w:hideMark/>
          </w:tcPr>
          <w:p w:rsidR="00EE3442" w:rsidRPr="00EE3442" w:rsidRDefault="00EE3442" w:rsidP="00EE3442">
            <w:pPr>
              <w:tabs>
                <w:tab w:val="left" w:pos="5400"/>
              </w:tabs>
            </w:pPr>
            <w:r w:rsidRPr="00EE3442">
              <w:t>0</w:t>
            </w:r>
          </w:p>
        </w:tc>
        <w:tc>
          <w:tcPr>
            <w:tcW w:w="1034" w:type="dxa"/>
            <w:shd w:val="clear" w:color="auto" w:fill="auto"/>
            <w:noWrap/>
            <w:vAlign w:val="bottom"/>
            <w:hideMark/>
          </w:tcPr>
          <w:p w:rsidR="00EE3442" w:rsidRPr="00EE3442" w:rsidRDefault="00EE3442" w:rsidP="00EE3442">
            <w:pPr>
              <w:tabs>
                <w:tab w:val="left" w:pos="5400"/>
              </w:tabs>
            </w:pPr>
            <w:r w:rsidRPr="00EE3442">
              <w:t>2</w:t>
            </w:r>
          </w:p>
        </w:tc>
        <w:tc>
          <w:tcPr>
            <w:tcW w:w="1033" w:type="dxa"/>
            <w:shd w:val="clear" w:color="auto" w:fill="auto"/>
            <w:noWrap/>
            <w:vAlign w:val="bottom"/>
            <w:hideMark/>
          </w:tcPr>
          <w:p w:rsidR="00EE3442" w:rsidRPr="00EE3442" w:rsidRDefault="00EE3442" w:rsidP="00EE3442">
            <w:pPr>
              <w:tabs>
                <w:tab w:val="left" w:pos="5400"/>
              </w:tabs>
            </w:pPr>
            <w:r w:rsidRPr="00EE3442">
              <w:t>4</w:t>
            </w:r>
          </w:p>
        </w:tc>
        <w:tc>
          <w:tcPr>
            <w:tcW w:w="1034" w:type="dxa"/>
            <w:shd w:val="clear" w:color="auto" w:fill="auto"/>
            <w:noWrap/>
            <w:vAlign w:val="bottom"/>
            <w:hideMark/>
          </w:tcPr>
          <w:p w:rsidR="00EE3442" w:rsidRPr="00EE3442" w:rsidRDefault="00EE3442" w:rsidP="00EE3442">
            <w:pPr>
              <w:tabs>
                <w:tab w:val="left" w:pos="5400"/>
              </w:tabs>
            </w:pPr>
            <w:r w:rsidRPr="00EE3442">
              <w:t>4</w:t>
            </w:r>
          </w:p>
        </w:tc>
      </w:tr>
      <w:tr w:rsidR="00EE3442" w:rsidRPr="00EE3442" w:rsidTr="00EE3442">
        <w:trPr>
          <w:trHeight w:val="255"/>
        </w:trPr>
        <w:tc>
          <w:tcPr>
            <w:tcW w:w="3804" w:type="dxa"/>
            <w:shd w:val="clear" w:color="auto" w:fill="auto"/>
            <w:noWrap/>
            <w:vAlign w:val="bottom"/>
            <w:hideMark/>
          </w:tcPr>
          <w:p w:rsidR="00EE3442" w:rsidRPr="00EE3442" w:rsidRDefault="00EE3442" w:rsidP="00EE3442">
            <w:pPr>
              <w:tabs>
                <w:tab w:val="left" w:pos="5400"/>
              </w:tabs>
            </w:pPr>
            <w:r w:rsidRPr="00EE3442">
              <w:t>Western Isles</w:t>
            </w:r>
          </w:p>
        </w:tc>
        <w:tc>
          <w:tcPr>
            <w:tcW w:w="1033" w:type="dxa"/>
            <w:shd w:val="clear" w:color="auto" w:fill="auto"/>
            <w:noWrap/>
            <w:vAlign w:val="bottom"/>
            <w:hideMark/>
          </w:tcPr>
          <w:p w:rsidR="00EE3442" w:rsidRPr="00EE3442" w:rsidRDefault="00EE3442" w:rsidP="00EE3442">
            <w:pPr>
              <w:tabs>
                <w:tab w:val="left" w:pos="5400"/>
              </w:tabs>
            </w:pPr>
            <w:r w:rsidRPr="00EE3442">
              <w:t>2</w:t>
            </w:r>
          </w:p>
        </w:tc>
        <w:tc>
          <w:tcPr>
            <w:tcW w:w="1034" w:type="dxa"/>
            <w:shd w:val="clear" w:color="auto" w:fill="auto"/>
            <w:noWrap/>
            <w:vAlign w:val="bottom"/>
            <w:hideMark/>
          </w:tcPr>
          <w:p w:rsidR="00EE3442" w:rsidRPr="00EE3442" w:rsidRDefault="00EE3442" w:rsidP="00EE3442">
            <w:pPr>
              <w:tabs>
                <w:tab w:val="left" w:pos="5400"/>
              </w:tabs>
            </w:pPr>
            <w:r w:rsidRPr="00EE3442">
              <w:t>0</w:t>
            </w:r>
          </w:p>
        </w:tc>
        <w:tc>
          <w:tcPr>
            <w:tcW w:w="1033" w:type="dxa"/>
            <w:shd w:val="clear" w:color="auto" w:fill="auto"/>
            <w:noWrap/>
            <w:vAlign w:val="bottom"/>
            <w:hideMark/>
          </w:tcPr>
          <w:p w:rsidR="00EE3442" w:rsidRPr="00EE3442" w:rsidRDefault="00EE3442" w:rsidP="00EE3442">
            <w:pPr>
              <w:tabs>
                <w:tab w:val="left" w:pos="5400"/>
              </w:tabs>
            </w:pPr>
            <w:r w:rsidRPr="00EE3442">
              <w:t>3</w:t>
            </w:r>
          </w:p>
        </w:tc>
        <w:tc>
          <w:tcPr>
            <w:tcW w:w="1034" w:type="dxa"/>
            <w:shd w:val="clear" w:color="auto" w:fill="auto"/>
            <w:noWrap/>
            <w:vAlign w:val="bottom"/>
            <w:hideMark/>
          </w:tcPr>
          <w:p w:rsidR="00EE3442" w:rsidRPr="00EE3442" w:rsidRDefault="00EE3442" w:rsidP="00EE3442">
            <w:pPr>
              <w:tabs>
                <w:tab w:val="left" w:pos="5400"/>
              </w:tabs>
            </w:pPr>
            <w:r w:rsidRPr="00EE3442">
              <w:t>3</w:t>
            </w:r>
          </w:p>
        </w:tc>
      </w:tr>
    </w:tbl>
    <w:p w:rsidR="00FF512D" w:rsidRDefault="00FF512D" w:rsidP="00E9027D">
      <w:pPr>
        <w:tabs>
          <w:tab w:val="left" w:pos="5400"/>
        </w:tabs>
      </w:pPr>
    </w:p>
    <w:p w:rsidR="008F274C" w:rsidRDefault="008F274C" w:rsidP="00E9027D">
      <w:pPr>
        <w:tabs>
          <w:tab w:val="left" w:pos="5400"/>
        </w:tabs>
      </w:pPr>
      <w:r>
        <w:t xml:space="preserve">In addition, the Scottish Government publish more up-to-date data regarding </w:t>
      </w:r>
      <w:r>
        <w:rPr>
          <w:i/>
        </w:rPr>
        <w:t xml:space="preserve">suspected </w:t>
      </w:r>
      <w:r>
        <w:t>drug related deaths by Local Authority area:</w:t>
      </w:r>
    </w:p>
    <w:p w:rsidR="008F274C" w:rsidRDefault="00E74278" w:rsidP="00E9027D">
      <w:pPr>
        <w:tabs>
          <w:tab w:val="left" w:pos="5400"/>
        </w:tabs>
      </w:pPr>
      <w:hyperlink r:id="rId9" w:history="1">
        <w:r w:rsidR="00FF512D">
          <w:rPr>
            <w:rStyle w:val="Hyperlink"/>
          </w:rPr>
          <w:t>Suspected drug deaths in Scotland - gov.scot (www.gov.scot)</w:t>
        </w:r>
      </w:hyperlink>
    </w:p>
    <w:p w:rsidR="00BF6B81"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2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2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2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27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2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27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42BA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E1187"/>
    <w:rsid w:val="008F274C"/>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A2EF4"/>
    <w:rsid w:val="00CF1111"/>
    <w:rsid w:val="00D05706"/>
    <w:rsid w:val="00D27DC5"/>
    <w:rsid w:val="00D47E36"/>
    <w:rsid w:val="00E55D79"/>
    <w:rsid w:val="00E74278"/>
    <w:rsid w:val="00E9027D"/>
    <w:rsid w:val="00EE3442"/>
    <w:rsid w:val="00EF4761"/>
    <w:rsid w:val="00F003F8"/>
    <w:rsid w:val="00F5279E"/>
    <w:rsid w:val="00FC2DA7"/>
    <w:rsid w:val="00FE44E2"/>
    <w:rsid w:val="00FF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8E11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92705">
      <w:bodyDiv w:val="1"/>
      <w:marLeft w:val="0"/>
      <w:marRight w:val="0"/>
      <w:marTop w:val="0"/>
      <w:marBottom w:val="0"/>
      <w:divBdr>
        <w:top w:val="none" w:sz="0" w:space="0" w:color="auto"/>
        <w:left w:val="none" w:sz="0" w:space="0" w:color="auto"/>
        <w:bottom w:val="none" w:sz="0" w:space="0" w:color="auto"/>
        <w:right w:val="none" w:sz="0" w:space="0" w:color="auto"/>
      </w:divBdr>
    </w:div>
    <w:div w:id="1085155052">
      <w:bodyDiv w:val="1"/>
      <w:marLeft w:val="0"/>
      <w:marRight w:val="0"/>
      <w:marTop w:val="0"/>
      <w:marBottom w:val="0"/>
      <w:divBdr>
        <w:top w:val="none" w:sz="0" w:space="0" w:color="auto"/>
        <w:left w:val="none" w:sz="0" w:space="0" w:color="auto"/>
        <w:bottom w:val="none" w:sz="0" w:space="0" w:color="auto"/>
        <w:right w:val="none" w:sz="0" w:space="0" w:color="auto"/>
      </w:divBdr>
    </w:div>
    <w:div w:id="1466384578">
      <w:bodyDiv w:val="1"/>
      <w:marLeft w:val="0"/>
      <w:marRight w:val="0"/>
      <w:marTop w:val="0"/>
      <w:marBottom w:val="0"/>
      <w:divBdr>
        <w:top w:val="none" w:sz="0" w:space="0" w:color="auto"/>
        <w:left w:val="none" w:sz="0" w:space="0" w:color="auto"/>
        <w:bottom w:val="none" w:sz="0" w:space="0" w:color="auto"/>
        <w:right w:val="none" w:sz="0" w:space="0" w:color="auto"/>
      </w:divBdr>
    </w:div>
    <w:div w:id="15095200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scotland.gov.uk/statistics-and-data/statistics/statistics-by-theme/vital-events/deaths/drug-related-deaths-in-scotland/2021"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publications/suspected-drug-deaths-scotland-april-june-2022/documen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Pages>
  <Words>793</Words>
  <Characters>4526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2023-05-09T10:50:00Z</cp:lastPrinted>
  <dcterms:created xsi:type="dcterms:W3CDTF">2021-10-06T12:31:00Z</dcterms:created>
  <dcterms:modified xsi:type="dcterms:W3CDTF">2023-05-09T10:51:00Z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