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60CBC">
              <w:t>-1510</w:t>
            </w:r>
          </w:p>
          <w:p w:rsidR="00B17211" w:rsidRDefault="00456324" w:rsidP="00A53C57">
            <w:r w:rsidRPr="007F490F">
              <w:rPr>
                <w:rStyle w:val="Heading2Char"/>
              </w:rPr>
              <w:t>Respon</w:t>
            </w:r>
            <w:r w:rsidR="007D55F6">
              <w:rPr>
                <w:rStyle w:val="Heading2Char"/>
              </w:rPr>
              <w:t>ded to:</w:t>
            </w:r>
            <w:r w:rsidR="007F490F">
              <w:t xml:space="preserve">  </w:t>
            </w:r>
            <w:r w:rsidR="00A53C57">
              <w:t>30</w:t>
            </w:r>
            <w:r w:rsidR="00A53C57" w:rsidRPr="00A53C57">
              <w:rPr>
                <w:vertAlign w:val="superscript"/>
              </w:rPr>
              <w:t>th</w:t>
            </w:r>
            <w:r w:rsidR="00A53C57">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60CBC" w:rsidRPr="00160CBC" w:rsidRDefault="00160CBC" w:rsidP="00160CBC">
      <w:pPr>
        <w:pStyle w:val="Heading2"/>
      </w:pPr>
      <w:r w:rsidRPr="00160CBC">
        <w:t>How many traffic collisions involving delivery drivers (couriers, food delivery drivers, postage and goods drivers etc.) have been recorded by your force in the last five years. Please provide a breakdown of:</w:t>
      </w:r>
    </w:p>
    <w:p w:rsidR="00160CBC" w:rsidRPr="00160CBC" w:rsidRDefault="00160CBC" w:rsidP="00160CBC">
      <w:pPr>
        <w:pStyle w:val="Heading2"/>
      </w:pPr>
      <w:r>
        <w:t xml:space="preserve">a. </w:t>
      </w:r>
      <w:r w:rsidRPr="00160CBC">
        <w:t xml:space="preserve">What type of vehicles were involved – in particular, what vehicle the delivery driver was using; </w:t>
      </w:r>
    </w:p>
    <w:p w:rsidR="00160CBC" w:rsidRPr="00160CBC" w:rsidRDefault="00160CBC" w:rsidP="00160CBC">
      <w:pPr>
        <w:pStyle w:val="Heading2"/>
      </w:pPr>
      <w:r>
        <w:t xml:space="preserve">b. </w:t>
      </w:r>
      <w:r w:rsidRPr="00160CBC">
        <w:t xml:space="preserve">The calendar year in which the collision took place; </w:t>
      </w:r>
    </w:p>
    <w:p w:rsidR="00160CBC" w:rsidRDefault="00160CBC" w:rsidP="00160CBC">
      <w:pPr>
        <w:pStyle w:val="Heading2"/>
      </w:pPr>
      <w:r>
        <w:t xml:space="preserve">c. </w:t>
      </w:r>
      <w:r w:rsidRPr="00160CBC">
        <w:t>The injury severity of the accident (fatal, severe or slight);</w:t>
      </w:r>
    </w:p>
    <w:p w:rsidR="00160CBC" w:rsidRDefault="00160CBC" w:rsidP="00160CBC">
      <w:r>
        <w:t xml:space="preserve">On </w:t>
      </w:r>
      <w:r w:rsidRPr="00160CBC">
        <w:t>the 12</w:t>
      </w:r>
      <w:r w:rsidRPr="00160CBC">
        <w:rPr>
          <w:vertAlign w:val="superscript"/>
        </w:rPr>
        <w:t>th</w:t>
      </w:r>
      <w:r>
        <w:t xml:space="preserve"> </w:t>
      </w:r>
      <w:r w:rsidRPr="00160CBC">
        <w:t>June 2019, CRaSH was implem</w:t>
      </w:r>
      <w:r>
        <w:t>ented within D Division and o</w:t>
      </w:r>
      <w:r w:rsidRPr="00160CBC">
        <w:t>n the 3rd July 2019, CRaSH was implemented across the other Police Divisions within Police Scotland. CRaSH replaced the existing procedures for reco</w:t>
      </w:r>
      <w:r>
        <w:t>rding Road Traffic Collisions.</w:t>
      </w:r>
      <w:r>
        <w:tab/>
      </w:r>
    </w:p>
    <w:p w:rsidR="00160CBC" w:rsidRDefault="00160CBC" w:rsidP="00160CBC">
      <w:r>
        <w:t xml:space="preserve">Unfortunately, there is no category or marker etc. on CRaSH which indicates that the individual involved in the road traffic collision was a ‘delivery driver’. </w:t>
      </w:r>
    </w:p>
    <w:p w:rsidR="00496A08" w:rsidRDefault="00160CBC" w:rsidP="00160CBC">
      <w:r>
        <w:t xml:space="preserve">The most potentially relevant category on CRaSH would be ‘Goods Vehicle’, however it must be stressed that not all delivery driver types would be categorised as ‘Goods Vehicle’, such as those making deliveries using a car or a pedal cycle. Similarly, some of those ‘Goods Vehicles’ involved in a road traffic collision, may not necessarily have been a delivery driver. </w:t>
      </w:r>
    </w:p>
    <w:p w:rsidR="00160CBC" w:rsidRDefault="00160CBC" w:rsidP="00160CBC">
      <w:r>
        <w:t xml:space="preserve">As such, as a minimum, all road traffic collisions which are categorised as involving a Goods Vehicle would have to be individually examined to establish whether it was being used to make deliveries. </w:t>
      </w:r>
    </w:p>
    <w:p w:rsidR="00160CBC" w:rsidRPr="00BB5D03" w:rsidRDefault="00160CBC" w:rsidP="00160CBC">
      <w:r>
        <w:t xml:space="preserve">As illustrated by the below table, this would involve carrying out case by case assessment of in excess of 3,500 road traffic collision reports. </w:t>
      </w:r>
      <w:r w:rsidRPr="00BB5D03">
        <w:t xml:space="preserve">As you may be aware the current cost threshold is £600 and I estimate that it would cost well in excess of this amount to process your request. </w:t>
      </w:r>
    </w:p>
    <w:p w:rsidR="00160CBC" w:rsidRPr="00BB5D03" w:rsidRDefault="00160CBC" w:rsidP="00160CBC"/>
    <w:p w:rsidR="00160CBC" w:rsidRDefault="00160CBC" w:rsidP="00160CBC">
      <w:r w:rsidRPr="00BB5D03">
        <w:t>As such, and in terms of Section 16(4) of the Freedom of Information (Scotland) Act 2002 where Section 12(1) of the Act (Excessive Cost of Compliance) has been applied, this represents a refusal notice for the information sought.</w:t>
      </w:r>
    </w:p>
    <w:p w:rsidR="00160CBC" w:rsidRDefault="00160CBC" w:rsidP="00160CBC"/>
    <w:p w:rsidR="00255F1E" w:rsidRPr="00160CBC" w:rsidRDefault="00160CBC" w:rsidP="00793DD5">
      <w:pPr>
        <w:tabs>
          <w:tab w:val="left" w:pos="5400"/>
        </w:tabs>
        <w:rPr>
          <w:b/>
        </w:rPr>
      </w:pPr>
      <w:r w:rsidRPr="00160CBC">
        <w:rPr>
          <w:b/>
        </w:rPr>
        <w:t xml:space="preserve">Table 1: Road Traffic Collisions involving at least one Goods Vehicle </w:t>
      </w:r>
    </w:p>
    <w:p w:rsidR="00160CBC" w:rsidRDefault="00160CBC" w:rsidP="00793DD5">
      <w:pPr>
        <w:tabs>
          <w:tab w:val="left" w:pos="5400"/>
        </w:tabs>
      </w:pPr>
      <w:r>
        <w:t>Period: 1</w:t>
      </w:r>
      <w:r w:rsidRPr="00160CBC">
        <w:rPr>
          <w:vertAlign w:val="superscript"/>
        </w:rPr>
        <w:t>st</w:t>
      </w:r>
      <w:r>
        <w:t xml:space="preserve"> January 2018 – 31</w:t>
      </w:r>
      <w:r w:rsidRPr="00160CBC">
        <w:rPr>
          <w:vertAlign w:val="superscript"/>
        </w:rPr>
        <w:t>st</w:t>
      </w:r>
      <w:r>
        <w:t xml:space="preserve"> May 2023 </w:t>
      </w:r>
    </w:p>
    <w:tbl>
      <w:tblPr>
        <w:tblStyle w:val="TableGrid"/>
        <w:tblW w:w="9628" w:type="dxa"/>
        <w:tblLook w:val="04A0" w:firstRow="1" w:lastRow="0" w:firstColumn="1" w:lastColumn="0" w:noHBand="0" w:noVBand="1"/>
        <w:tblCaption w:val="Road Traffic Collisions involving at least one Goods Vehicle "/>
        <w:tblDescription w:val="Road Traffic Collisions involving at least one Goods Vehicle "/>
      </w:tblPr>
      <w:tblGrid>
        <w:gridCol w:w="1613"/>
        <w:gridCol w:w="1411"/>
        <w:gridCol w:w="1410"/>
        <w:gridCol w:w="1411"/>
        <w:gridCol w:w="1411"/>
        <w:gridCol w:w="1186"/>
        <w:gridCol w:w="1186"/>
      </w:tblGrid>
      <w:tr w:rsidR="00160CBC" w:rsidRPr="00557306" w:rsidTr="00160CBC">
        <w:trPr>
          <w:tblHeader/>
        </w:trPr>
        <w:tc>
          <w:tcPr>
            <w:tcW w:w="1613" w:type="dxa"/>
            <w:shd w:val="clear" w:color="auto" w:fill="D9D9D9" w:themeFill="background1" w:themeFillShade="D9"/>
          </w:tcPr>
          <w:p w:rsidR="00160CBC" w:rsidRPr="00557306" w:rsidRDefault="00160CBC" w:rsidP="00D05706">
            <w:pPr>
              <w:rPr>
                <w:b/>
              </w:rPr>
            </w:pPr>
            <w:r>
              <w:rPr>
                <w:b/>
              </w:rPr>
              <w:t>Collision Severity</w:t>
            </w:r>
          </w:p>
        </w:tc>
        <w:tc>
          <w:tcPr>
            <w:tcW w:w="1411" w:type="dxa"/>
            <w:shd w:val="clear" w:color="auto" w:fill="D9D9D9" w:themeFill="background1" w:themeFillShade="D9"/>
          </w:tcPr>
          <w:p w:rsidR="00160CBC" w:rsidRPr="00557306" w:rsidRDefault="00160CBC" w:rsidP="00D05706">
            <w:pPr>
              <w:rPr>
                <w:b/>
              </w:rPr>
            </w:pPr>
            <w:r>
              <w:rPr>
                <w:b/>
              </w:rPr>
              <w:t>2018</w:t>
            </w:r>
          </w:p>
        </w:tc>
        <w:tc>
          <w:tcPr>
            <w:tcW w:w="1410" w:type="dxa"/>
            <w:shd w:val="clear" w:color="auto" w:fill="D9D9D9" w:themeFill="background1" w:themeFillShade="D9"/>
          </w:tcPr>
          <w:p w:rsidR="00160CBC" w:rsidRPr="00557306" w:rsidRDefault="00160CBC" w:rsidP="00D05706">
            <w:pPr>
              <w:rPr>
                <w:b/>
              </w:rPr>
            </w:pPr>
            <w:r>
              <w:rPr>
                <w:b/>
              </w:rPr>
              <w:t>2019</w:t>
            </w:r>
          </w:p>
        </w:tc>
        <w:tc>
          <w:tcPr>
            <w:tcW w:w="1411" w:type="dxa"/>
            <w:shd w:val="clear" w:color="auto" w:fill="D9D9D9" w:themeFill="background1" w:themeFillShade="D9"/>
          </w:tcPr>
          <w:p w:rsidR="00160CBC" w:rsidRPr="00557306" w:rsidRDefault="00160CBC" w:rsidP="00D05706">
            <w:pPr>
              <w:rPr>
                <w:b/>
              </w:rPr>
            </w:pPr>
            <w:r>
              <w:rPr>
                <w:b/>
              </w:rPr>
              <w:t>2020</w:t>
            </w:r>
          </w:p>
        </w:tc>
        <w:tc>
          <w:tcPr>
            <w:tcW w:w="1411" w:type="dxa"/>
            <w:shd w:val="clear" w:color="auto" w:fill="D9D9D9" w:themeFill="background1" w:themeFillShade="D9"/>
          </w:tcPr>
          <w:p w:rsidR="00160CBC" w:rsidRPr="00557306" w:rsidRDefault="00160CBC" w:rsidP="00D05706">
            <w:pPr>
              <w:rPr>
                <w:b/>
              </w:rPr>
            </w:pPr>
            <w:r>
              <w:rPr>
                <w:b/>
              </w:rPr>
              <w:t>2021</w:t>
            </w:r>
          </w:p>
        </w:tc>
        <w:tc>
          <w:tcPr>
            <w:tcW w:w="1186" w:type="dxa"/>
            <w:shd w:val="clear" w:color="auto" w:fill="D9D9D9" w:themeFill="background1" w:themeFillShade="D9"/>
          </w:tcPr>
          <w:p w:rsidR="00160CBC" w:rsidRDefault="00160CBC" w:rsidP="00D05706">
            <w:pPr>
              <w:rPr>
                <w:b/>
              </w:rPr>
            </w:pPr>
            <w:r>
              <w:rPr>
                <w:b/>
              </w:rPr>
              <w:t>2022</w:t>
            </w:r>
          </w:p>
        </w:tc>
        <w:tc>
          <w:tcPr>
            <w:tcW w:w="1186" w:type="dxa"/>
            <w:shd w:val="clear" w:color="auto" w:fill="D9D9D9" w:themeFill="background1" w:themeFillShade="D9"/>
          </w:tcPr>
          <w:p w:rsidR="00160CBC" w:rsidRDefault="00160CBC" w:rsidP="00D05706">
            <w:pPr>
              <w:rPr>
                <w:b/>
              </w:rPr>
            </w:pPr>
            <w:r>
              <w:rPr>
                <w:b/>
              </w:rPr>
              <w:t>2023</w:t>
            </w:r>
          </w:p>
        </w:tc>
      </w:tr>
      <w:tr w:rsidR="00160CBC" w:rsidTr="00160CBC">
        <w:tc>
          <w:tcPr>
            <w:tcW w:w="1613" w:type="dxa"/>
          </w:tcPr>
          <w:p w:rsidR="00160CBC" w:rsidRDefault="00160CBC" w:rsidP="00255F1E">
            <w:pPr>
              <w:tabs>
                <w:tab w:val="left" w:pos="5400"/>
              </w:tabs>
            </w:pPr>
            <w:r>
              <w:t>Fatal</w:t>
            </w:r>
          </w:p>
        </w:tc>
        <w:tc>
          <w:tcPr>
            <w:tcW w:w="1411" w:type="dxa"/>
          </w:tcPr>
          <w:p w:rsidR="00160CBC" w:rsidRDefault="00160CBC" w:rsidP="00255F1E">
            <w:pPr>
              <w:tabs>
                <w:tab w:val="left" w:pos="5400"/>
              </w:tabs>
            </w:pPr>
            <w:r>
              <w:t>30</w:t>
            </w:r>
          </w:p>
        </w:tc>
        <w:tc>
          <w:tcPr>
            <w:tcW w:w="1410" w:type="dxa"/>
          </w:tcPr>
          <w:p w:rsidR="00160CBC" w:rsidRDefault="00160CBC" w:rsidP="00160CBC">
            <w:pPr>
              <w:tabs>
                <w:tab w:val="left" w:pos="5400"/>
              </w:tabs>
            </w:pPr>
            <w:r>
              <w:t>37</w:t>
            </w:r>
          </w:p>
        </w:tc>
        <w:tc>
          <w:tcPr>
            <w:tcW w:w="1411" w:type="dxa"/>
          </w:tcPr>
          <w:p w:rsidR="00160CBC" w:rsidRDefault="00160CBC" w:rsidP="00255F1E">
            <w:pPr>
              <w:tabs>
                <w:tab w:val="left" w:pos="5400"/>
              </w:tabs>
            </w:pPr>
            <w:r>
              <w:t>35</w:t>
            </w:r>
          </w:p>
        </w:tc>
        <w:tc>
          <w:tcPr>
            <w:tcW w:w="1411" w:type="dxa"/>
          </w:tcPr>
          <w:p w:rsidR="00160CBC" w:rsidRDefault="00160CBC" w:rsidP="00255F1E">
            <w:pPr>
              <w:tabs>
                <w:tab w:val="left" w:pos="5400"/>
              </w:tabs>
            </w:pPr>
            <w:r>
              <w:t>29</w:t>
            </w:r>
          </w:p>
        </w:tc>
        <w:tc>
          <w:tcPr>
            <w:tcW w:w="1186" w:type="dxa"/>
          </w:tcPr>
          <w:p w:rsidR="00160CBC" w:rsidRDefault="00160CBC" w:rsidP="00255F1E">
            <w:pPr>
              <w:tabs>
                <w:tab w:val="left" w:pos="5400"/>
              </w:tabs>
            </w:pPr>
            <w:r>
              <w:t>37</w:t>
            </w:r>
          </w:p>
        </w:tc>
        <w:tc>
          <w:tcPr>
            <w:tcW w:w="1186" w:type="dxa"/>
          </w:tcPr>
          <w:p w:rsidR="00160CBC" w:rsidRDefault="00160CBC" w:rsidP="00255F1E">
            <w:pPr>
              <w:tabs>
                <w:tab w:val="left" w:pos="5400"/>
              </w:tabs>
            </w:pPr>
            <w:r>
              <w:t>7</w:t>
            </w:r>
          </w:p>
        </w:tc>
      </w:tr>
      <w:tr w:rsidR="00160CBC" w:rsidTr="00160CBC">
        <w:tc>
          <w:tcPr>
            <w:tcW w:w="1613" w:type="dxa"/>
          </w:tcPr>
          <w:p w:rsidR="00160CBC" w:rsidRDefault="00160CBC" w:rsidP="00255F1E">
            <w:pPr>
              <w:tabs>
                <w:tab w:val="left" w:pos="5400"/>
              </w:tabs>
            </w:pPr>
            <w:r>
              <w:t>Serious</w:t>
            </w:r>
          </w:p>
        </w:tc>
        <w:tc>
          <w:tcPr>
            <w:tcW w:w="1411" w:type="dxa"/>
          </w:tcPr>
          <w:p w:rsidR="00160CBC" w:rsidRDefault="00160CBC" w:rsidP="00255F1E">
            <w:pPr>
              <w:tabs>
                <w:tab w:val="left" w:pos="5400"/>
              </w:tabs>
            </w:pPr>
            <w:r>
              <w:t>175</w:t>
            </w:r>
          </w:p>
        </w:tc>
        <w:tc>
          <w:tcPr>
            <w:tcW w:w="1410" w:type="dxa"/>
          </w:tcPr>
          <w:p w:rsidR="00160CBC" w:rsidRDefault="00160CBC" w:rsidP="00160CBC">
            <w:pPr>
              <w:tabs>
                <w:tab w:val="left" w:pos="5400"/>
              </w:tabs>
            </w:pPr>
            <w:r>
              <w:t>209</w:t>
            </w:r>
          </w:p>
        </w:tc>
        <w:tc>
          <w:tcPr>
            <w:tcW w:w="1411" w:type="dxa"/>
          </w:tcPr>
          <w:p w:rsidR="00160CBC" w:rsidRDefault="00160CBC" w:rsidP="00255F1E">
            <w:pPr>
              <w:tabs>
                <w:tab w:val="left" w:pos="5400"/>
              </w:tabs>
            </w:pPr>
            <w:r>
              <w:t>168</w:t>
            </w:r>
          </w:p>
        </w:tc>
        <w:tc>
          <w:tcPr>
            <w:tcW w:w="1411" w:type="dxa"/>
          </w:tcPr>
          <w:p w:rsidR="00160CBC" w:rsidRDefault="00160CBC" w:rsidP="00255F1E">
            <w:pPr>
              <w:tabs>
                <w:tab w:val="left" w:pos="5400"/>
              </w:tabs>
            </w:pPr>
            <w:r>
              <w:t>190</w:t>
            </w:r>
          </w:p>
        </w:tc>
        <w:tc>
          <w:tcPr>
            <w:tcW w:w="1186" w:type="dxa"/>
          </w:tcPr>
          <w:p w:rsidR="00160CBC" w:rsidRDefault="00160CBC" w:rsidP="00255F1E">
            <w:pPr>
              <w:tabs>
                <w:tab w:val="left" w:pos="5400"/>
              </w:tabs>
            </w:pPr>
            <w:r>
              <w:t>228</w:t>
            </w:r>
          </w:p>
        </w:tc>
        <w:tc>
          <w:tcPr>
            <w:tcW w:w="1186" w:type="dxa"/>
          </w:tcPr>
          <w:p w:rsidR="00160CBC" w:rsidRDefault="00160CBC" w:rsidP="00255F1E">
            <w:pPr>
              <w:tabs>
                <w:tab w:val="left" w:pos="5400"/>
              </w:tabs>
            </w:pPr>
            <w:r>
              <w:t>72</w:t>
            </w:r>
          </w:p>
        </w:tc>
      </w:tr>
      <w:tr w:rsidR="00160CBC" w:rsidTr="00160CBC">
        <w:tc>
          <w:tcPr>
            <w:tcW w:w="1613" w:type="dxa"/>
          </w:tcPr>
          <w:p w:rsidR="00160CBC" w:rsidRDefault="00160CBC" w:rsidP="00255F1E">
            <w:pPr>
              <w:tabs>
                <w:tab w:val="left" w:pos="5400"/>
              </w:tabs>
            </w:pPr>
            <w:r>
              <w:t>Slight</w:t>
            </w:r>
          </w:p>
        </w:tc>
        <w:tc>
          <w:tcPr>
            <w:tcW w:w="1411" w:type="dxa"/>
          </w:tcPr>
          <w:p w:rsidR="00160CBC" w:rsidRDefault="00160CBC" w:rsidP="00255F1E">
            <w:pPr>
              <w:tabs>
                <w:tab w:val="left" w:pos="5400"/>
              </w:tabs>
            </w:pPr>
            <w:r>
              <w:t>735</w:t>
            </w:r>
          </w:p>
        </w:tc>
        <w:tc>
          <w:tcPr>
            <w:tcW w:w="1410" w:type="dxa"/>
          </w:tcPr>
          <w:p w:rsidR="00160CBC" w:rsidRDefault="00160CBC" w:rsidP="00160CBC">
            <w:pPr>
              <w:tabs>
                <w:tab w:val="left" w:pos="5400"/>
              </w:tabs>
            </w:pPr>
            <w:r>
              <w:t>560</w:t>
            </w:r>
          </w:p>
        </w:tc>
        <w:tc>
          <w:tcPr>
            <w:tcW w:w="1411" w:type="dxa"/>
          </w:tcPr>
          <w:p w:rsidR="00160CBC" w:rsidRDefault="00160CBC" w:rsidP="00255F1E">
            <w:pPr>
              <w:tabs>
                <w:tab w:val="left" w:pos="5400"/>
              </w:tabs>
            </w:pPr>
            <w:r>
              <w:t>341</w:t>
            </w:r>
          </w:p>
        </w:tc>
        <w:tc>
          <w:tcPr>
            <w:tcW w:w="1411" w:type="dxa"/>
          </w:tcPr>
          <w:p w:rsidR="00160CBC" w:rsidRDefault="00160CBC" w:rsidP="00255F1E">
            <w:pPr>
              <w:tabs>
                <w:tab w:val="left" w:pos="5400"/>
              </w:tabs>
            </w:pPr>
            <w:r>
              <w:t>373</w:t>
            </w:r>
          </w:p>
        </w:tc>
        <w:tc>
          <w:tcPr>
            <w:tcW w:w="1186" w:type="dxa"/>
          </w:tcPr>
          <w:p w:rsidR="00160CBC" w:rsidRDefault="00160CBC" w:rsidP="00255F1E">
            <w:pPr>
              <w:tabs>
                <w:tab w:val="left" w:pos="5400"/>
              </w:tabs>
            </w:pPr>
            <w:r>
              <w:t>364</w:t>
            </w:r>
          </w:p>
        </w:tc>
        <w:tc>
          <w:tcPr>
            <w:tcW w:w="1186" w:type="dxa"/>
          </w:tcPr>
          <w:p w:rsidR="00160CBC" w:rsidRDefault="00160CBC" w:rsidP="00255F1E">
            <w:pPr>
              <w:tabs>
                <w:tab w:val="left" w:pos="5400"/>
              </w:tabs>
            </w:pPr>
            <w:r>
              <w:t>103</w:t>
            </w:r>
          </w:p>
        </w:tc>
      </w:tr>
      <w:tr w:rsidR="00160CBC" w:rsidTr="00160CBC">
        <w:tc>
          <w:tcPr>
            <w:tcW w:w="1613" w:type="dxa"/>
          </w:tcPr>
          <w:p w:rsidR="00160CBC" w:rsidRPr="00160CBC" w:rsidRDefault="00160CBC" w:rsidP="00255F1E">
            <w:pPr>
              <w:tabs>
                <w:tab w:val="left" w:pos="5400"/>
              </w:tabs>
              <w:rPr>
                <w:b/>
              </w:rPr>
            </w:pPr>
            <w:r w:rsidRPr="00160CBC">
              <w:rPr>
                <w:b/>
              </w:rPr>
              <w:t>Total</w:t>
            </w:r>
          </w:p>
        </w:tc>
        <w:tc>
          <w:tcPr>
            <w:tcW w:w="1411" w:type="dxa"/>
          </w:tcPr>
          <w:p w:rsidR="00160CBC" w:rsidRPr="00160CBC" w:rsidRDefault="00160CBC" w:rsidP="00255F1E">
            <w:pPr>
              <w:tabs>
                <w:tab w:val="left" w:pos="5400"/>
              </w:tabs>
              <w:rPr>
                <w:b/>
              </w:rPr>
            </w:pPr>
            <w:r w:rsidRPr="00160CBC">
              <w:rPr>
                <w:b/>
              </w:rPr>
              <w:t>940</w:t>
            </w:r>
          </w:p>
        </w:tc>
        <w:tc>
          <w:tcPr>
            <w:tcW w:w="1410" w:type="dxa"/>
          </w:tcPr>
          <w:p w:rsidR="00160CBC" w:rsidRPr="00160CBC" w:rsidRDefault="00160CBC" w:rsidP="00160CBC">
            <w:pPr>
              <w:tabs>
                <w:tab w:val="left" w:pos="5400"/>
              </w:tabs>
              <w:rPr>
                <w:b/>
              </w:rPr>
            </w:pPr>
            <w:r w:rsidRPr="00160CBC">
              <w:rPr>
                <w:b/>
              </w:rPr>
              <w:t>806</w:t>
            </w:r>
          </w:p>
        </w:tc>
        <w:tc>
          <w:tcPr>
            <w:tcW w:w="1411" w:type="dxa"/>
          </w:tcPr>
          <w:p w:rsidR="00160CBC" w:rsidRPr="00160CBC" w:rsidRDefault="00160CBC" w:rsidP="00255F1E">
            <w:pPr>
              <w:tabs>
                <w:tab w:val="left" w:pos="5400"/>
              </w:tabs>
              <w:rPr>
                <w:b/>
              </w:rPr>
            </w:pPr>
            <w:r w:rsidRPr="00160CBC">
              <w:rPr>
                <w:b/>
              </w:rPr>
              <w:t>544</w:t>
            </w:r>
          </w:p>
        </w:tc>
        <w:tc>
          <w:tcPr>
            <w:tcW w:w="1411" w:type="dxa"/>
          </w:tcPr>
          <w:p w:rsidR="00160CBC" w:rsidRPr="00160CBC" w:rsidRDefault="00160CBC" w:rsidP="00255F1E">
            <w:pPr>
              <w:tabs>
                <w:tab w:val="left" w:pos="5400"/>
              </w:tabs>
              <w:rPr>
                <w:b/>
              </w:rPr>
            </w:pPr>
            <w:r w:rsidRPr="00160CBC">
              <w:rPr>
                <w:b/>
              </w:rPr>
              <w:t>592</w:t>
            </w:r>
          </w:p>
        </w:tc>
        <w:tc>
          <w:tcPr>
            <w:tcW w:w="1186" w:type="dxa"/>
          </w:tcPr>
          <w:p w:rsidR="00160CBC" w:rsidRPr="00160CBC" w:rsidRDefault="00160CBC" w:rsidP="00255F1E">
            <w:pPr>
              <w:tabs>
                <w:tab w:val="left" w:pos="5400"/>
              </w:tabs>
              <w:rPr>
                <w:b/>
              </w:rPr>
            </w:pPr>
            <w:r w:rsidRPr="00160CBC">
              <w:rPr>
                <w:b/>
              </w:rPr>
              <w:t>629</w:t>
            </w:r>
          </w:p>
        </w:tc>
        <w:tc>
          <w:tcPr>
            <w:tcW w:w="1186" w:type="dxa"/>
          </w:tcPr>
          <w:p w:rsidR="00160CBC" w:rsidRPr="00160CBC" w:rsidRDefault="00160CBC" w:rsidP="00255F1E">
            <w:pPr>
              <w:tabs>
                <w:tab w:val="left" w:pos="5400"/>
              </w:tabs>
              <w:rPr>
                <w:b/>
              </w:rPr>
            </w:pPr>
            <w:r w:rsidRPr="00160CBC">
              <w:rPr>
                <w:b/>
              </w:rPr>
              <w:t>182</w:t>
            </w:r>
          </w:p>
        </w:tc>
      </w:tr>
    </w:tbl>
    <w:p w:rsidR="00BF6B81" w:rsidRDefault="00160CBC" w:rsidP="00793DD5">
      <w:pPr>
        <w:tabs>
          <w:tab w:val="left" w:pos="5400"/>
        </w:tabs>
      </w:pPr>
      <w:r w:rsidRPr="00160CBC">
        <w:t>All statistics are provisional and should be treated as management information. All data have been extracted from Police Scotland internal systems and are correct as at 02/06/2023.</w:t>
      </w:r>
    </w:p>
    <w:p w:rsidR="00160CBC" w:rsidRPr="00B11A55" w:rsidRDefault="00160CBC"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53C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0CBC"/>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53C57"/>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3206</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2023-06-30T07:29:00Z</dcterms:created>
  <dcterms:modified xsi:type="dcterms:W3CDTF">2023-06-30T13:41:00Z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