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F759B">
              <w:t>-</w:t>
            </w:r>
            <w:r w:rsidR="00271391">
              <w:t>2732</w:t>
            </w:r>
          </w:p>
          <w:p w:rsidR="00B17211" w:rsidRDefault="00456324" w:rsidP="007F759B">
            <w:r w:rsidRPr="007F490F">
              <w:rPr>
                <w:rStyle w:val="Heading2Char"/>
              </w:rPr>
              <w:t>Respon</w:t>
            </w:r>
            <w:r w:rsidR="007D55F6">
              <w:rPr>
                <w:rStyle w:val="Heading2Char"/>
              </w:rPr>
              <w:t>ded to:</w:t>
            </w:r>
            <w:r w:rsidR="007F490F">
              <w:t xml:space="preserve">  </w:t>
            </w:r>
            <w:r w:rsidR="00C56BF3">
              <w:t>xx</w:t>
            </w:r>
            <w:r w:rsidR="00747352">
              <w:t xml:space="preserve"> </w:t>
            </w:r>
            <w:r w:rsidR="002C1F1E">
              <w:t xml:space="preserve">November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271391" w:rsidRDefault="00271391" w:rsidP="00271391">
      <w:pPr>
        <w:pStyle w:val="Heading2"/>
      </w:pPr>
      <w:r>
        <w:t>I wonder if you might be able to confirm how many accidents Road Traffic Collisions that Police Scotland have attended in the past year that have involved vehicles being driven on the wrong side of the road by tourists.</w:t>
      </w:r>
    </w:p>
    <w:p w:rsidR="001C427B" w:rsidRDefault="001C427B" w:rsidP="001C427B">
      <w:pPr>
        <w:tabs>
          <w:tab w:val="left" w:pos="5400"/>
        </w:tabs>
      </w:pPr>
      <w:r>
        <w:t>I</w:t>
      </w:r>
      <w:r w:rsidRPr="00CA774C">
        <w:t>n terms of Section 17 of the Freedom of Information (Scotland) Act 2002, this represents a notice that the</w:t>
      </w:r>
      <w:r>
        <w:t xml:space="preserve"> specific</w:t>
      </w:r>
      <w:r w:rsidRPr="00CA774C">
        <w:t xml:space="preserve"> information you seek is not held by Police Scotland.</w:t>
      </w:r>
    </w:p>
    <w:p w:rsidR="001C427B" w:rsidRDefault="001C427B" w:rsidP="001C427B">
      <w:pPr>
        <w:tabs>
          <w:tab w:val="left" w:pos="5400"/>
        </w:tabs>
      </w:pPr>
      <w:r>
        <w:t xml:space="preserve">To explain, there is no contributory factor which aligns to the </w:t>
      </w:r>
      <w:r w:rsidR="00EB3379">
        <w:t xml:space="preserve">exact </w:t>
      </w:r>
      <w:r>
        <w:t>scenario set out in your request</w:t>
      </w:r>
      <w:r w:rsidR="00884CCD">
        <w:t>,</w:t>
      </w:r>
      <w:r>
        <w:t xml:space="preserve"> i.e. ‘vehicles being driven on the wrong side of the road by tourists’.</w:t>
      </w:r>
    </w:p>
    <w:p w:rsidR="001C427B" w:rsidRDefault="001C427B" w:rsidP="001C427B">
      <w:pPr>
        <w:tabs>
          <w:tab w:val="left" w:pos="5400"/>
        </w:tabs>
      </w:pPr>
      <w:r>
        <w:t>I can advise you that a full list of contributory factors is available online at</w:t>
      </w:r>
      <w:r w:rsidR="00884CCD">
        <w:t>;</w:t>
      </w:r>
      <w:r>
        <w:t xml:space="preserve"> </w:t>
      </w:r>
    </w:p>
    <w:p w:rsidR="001C427B" w:rsidRDefault="002921C6" w:rsidP="001C427B">
      <w:pPr>
        <w:tabs>
          <w:tab w:val="left" w:pos="5400"/>
        </w:tabs>
        <w:rPr>
          <w:rStyle w:val="Hyperlink"/>
        </w:rPr>
      </w:pPr>
      <w:hyperlink r:id="rId8" w:history="1">
        <w:r w:rsidR="001C427B">
          <w:rPr>
            <w:rStyle w:val="Hyperlink"/>
          </w:rPr>
          <w:t>Table T | Transport Scotland</w:t>
        </w:r>
      </w:hyperlink>
    </w:p>
    <w:p w:rsidR="00EB3379" w:rsidRDefault="001C427B" w:rsidP="001C427B">
      <w:r>
        <w:rPr>
          <w:rStyle w:val="Hyperlink"/>
          <w:color w:val="auto"/>
          <w:u w:val="none"/>
        </w:rPr>
        <w:t>Notwithstanding, t</w:t>
      </w:r>
      <w:r w:rsidRPr="001C427B">
        <w:rPr>
          <w:rStyle w:val="Hyperlink"/>
          <w:color w:val="auto"/>
          <w:u w:val="none"/>
        </w:rPr>
        <w:t>o be of some assistance I have provided data in respect of Contributory Factor ‘68’  which</w:t>
      </w:r>
      <w:r>
        <w:rPr>
          <w:rStyle w:val="Hyperlink"/>
          <w:color w:val="auto"/>
          <w:u w:val="none"/>
        </w:rPr>
        <w:t xml:space="preserve"> </w:t>
      </w:r>
      <w:r w:rsidR="002F70E9" w:rsidRPr="001C427B">
        <w:t>refer</w:t>
      </w:r>
      <w:r w:rsidRPr="001C427B">
        <w:t>s</w:t>
      </w:r>
      <w:r w:rsidR="002F70E9" w:rsidRPr="001C427B">
        <w:t xml:space="preserve"> to collisions where a contributory factor was recorded as being ‘Inexperience driving on the left</w:t>
      </w:r>
      <w:r>
        <w:t>’:</w:t>
      </w:r>
      <w:r w:rsidR="00EB3379">
        <w:t xml:space="preserve">  Please note, more than one</w:t>
      </w:r>
      <w:r w:rsidR="00EB3379" w:rsidRPr="00EB3379">
        <w:t xml:space="preserve"> Contributory Factor can be attributed to a Road Traffic Collision.  </w:t>
      </w:r>
    </w:p>
    <w:p w:rsidR="00EB3379" w:rsidRDefault="00EB3379" w:rsidP="001C427B">
      <w:r>
        <w:t xml:space="preserve">On that basis, the table below </w:t>
      </w:r>
      <w:r w:rsidRPr="00EB3379">
        <w:t>is a count of Road Traffic Collisions which include at</w:t>
      </w:r>
      <w:r>
        <w:t xml:space="preserve"> least one Contributory Factor of</w:t>
      </w:r>
      <w:r w:rsidRPr="00EB3379">
        <w:t xml:space="preserve"> 'Inexperience Driving on </w:t>
      </w:r>
      <w:r>
        <w:t>Left' from 1st January 2022 to</w:t>
      </w:r>
      <w:r w:rsidR="001C427B" w:rsidRPr="001C427B">
        <w:t xml:space="preserve"> 30th September 2023 (Calendar Year)</w:t>
      </w:r>
      <w:r>
        <w:t>.</w:t>
      </w:r>
    </w:p>
    <w:tbl>
      <w:tblPr>
        <w:tblStyle w:val="TableGrid"/>
        <w:tblW w:w="9209" w:type="dxa"/>
        <w:tblLayout w:type="fixed"/>
        <w:tblLook w:val="04A0" w:firstRow="1" w:lastRow="0" w:firstColumn="1" w:lastColumn="0" w:noHBand="0" w:noVBand="1"/>
        <w:tblCaption w:val="Road Traffic Collisons with Contributory Factor 68 in 2022 &amp; 2023"/>
        <w:tblDescription w:val="Road Traffic Collisons with Contributory Factor 68 in 2022 &amp; 2023"/>
      </w:tblPr>
      <w:tblGrid>
        <w:gridCol w:w="3258"/>
        <w:gridCol w:w="2975"/>
        <w:gridCol w:w="2976"/>
      </w:tblGrid>
      <w:tr w:rsidR="001C427B" w:rsidRPr="001C427B" w:rsidTr="00EB3379">
        <w:trPr>
          <w:trHeight w:val="330"/>
          <w:tblHeader/>
        </w:trPr>
        <w:tc>
          <w:tcPr>
            <w:tcW w:w="3258" w:type="dxa"/>
            <w:shd w:val="clear" w:color="auto" w:fill="D9D9D9" w:themeFill="background1" w:themeFillShade="D9"/>
            <w:noWrap/>
            <w:hideMark/>
          </w:tcPr>
          <w:p w:rsidR="001C427B" w:rsidRPr="001C427B" w:rsidRDefault="001C427B">
            <w:pPr>
              <w:rPr>
                <w:b/>
                <w:bCs/>
              </w:rPr>
            </w:pPr>
            <w:r w:rsidRPr="001C427B">
              <w:rPr>
                <w:b/>
                <w:bCs/>
              </w:rPr>
              <w:t>Collision Severity</w:t>
            </w:r>
          </w:p>
        </w:tc>
        <w:tc>
          <w:tcPr>
            <w:tcW w:w="2975" w:type="dxa"/>
            <w:shd w:val="clear" w:color="auto" w:fill="D9D9D9" w:themeFill="background1" w:themeFillShade="D9"/>
            <w:noWrap/>
            <w:hideMark/>
          </w:tcPr>
          <w:p w:rsidR="001C427B" w:rsidRPr="001C427B" w:rsidRDefault="001C427B" w:rsidP="001C427B">
            <w:pPr>
              <w:rPr>
                <w:b/>
                <w:bCs/>
              </w:rPr>
            </w:pPr>
            <w:r w:rsidRPr="001C427B">
              <w:rPr>
                <w:b/>
                <w:bCs/>
              </w:rPr>
              <w:t>2022</w:t>
            </w:r>
          </w:p>
        </w:tc>
        <w:tc>
          <w:tcPr>
            <w:tcW w:w="2976" w:type="dxa"/>
            <w:shd w:val="clear" w:color="auto" w:fill="D9D9D9" w:themeFill="background1" w:themeFillShade="D9"/>
            <w:noWrap/>
            <w:hideMark/>
          </w:tcPr>
          <w:p w:rsidR="001C427B" w:rsidRPr="001C427B" w:rsidRDefault="001C427B" w:rsidP="001C427B">
            <w:pPr>
              <w:rPr>
                <w:b/>
                <w:bCs/>
              </w:rPr>
            </w:pPr>
            <w:r w:rsidRPr="001C427B">
              <w:rPr>
                <w:b/>
                <w:bCs/>
              </w:rPr>
              <w:t>2023</w:t>
            </w:r>
          </w:p>
        </w:tc>
      </w:tr>
      <w:tr w:rsidR="001C427B" w:rsidRPr="001C427B" w:rsidTr="00EB3379">
        <w:trPr>
          <w:trHeight w:val="315"/>
        </w:trPr>
        <w:tc>
          <w:tcPr>
            <w:tcW w:w="3258" w:type="dxa"/>
            <w:noWrap/>
            <w:hideMark/>
          </w:tcPr>
          <w:p w:rsidR="001C427B" w:rsidRPr="001C427B" w:rsidRDefault="001C427B">
            <w:r w:rsidRPr="001C427B">
              <w:t>Fatal</w:t>
            </w:r>
          </w:p>
        </w:tc>
        <w:tc>
          <w:tcPr>
            <w:tcW w:w="2975" w:type="dxa"/>
            <w:noWrap/>
            <w:hideMark/>
          </w:tcPr>
          <w:p w:rsidR="001C427B" w:rsidRPr="001C427B" w:rsidRDefault="001C427B" w:rsidP="001C427B">
            <w:r w:rsidRPr="001C427B">
              <w:t>3</w:t>
            </w:r>
          </w:p>
        </w:tc>
        <w:tc>
          <w:tcPr>
            <w:tcW w:w="2976" w:type="dxa"/>
            <w:noWrap/>
            <w:hideMark/>
          </w:tcPr>
          <w:p w:rsidR="001C427B" w:rsidRPr="001C427B" w:rsidRDefault="001C427B" w:rsidP="001C427B">
            <w:r w:rsidRPr="001C427B">
              <w:t>1</w:t>
            </w:r>
          </w:p>
        </w:tc>
      </w:tr>
      <w:tr w:rsidR="001C427B" w:rsidRPr="001C427B" w:rsidTr="00EB3379">
        <w:trPr>
          <w:trHeight w:val="300"/>
        </w:trPr>
        <w:tc>
          <w:tcPr>
            <w:tcW w:w="3258" w:type="dxa"/>
            <w:noWrap/>
            <w:hideMark/>
          </w:tcPr>
          <w:p w:rsidR="001C427B" w:rsidRPr="001C427B" w:rsidRDefault="001C427B">
            <w:r w:rsidRPr="001C427B">
              <w:t xml:space="preserve">Serious </w:t>
            </w:r>
          </w:p>
        </w:tc>
        <w:tc>
          <w:tcPr>
            <w:tcW w:w="2975" w:type="dxa"/>
            <w:noWrap/>
            <w:hideMark/>
          </w:tcPr>
          <w:p w:rsidR="001C427B" w:rsidRPr="001C427B" w:rsidRDefault="001C427B" w:rsidP="001C427B">
            <w:r w:rsidRPr="001C427B">
              <w:t>11</w:t>
            </w:r>
          </w:p>
        </w:tc>
        <w:tc>
          <w:tcPr>
            <w:tcW w:w="2976" w:type="dxa"/>
            <w:noWrap/>
            <w:hideMark/>
          </w:tcPr>
          <w:p w:rsidR="001C427B" w:rsidRPr="001C427B" w:rsidRDefault="001C427B" w:rsidP="001C427B">
            <w:r w:rsidRPr="001C427B">
              <w:t>14</w:t>
            </w:r>
          </w:p>
        </w:tc>
      </w:tr>
      <w:tr w:rsidR="001C427B" w:rsidRPr="001C427B" w:rsidTr="00EB3379">
        <w:trPr>
          <w:trHeight w:val="300"/>
        </w:trPr>
        <w:tc>
          <w:tcPr>
            <w:tcW w:w="3258" w:type="dxa"/>
            <w:noWrap/>
            <w:hideMark/>
          </w:tcPr>
          <w:p w:rsidR="001C427B" w:rsidRPr="001C427B" w:rsidRDefault="001C427B">
            <w:r w:rsidRPr="001C427B">
              <w:t>Slight</w:t>
            </w:r>
          </w:p>
        </w:tc>
        <w:tc>
          <w:tcPr>
            <w:tcW w:w="2975" w:type="dxa"/>
            <w:noWrap/>
            <w:hideMark/>
          </w:tcPr>
          <w:p w:rsidR="001C427B" w:rsidRPr="001C427B" w:rsidRDefault="001C427B" w:rsidP="001C427B">
            <w:r w:rsidRPr="001C427B">
              <w:t>10</w:t>
            </w:r>
          </w:p>
        </w:tc>
        <w:tc>
          <w:tcPr>
            <w:tcW w:w="2976" w:type="dxa"/>
            <w:noWrap/>
            <w:hideMark/>
          </w:tcPr>
          <w:p w:rsidR="001C427B" w:rsidRPr="001C427B" w:rsidRDefault="001C427B" w:rsidP="001C427B">
            <w:r w:rsidRPr="001C427B">
              <w:t>13</w:t>
            </w:r>
          </w:p>
        </w:tc>
      </w:tr>
      <w:tr w:rsidR="001C427B" w:rsidRPr="001C427B" w:rsidTr="00EB3379">
        <w:trPr>
          <w:trHeight w:val="330"/>
        </w:trPr>
        <w:tc>
          <w:tcPr>
            <w:tcW w:w="3258" w:type="dxa"/>
            <w:noWrap/>
            <w:hideMark/>
          </w:tcPr>
          <w:p w:rsidR="001C427B" w:rsidRPr="001C427B" w:rsidRDefault="001C427B">
            <w:pPr>
              <w:rPr>
                <w:b/>
                <w:bCs/>
              </w:rPr>
            </w:pPr>
            <w:r w:rsidRPr="001C427B">
              <w:rPr>
                <w:b/>
                <w:bCs/>
              </w:rPr>
              <w:t>Total</w:t>
            </w:r>
          </w:p>
        </w:tc>
        <w:tc>
          <w:tcPr>
            <w:tcW w:w="2975" w:type="dxa"/>
            <w:noWrap/>
            <w:hideMark/>
          </w:tcPr>
          <w:p w:rsidR="001C427B" w:rsidRPr="001C427B" w:rsidRDefault="001C427B" w:rsidP="001C427B">
            <w:pPr>
              <w:rPr>
                <w:b/>
                <w:bCs/>
              </w:rPr>
            </w:pPr>
            <w:r w:rsidRPr="001C427B">
              <w:rPr>
                <w:b/>
                <w:bCs/>
              </w:rPr>
              <w:t>24</w:t>
            </w:r>
          </w:p>
        </w:tc>
        <w:tc>
          <w:tcPr>
            <w:tcW w:w="2976" w:type="dxa"/>
            <w:noWrap/>
            <w:hideMark/>
          </w:tcPr>
          <w:p w:rsidR="001C427B" w:rsidRPr="001C427B" w:rsidRDefault="001C427B" w:rsidP="001C427B">
            <w:pPr>
              <w:rPr>
                <w:b/>
                <w:bCs/>
              </w:rPr>
            </w:pPr>
            <w:r w:rsidRPr="001C427B">
              <w:rPr>
                <w:b/>
                <w:bCs/>
              </w:rPr>
              <w:t>28</w:t>
            </w:r>
          </w:p>
        </w:tc>
      </w:tr>
    </w:tbl>
    <w:p w:rsidR="001C427B" w:rsidRDefault="001C427B" w:rsidP="001C427B"/>
    <w:p w:rsidR="001C427B" w:rsidRPr="001C427B" w:rsidRDefault="001C427B" w:rsidP="001C427B"/>
    <w:p w:rsidR="00EB3379" w:rsidRDefault="00EB3379" w:rsidP="00EB3379">
      <w:pPr>
        <w:pStyle w:val="ListParagraph"/>
        <w:numPr>
          <w:ilvl w:val="0"/>
          <w:numId w:val="6"/>
        </w:numPr>
      </w:pPr>
      <w:r w:rsidRPr="00EB3379">
        <w:t xml:space="preserve">All statistics are provisional and should be treated as management information. </w:t>
      </w:r>
    </w:p>
    <w:p w:rsidR="00EB3379" w:rsidRDefault="00EB3379" w:rsidP="00EB3379">
      <w:pPr>
        <w:pStyle w:val="ListParagraph"/>
        <w:numPr>
          <w:ilvl w:val="0"/>
          <w:numId w:val="6"/>
        </w:numPr>
      </w:pPr>
      <w:r w:rsidRPr="00EB3379">
        <w:t xml:space="preserve">All data have been extracted from Police Scotland internal systems and are correct as at 03/11/2023. </w:t>
      </w:r>
    </w:p>
    <w:p w:rsidR="00EB3379" w:rsidRDefault="00EB3379" w:rsidP="00EB3379">
      <w:pPr>
        <w:pStyle w:val="ListParagraph"/>
        <w:numPr>
          <w:ilvl w:val="0"/>
          <w:numId w:val="6"/>
        </w:numPr>
      </w:pPr>
      <w:r w:rsidRPr="00EB3379">
        <w:t>Note - the data is subject to change and will be updated on the next extract of data from CRaSH on 3rd December 2023.</w:t>
      </w:r>
    </w:p>
    <w:p w:rsidR="002F70E9" w:rsidRDefault="002F70E9" w:rsidP="00793DD5">
      <w:pPr>
        <w:pStyle w:val="ListParagraph"/>
        <w:numPr>
          <w:ilvl w:val="0"/>
          <w:numId w:val="6"/>
        </w:numPr>
      </w:pPr>
      <w:r>
        <w:t>The data will not include non-injury collisions</w:t>
      </w:r>
      <w:r w:rsidR="00EB3379">
        <w:t xml:space="preserve"> in line with standard operating procedure.</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21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21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21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21C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21C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21C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460108"/>
    <w:multiLevelType w:val="hybridMultilevel"/>
    <w:tmpl w:val="64B4A856"/>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374EF"/>
    <w:rsid w:val="000632A2"/>
    <w:rsid w:val="00090F3B"/>
    <w:rsid w:val="000E6526"/>
    <w:rsid w:val="00141533"/>
    <w:rsid w:val="00167528"/>
    <w:rsid w:val="00195CC4"/>
    <w:rsid w:val="001C427B"/>
    <w:rsid w:val="00201EA3"/>
    <w:rsid w:val="00253DF6"/>
    <w:rsid w:val="00255F1E"/>
    <w:rsid w:val="00271391"/>
    <w:rsid w:val="002921C6"/>
    <w:rsid w:val="002C1F1E"/>
    <w:rsid w:val="002F70E9"/>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816D1"/>
    <w:rsid w:val="005C0D87"/>
    <w:rsid w:val="005E6A4B"/>
    <w:rsid w:val="00705EB9"/>
    <w:rsid w:val="00747352"/>
    <w:rsid w:val="00750D83"/>
    <w:rsid w:val="00793DD5"/>
    <w:rsid w:val="007C03BC"/>
    <w:rsid w:val="007D21C9"/>
    <w:rsid w:val="007D55F6"/>
    <w:rsid w:val="007F490F"/>
    <w:rsid w:val="007F759B"/>
    <w:rsid w:val="0086779C"/>
    <w:rsid w:val="00874BFD"/>
    <w:rsid w:val="00884CC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B33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1712">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252087539">
      <w:bodyDiv w:val="1"/>
      <w:marLeft w:val="0"/>
      <w:marRight w:val="0"/>
      <w:marTop w:val="0"/>
      <w:marBottom w:val="0"/>
      <w:divBdr>
        <w:top w:val="none" w:sz="0" w:space="0" w:color="auto"/>
        <w:left w:val="none" w:sz="0" w:space="0" w:color="auto"/>
        <w:bottom w:val="none" w:sz="0" w:space="0" w:color="auto"/>
        <w:right w:val="none" w:sz="0" w:space="0" w:color="auto"/>
      </w:divBdr>
    </w:div>
    <w:div w:id="1286739336">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gov.scot/publication/reported-road-casualties-scotland-2020/table-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2688</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2023-11-20T15:04:00Z</cp:lastPrinted>
  <dcterms:created xsi:type="dcterms:W3CDTF">2023-11-17T12:35:00Z</dcterms:created>
  <dcterms:modified xsi:type="dcterms:W3CDTF">2023-11-20T15:05:00Z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