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1D29D9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34C1E">
              <w:t>3915</w:t>
            </w:r>
          </w:p>
          <w:p w14:paraId="34BDABA6" w14:textId="3BAE559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34C1E">
              <w:t>10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BD" w14:textId="7E2A83DB" w:rsidR="00BF6B81" w:rsidRDefault="00773DBC" w:rsidP="00773DBC">
      <w:pPr>
        <w:pStyle w:val="Heading2"/>
      </w:pPr>
      <w:r w:rsidRPr="00773DBC">
        <w:t>Please could provide me with the pass rates for promotion to Sergeant over the 10-year period</w:t>
      </w:r>
      <w:r>
        <w:t>.</w:t>
      </w:r>
    </w:p>
    <w:p w14:paraId="64656516" w14:textId="06B41D60" w:rsidR="00773DBC" w:rsidRPr="00773DBC" w:rsidRDefault="00773DBC" w:rsidP="00773DBC">
      <w:r>
        <w:t xml:space="preserve">Due to record retention policies, data for 2016-2019 is no longer held. </w:t>
      </w:r>
      <w:r>
        <w:t>Additionally</w:t>
      </w:r>
      <w:r>
        <w:t>,</w:t>
      </w:r>
      <w:r>
        <w:t xml:space="preserve"> the </w:t>
      </w:r>
      <w:r w:rsidRPr="00773DBC">
        <w:t>current year promotion process has not concluded</w:t>
      </w:r>
      <w:r>
        <w:t xml:space="preserve"> therefore</w:t>
      </w:r>
      <w:r>
        <w:t xml:space="preserve"> data for 2025 </w:t>
      </w:r>
      <w:r>
        <w:t xml:space="preserve">is not yet available. </w:t>
      </w:r>
    </w:p>
    <w:p w14:paraId="73B99784" w14:textId="70937E2A" w:rsidR="00773DBC" w:rsidRPr="00773DBC" w:rsidRDefault="00773DBC" w:rsidP="00773DBC">
      <w:r>
        <w:t xml:space="preserve">As such </w:t>
      </w:r>
      <w:r>
        <w:rPr>
          <w:rFonts w:eastAsiaTheme="majorEastAsia" w:cstheme="majorBidi"/>
          <w:bCs/>
          <w:color w:val="000000" w:themeColor="text1"/>
          <w:szCs w:val="26"/>
        </w:rPr>
        <w:t>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he information sought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for the years 2016, 2017, 2018, 2019 and 2025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</w:t>
      </w:r>
      <w:r>
        <w:rPr>
          <w:rFonts w:eastAsiaTheme="majorEastAsia" w:cstheme="majorBidi"/>
          <w:bCs/>
          <w:color w:val="000000" w:themeColor="text1"/>
          <w:szCs w:val="26"/>
        </w:rPr>
        <w:t>.</w:t>
      </w:r>
    </w:p>
    <w:p w14:paraId="607A2EDA" w14:textId="77777777" w:rsidR="00773DBC" w:rsidRDefault="00773DBC" w:rsidP="00773DBC">
      <w:pPr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Please note that the </w:t>
      </w:r>
      <w:r>
        <w:rPr>
          <w:color w:val="000000" w:themeColor="text1"/>
        </w:rPr>
        <w:t>av</w:t>
      </w:r>
      <w:r w:rsidRPr="00773DBC">
        <w:rPr>
          <w:color w:val="000000" w:themeColor="text1"/>
        </w:rPr>
        <w:t>erage percentage score</w:t>
      </w:r>
      <w:r>
        <w:rPr>
          <w:color w:val="000000" w:themeColor="text1"/>
        </w:rPr>
        <w:t xml:space="preserve"> is not a score that Police Scotland records, as such, again the </w:t>
      </w:r>
      <w:r>
        <w:rPr>
          <w:rFonts w:eastAsiaTheme="majorEastAsia" w:cstheme="majorBidi"/>
          <w:bCs/>
          <w:color w:val="000000" w:themeColor="text1"/>
          <w:szCs w:val="26"/>
        </w:rPr>
        <w:t>information sought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217D71C4" w14:textId="316FC4E3" w:rsidR="00A34C1E" w:rsidRDefault="00A34C1E" w:rsidP="00773DBC">
      <w:pPr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For the information requested for the period of 2020- 2024, please see the table below.</w:t>
      </w:r>
    </w:p>
    <w:p w14:paraId="72927F03" w14:textId="77777777" w:rsidR="00A34C1E" w:rsidRDefault="00A34C1E" w:rsidP="00773DBC">
      <w:pPr>
        <w:rPr>
          <w:rFonts w:eastAsiaTheme="majorEastAsia" w:cstheme="majorBidi"/>
          <w:bCs/>
          <w:color w:val="000000" w:themeColor="text1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1845"/>
        <w:gridCol w:w="2206"/>
        <w:gridCol w:w="2447"/>
        <w:gridCol w:w="2380"/>
      </w:tblGrid>
      <w:tr w:rsidR="00A34C1E" w14:paraId="634D34D4" w14:textId="77777777" w:rsidTr="00A34C1E">
        <w:tc>
          <w:tcPr>
            <w:tcW w:w="0" w:type="auto"/>
            <w:shd w:val="clear" w:color="auto" w:fill="BFBFBF" w:themeFill="background1" w:themeFillShade="BF"/>
          </w:tcPr>
          <w:p w14:paraId="47CFACED" w14:textId="35E29A00" w:rsidR="00A34C1E" w:rsidRDefault="00A34C1E" w:rsidP="00A34C1E">
            <w:r>
              <w:t xml:space="preserve">Year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529D140" w14:textId="5599E093" w:rsidR="00A34C1E" w:rsidRDefault="00A34C1E" w:rsidP="00A34C1E">
            <w:r w:rsidRPr="00773DBC">
              <w:rPr>
                <w:color w:val="000000" w:themeColor="text1"/>
              </w:rPr>
              <w:t>Number of Candidates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04D2CDD" w14:textId="08FE01E5" w:rsidR="00A34C1E" w:rsidRDefault="00A34C1E" w:rsidP="00A34C1E">
            <w:r w:rsidRPr="00773DBC">
              <w:rPr>
                <w:color w:val="000000" w:themeColor="text1"/>
              </w:rPr>
              <w:t>Number of successful candidates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BBEDEFF" w14:textId="4729DF3A" w:rsidR="00A34C1E" w:rsidRDefault="00A34C1E" w:rsidP="00A34C1E">
            <w:r w:rsidRPr="00773DBC">
              <w:rPr>
                <w:color w:val="000000" w:themeColor="text1"/>
              </w:rPr>
              <w:t>Number of unsuccessful candidates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47DA5C5" w14:textId="7F999D3C" w:rsidR="00A34C1E" w:rsidRPr="00A34C1E" w:rsidRDefault="00A34C1E" w:rsidP="00A34C1E">
            <w:r w:rsidRPr="00773DBC">
              <w:rPr>
                <w:color w:val="000000" w:themeColor="text1"/>
              </w:rPr>
              <w:t>Percentage of successful candidates</w:t>
            </w:r>
          </w:p>
        </w:tc>
      </w:tr>
      <w:tr w:rsidR="00A34C1E" w14:paraId="67E8298F" w14:textId="77777777" w:rsidTr="00A34C1E">
        <w:tc>
          <w:tcPr>
            <w:tcW w:w="0" w:type="auto"/>
          </w:tcPr>
          <w:p w14:paraId="23F0A70C" w14:textId="38464567" w:rsidR="00A34C1E" w:rsidRDefault="00A34C1E" w:rsidP="00A34C1E">
            <w:r>
              <w:t>2020</w:t>
            </w:r>
          </w:p>
        </w:tc>
        <w:tc>
          <w:tcPr>
            <w:tcW w:w="0" w:type="auto"/>
          </w:tcPr>
          <w:p w14:paraId="62453EC4" w14:textId="322B3167" w:rsidR="00A34C1E" w:rsidRDefault="00A34C1E" w:rsidP="00A34C1E">
            <w:r>
              <w:t>345</w:t>
            </w:r>
          </w:p>
        </w:tc>
        <w:tc>
          <w:tcPr>
            <w:tcW w:w="0" w:type="auto"/>
          </w:tcPr>
          <w:p w14:paraId="1585C304" w14:textId="64EB78A5" w:rsidR="00A34C1E" w:rsidRDefault="00A34C1E" w:rsidP="00A34C1E">
            <w:r>
              <w:t>291</w:t>
            </w:r>
          </w:p>
        </w:tc>
        <w:tc>
          <w:tcPr>
            <w:tcW w:w="0" w:type="auto"/>
          </w:tcPr>
          <w:p w14:paraId="479733D0" w14:textId="2C8EB61E" w:rsidR="00A34C1E" w:rsidRDefault="00A34C1E" w:rsidP="00A34C1E">
            <w:r>
              <w:t>54</w:t>
            </w:r>
          </w:p>
        </w:tc>
        <w:tc>
          <w:tcPr>
            <w:tcW w:w="0" w:type="auto"/>
          </w:tcPr>
          <w:p w14:paraId="0EAB97B8" w14:textId="56EB0BF1" w:rsidR="00A34C1E" w:rsidRDefault="00A34C1E" w:rsidP="00A34C1E">
            <w:r>
              <w:t>84.3%</w:t>
            </w:r>
          </w:p>
        </w:tc>
      </w:tr>
      <w:tr w:rsidR="00A34C1E" w14:paraId="77185A1C" w14:textId="77777777" w:rsidTr="00A34C1E">
        <w:tc>
          <w:tcPr>
            <w:tcW w:w="0" w:type="auto"/>
          </w:tcPr>
          <w:p w14:paraId="508F4A3C" w14:textId="53A8CDA6" w:rsidR="00A34C1E" w:rsidRDefault="00A34C1E" w:rsidP="00A34C1E">
            <w:r>
              <w:t>2021</w:t>
            </w:r>
          </w:p>
        </w:tc>
        <w:tc>
          <w:tcPr>
            <w:tcW w:w="0" w:type="auto"/>
          </w:tcPr>
          <w:p w14:paraId="241FC03B" w14:textId="5F2DB66E" w:rsidR="00A34C1E" w:rsidRDefault="00A34C1E" w:rsidP="00A34C1E">
            <w:r>
              <w:t>111</w:t>
            </w:r>
          </w:p>
        </w:tc>
        <w:tc>
          <w:tcPr>
            <w:tcW w:w="0" w:type="auto"/>
          </w:tcPr>
          <w:p w14:paraId="711E6881" w14:textId="0D2445BD" w:rsidR="00A34C1E" w:rsidRDefault="00A34C1E" w:rsidP="00A34C1E">
            <w:r>
              <w:t>88</w:t>
            </w:r>
          </w:p>
        </w:tc>
        <w:tc>
          <w:tcPr>
            <w:tcW w:w="0" w:type="auto"/>
          </w:tcPr>
          <w:p w14:paraId="369C0B3C" w14:textId="148AC74E" w:rsidR="00A34C1E" w:rsidRDefault="00A34C1E" w:rsidP="00A34C1E">
            <w:r>
              <w:t>23</w:t>
            </w:r>
          </w:p>
        </w:tc>
        <w:tc>
          <w:tcPr>
            <w:tcW w:w="0" w:type="auto"/>
          </w:tcPr>
          <w:p w14:paraId="1B67C5B4" w14:textId="2E88C38A" w:rsidR="00A34C1E" w:rsidRDefault="00A34C1E" w:rsidP="00A34C1E">
            <w:r>
              <w:t>79.3%</w:t>
            </w:r>
          </w:p>
        </w:tc>
      </w:tr>
      <w:tr w:rsidR="00A34C1E" w14:paraId="574794BA" w14:textId="77777777" w:rsidTr="00A34C1E">
        <w:tc>
          <w:tcPr>
            <w:tcW w:w="0" w:type="auto"/>
            <w:vAlign w:val="center"/>
          </w:tcPr>
          <w:p w14:paraId="7C45EE90" w14:textId="411F290E" w:rsidR="00A34C1E" w:rsidRDefault="00A34C1E" w:rsidP="00A34C1E">
            <w:r>
              <w:t>2022</w:t>
            </w:r>
          </w:p>
        </w:tc>
        <w:tc>
          <w:tcPr>
            <w:tcW w:w="0" w:type="auto"/>
            <w:vAlign w:val="center"/>
          </w:tcPr>
          <w:p w14:paraId="21DDF709" w14:textId="739480BA" w:rsidR="00A34C1E" w:rsidRDefault="00A34C1E" w:rsidP="00A34C1E">
            <w:r>
              <w:t>885</w:t>
            </w:r>
          </w:p>
        </w:tc>
        <w:tc>
          <w:tcPr>
            <w:tcW w:w="0" w:type="auto"/>
          </w:tcPr>
          <w:p w14:paraId="5B5ADD53" w14:textId="555089BC" w:rsidR="00A34C1E" w:rsidRDefault="00A34C1E" w:rsidP="00A34C1E">
            <w:r>
              <w:t>670</w:t>
            </w:r>
          </w:p>
        </w:tc>
        <w:tc>
          <w:tcPr>
            <w:tcW w:w="0" w:type="auto"/>
          </w:tcPr>
          <w:p w14:paraId="47E996D0" w14:textId="4E157BFA" w:rsidR="00A34C1E" w:rsidRDefault="00A34C1E" w:rsidP="00A34C1E">
            <w:r>
              <w:t>215</w:t>
            </w:r>
          </w:p>
        </w:tc>
        <w:tc>
          <w:tcPr>
            <w:tcW w:w="0" w:type="auto"/>
          </w:tcPr>
          <w:p w14:paraId="674B8559" w14:textId="630B32CC" w:rsidR="00A34C1E" w:rsidRDefault="00A34C1E" w:rsidP="00A34C1E">
            <w:r w:rsidRPr="00773DBC">
              <w:rPr>
                <w:color w:val="000000" w:themeColor="text1"/>
              </w:rPr>
              <w:t>75.7%</w:t>
            </w:r>
          </w:p>
        </w:tc>
      </w:tr>
      <w:tr w:rsidR="00A34C1E" w14:paraId="795EEE42" w14:textId="77777777" w:rsidTr="00A34C1E">
        <w:tc>
          <w:tcPr>
            <w:tcW w:w="0" w:type="auto"/>
            <w:vAlign w:val="center"/>
          </w:tcPr>
          <w:p w14:paraId="702184E6" w14:textId="3A54CB10" w:rsidR="00A34C1E" w:rsidRDefault="00A34C1E" w:rsidP="00A34C1E">
            <w:r>
              <w:t>2023</w:t>
            </w:r>
          </w:p>
        </w:tc>
        <w:tc>
          <w:tcPr>
            <w:tcW w:w="0" w:type="auto"/>
            <w:vAlign w:val="center"/>
          </w:tcPr>
          <w:p w14:paraId="50F469E2" w14:textId="588D330B" w:rsidR="00A34C1E" w:rsidRDefault="00A34C1E" w:rsidP="00A34C1E">
            <w:r>
              <w:t>464</w:t>
            </w:r>
          </w:p>
        </w:tc>
        <w:tc>
          <w:tcPr>
            <w:tcW w:w="0" w:type="auto"/>
          </w:tcPr>
          <w:p w14:paraId="4B8EE688" w14:textId="3F112298" w:rsidR="00A34C1E" w:rsidRDefault="00A34C1E" w:rsidP="00A34C1E">
            <w:r>
              <w:t>318</w:t>
            </w:r>
          </w:p>
        </w:tc>
        <w:tc>
          <w:tcPr>
            <w:tcW w:w="0" w:type="auto"/>
          </w:tcPr>
          <w:p w14:paraId="442ECAAB" w14:textId="06372F92" w:rsidR="00A34C1E" w:rsidRDefault="00A34C1E" w:rsidP="00A34C1E">
            <w:r>
              <w:t>146</w:t>
            </w:r>
          </w:p>
        </w:tc>
        <w:tc>
          <w:tcPr>
            <w:tcW w:w="0" w:type="auto"/>
          </w:tcPr>
          <w:p w14:paraId="5221E51A" w14:textId="0489B209" w:rsidR="00A34C1E" w:rsidRDefault="00A34C1E" w:rsidP="00A34C1E">
            <w:r w:rsidRPr="00773DBC">
              <w:rPr>
                <w:color w:val="000000" w:themeColor="text1"/>
              </w:rPr>
              <w:t>68.5%</w:t>
            </w:r>
          </w:p>
        </w:tc>
      </w:tr>
      <w:tr w:rsidR="00A34C1E" w14:paraId="36B44272" w14:textId="77777777" w:rsidTr="00A34C1E">
        <w:tc>
          <w:tcPr>
            <w:tcW w:w="0" w:type="auto"/>
            <w:vAlign w:val="center"/>
          </w:tcPr>
          <w:p w14:paraId="49E755AF" w14:textId="236F13C7" w:rsidR="00A34C1E" w:rsidRDefault="00A34C1E" w:rsidP="00A34C1E">
            <w:r>
              <w:t>2024</w:t>
            </w:r>
          </w:p>
        </w:tc>
        <w:tc>
          <w:tcPr>
            <w:tcW w:w="0" w:type="auto"/>
            <w:vAlign w:val="center"/>
          </w:tcPr>
          <w:p w14:paraId="4ACEF038" w14:textId="29AA3CA7" w:rsidR="00A34C1E" w:rsidRDefault="00A34C1E" w:rsidP="00A34C1E">
            <w:r>
              <w:t>434</w:t>
            </w:r>
          </w:p>
        </w:tc>
        <w:tc>
          <w:tcPr>
            <w:tcW w:w="0" w:type="auto"/>
          </w:tcPr>
          <w:p w14:paraId="7FE25F6B" w14:textId="650D01F6" w:rsidR="00A34C1E" w:rsidRDefault="00A34C1E" w:rsidP="00A34C1E">
            <w:r>
              <w:t>267</w:t>
            </w:r>
          </w:p>
        </w:tc>
        <w:tc>
          <w:tcPr>
            <w:tcW w:w="0" w:type="auto"/>
          </w:tcPr>
          <w:p w14:paraId="2A738C3A" w14:textId="21365AEE" w:rsidR="00A34C1E" w:rsidRDefault="00A34C1E" w:rsidP="00A34C1E">
            <w:r>
              <w:t>167</w:t>
            </w:r>
          </w:p>
        </w:tc>
        <w:tc>
          <w:tcPr>
            <w:tcW w:w="0" w:type="auto"/>
          </w:tcPr>
          <w:p w14:paraId="2DD74664" w14:textId="4BC5D1AE" w:rsidR="00A34C1E" w:rsidRDefault="00A34C1E" w:rsidP="00A34C1E">
            <w:r w:rsidRPr="00773DBC">
              <w:rPr>
                <w:color w:val="000000" w:themeColor="text1"/>
              </w:rPr>
              <w:t>61.5%</w:t>
            </w:r>
          </w:p>
        </w:tc>
      </w:tr>
    </w:tbl>
    <w:p w14:paraId="4C14CA26" w14:textId="77777777" w:rsidR="00A34C1E" w:rsidRPr="00773DBC" w:rsidRDefault="00A34C1E" w:rsidP="00773DBC"/>
    <w:p w14:paraId="16D5292F" w14:textId="4A6446DF" w:rsidR="00773DBC" w:rsidRPr="00773DBC" w:rsidRDefault="00773DBC" w:rsidP="00773DBC"/>
    <w:p w14:paraId="57B9637C" w14:textId="77777777" w:rsidR="00773DBC" w:rsidRPr="00773DBC" w:rsidRDefault="00773DBC" w:rsidP="00773DBC"/>
    <w:p w14:paraId="634CFA71" w14:textId="77777777" w:rsidR="00773DBC" w:rsidRPr="00773DBC" w:rsidRDefault="00773DBC" w:rsidP="00773DBC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3B8BEB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34C1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931AD1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34C1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E07B1F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34C1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801F04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34C1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473199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34C1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974688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34C1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01D30"/>
    <w:rsid w:val="00141533"/>
    <w:rsid w:val="00167528"/>
    <w:rsid w:val="00195CC4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73DBC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34C1E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1973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2025-12-08T12:29:00Z</dcterms:created>
  <dcterms:modified xsi:type="dcterms:W3CDTF">2025-12-10T13:37:00Z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