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6455E7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0680F">
              <w:t>1124</w:t>
            </w:r>
          </w:p>
          <w:p w14:paraId="34BDABA6" w14:textId="0960F48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61626">
              <w:t>23</w:t>
            </w:r>
            <w:r w:rsidR="006D5799">
              <w:t xml:space="preserve"> </w:t>
            </w:r>
            <w:r w:rsidR="00D340B6">
              <w:t>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6309B33" w14:textId="7BD6C2C9" w:rsidR="00846C68" w:rsidRPr="00B54347" w:rsidRDefault="00A0680F" w:rsidP="00B54347">
      <w:pPr>
        <w:pStyle w:val="Heading2"/>
      </w:pPr>
      <w:r w:rsidRPr="00B54347">
        <w:t>The amount of money spent on the building of Paisley Mill Street Station between calendar years 2018 and 2023.</w:t>
      </w:r>
      <w:r w:rsidRPr="00B54347">
        <w:br/>
        <w:t>Please provide a breakdown of the money spent per year (2018, 2019, 2020, 2021, 2022 and 2023.</w:t>
      </w:r>
      <w:r w:rsidRPr="00B54347">
        <w:br/>
        <w:t>Money spent on building refers to repairs and renovation and maintenance.</w:t>
      </w:r>
    </w:p>
    <w:p w14:paraId="0BCA74BA" w14:textId="7035A507" w:rsidR="00617D08" w:rsidRPr="00B11A55" w:rsidRDefault="00846C68" w:rsidP="00846C68">
      <w:r>
        <w:t xml:space="preserve">I have provided the amount of money spent on Paisley Mill Street Police Station as requested below. </w:t>
      </w:r>
      <w:r w:rsidR="00A0680F">
        <w:br/>
      </w:r>
    </w:p>
    <w:tbl>
      <w:tblPr>
        <w:tblStyle w:val="TableGrid"/>
        <w:tblW w:w="8174" w:type="dxa"/>
        <w:tblLook w:val="04A0" w:firstRow="1" w:lastRow="0" w:firstColumn="1" w:lastColumn="0" w:noHBand="0" w:noVBand="1"/>
      </w:tblPr>
      <w:tblGrid>
        <w:gridCol w:w="1418"/>
        <w:gridCol w:w="1418"/>
        <w:gridCol w:w="951"/>
        <w:gridCol w:w="1418"/>
        <w:gridCol w:w="1418"/>
        <w:gridCol w:w="1551"/>
      </w:tblGrid>
      <w:tr w:rsidR="00846C68" w:rsidRPr="00557306" w14:paraId="68F391B9" w14:textId="3B5122C3" w:rsidTr="00846C68">
        <w:trPr>
          <w:tblHeader/>
        </w:trPr>
        <w:tc>
          <w:tcPr>
            <w:tcW w:w="1418" w:type="dxa"/>
            <w:shd w:val="clear" w:color="auto" w:fill="D9D9D9" w:themeFill="background1" w:themeFillShade="D9"/>
          </w:tcPr>
          <w:p w14:paraId="70ECC9C7" w14:textId="0C1632E1" w:rsidR="00846C68" w:rsidRPr="00557306" w:rsidRDefault="00846C68" w:rsidP="00FC1D8E">
            <w:pPr>
              <w:spacing w:line="276" w:lineRule="auto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705B8B3" w14:textId="50348EAE" w:rsidR="00846C68" w:rsidRPr="00557306" w:rsidRDefault="00846C68" w:rsidP="00FC1D8E">
            <w:pPr>
              <w:spacing w:line="276" w:lineRule="auto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14:paraId="418B89F6" w14:textId="5DE446C6" w:rsidR="00846C68" w:rsidRPr="00557306" w:rsidRDefault="00846C68" w:rsidP="00FC1D8E">
            <w:pPr>
              <w:spacing w:line="276" w:lineRule="auto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1388187" w14:textId="30303D47" w:rsidR="00846C68" w:rsidRPr="00557306" w:rsidRDefault="00846C68" w:rsidP="00FC1D8E">
            <w:pPr>
              <w:spacing w:line="276" w:lineRule="auto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CDE5BF" w14:textId="494D8EB0" w:rsidR="00846C68" w:rsidRPr="00557306" w:rsidRDefault="00846C68" w:rsidP="00FC1D8E">
            <w:pPr>
              <w:spacing w:line="276" w:lineRule="auto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551" w:type="dxa"/>
            <w:shd w:val="clear" w:color="auto" w:fill="D9D9D9" w:themeFill="background1" w:themeFillShade="D9"/>
          </w:tcPr>
          <w:p w14:paraId="7965A871" w14:textId="48525751" w:rsidR="00846C68" w:rsidRDefault="00846C68" w:rsidP="00FC1D8E">
            <w:pPr>
              <w:spacing w:line="276" w:lineRule="auto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846C68" w14:paraId="568E5567" w14:textId="0D4573C5" w:rsidTr="00846C68">
        <w:tc>
          <w:tcPr>
            <w:tcW w:w="1418" w:type="dxa"/>
          </w:tcPr>
          <w:p w14:paraId="632A4F08" w14:textId="69EE3F6D" w:rsidR="00846C68" w:rsidRDefault="00846C68" w:rsidP="00FC1D8E">
            <w:pPr>
              <w:tabs>
                <w:tab w:val="left" w:pos="5400"/>
              </w:tabs>
              <w:spacing w:line="276" w:lineRule="auto"/>
            </w:pPr>
            <w:r>
              <w:t>£36,358.16</w:t>
            </w:r>
          </w:p>
        </w:tc>
        <w:tc>
          <w:tcPr>
            <w:tcW w:w="1418" w:type="dxa"/>
          </w:tcPr>
          <w:p w14:paraId="6926C42A" w14:textId="6630670D" w:rsidR="00846C68" w:rsidRDefault="00846C68" w:rsidP="00FC1D8E">
            <w:pPr>
              <w:tabs>
                <w:tab w:val="left" w:pos="5400"/>
              </w:tabs>
              <w:spacing w:line="276" w:lineRule="auto"/>
            </w:pPr>
            <w:r>
              <w:t>£14,142.93</w:t>
            </w:r>
          </w:p>
        </w:tc>
        <w:tc>
          <w:tcPr>
            <w:tcW w:w="951" w:type="dxa"/>
          </w:tcPr>
          <w:p w14:paraId="0F406C6E" w14:textId="1C057313" w:rsidR="00846C68" w:rsidRDefault="00846C68" w:rsidP="00FC1D8E">
            <w:pPr>
              <w:tabs>
                <w:tab w:val="left" w:pos="5400"/>
              </w:tabs>
              <w:spacing w:line="276" w:lineRule="auto"/>
            </w:pPr>
            <w:r>
              <w:t>£17.90</w:t>
            </w:r>
          </w:p>
        </w:tc>
        <w:tc>
          <w:tcPr>
            <w:tcW w:w="1418" w:type="dxa"/>
          </w:tcPr>
          <w:p w14:paraId="358C8464" w14:textId="463E8BD6" w:rsidR="00846C68" w:rsidRDefault="00846C68" w:rsidP="00FC1D8E">
            <w:pPr>
              <w:tabs>
                <w:tab w:val="left" w:pos="5400"/>
              </w:tabs>
              <w:spacing w:line="276" w:lineRule="auto"/>
            </w:pPr>
            <w:r>
              <w:t>£38,095.87</w:t>
            </w:r>
          </w:p>
        </w:tc>
        <w:tc>
          <w:tcPr>
            <w:tcW w:w="1418" w:type="dxa"/>
          </w:tcPr>
          <w:p w14:paraId="6ABFAE4B" w14:textId="734995EF" w:rsidR="00846C68" w:rsidRDefault="00846C68" w:rsidP="00FC1D8E">
            <w:pPr>
              <w:tabs>
                <w:tab w:val="left" w:pos="5400"/>
              </w:tabs>
              <w:spacing w:line="276" w:lineRule="auto"/>
            </w:pPr>
            <w:r>
              <w:t>£57,208.07</w:t>
            </w:r>
          </w:p>
        </w:tc>
        <w:tc>
          <w:tcPr>
            <w:tcW w:w="1551" w:type="dxa"/>
          </w:tcPr>
          <w:p w14:paraId="1B88B2F4" w14:textId="5CFC9148" w:rsidR="00846C68" w:rsidRDefault="00846C68" w:rsidP="00FC1D8E">
            <w:pPr>
              <w:tabs>
                <w:tab w:val="left" w:pos="5400"/>
              </w:tabs>
              <w:spacing w:line="276" w:lineRule="auto"/>
            </w:pPr>
            <w:r>
              <w:t>£116,751.27</w:t>
            </w:r>
          </w:p>
        </w:tc>
      </w:tr>
    </w:tbl>
    <w:p w14:paraId="34BDABB8" w14:textId="4A9D336B" w:rsidR="00255F1E" w:rsidRDefault="00255F1E" w:rsidP="00A0680F">
      <w:pPr>
        <w:pStyle w:val="Heading2"/>
      </w:pPr>
    </w:p>
    <w:p w14:paraId="34BDABBD" w14:textId="4EE9814D" w:rsidR="00BF6B81" w:rsidRPr="00B11A55" w:rsidRDefault="00846C68" w:rsidP="00846C68">
      <w:pPr>
        <w:rPr>
          <w:lang w:eastAsia="en-GB"/>
        </w:rPr>
      </w:pPr>
      <w:r w:rsidRPr="00846C68">
        <w:rPr>
          <w:lang w:eastAsia="en-GB"/>
        </w:rPr>
        <w:t>Please note during the calendar years 2019-2021 there was a period where the property repairs consolidated invoices costs were not reallocated out to the individual locations.</w:t>
      </w:r>
      <w:r>
        <w:rPr>
          <w:lang w:eastAsia="en-GB"/>
        </w:rPr>
        <w:t xml:space="preserve"> </w:t>
      </w:r>
    </w:p>
    <w:p w14:paraId="1E3EC60F" w14:textId="06F0916C" w:rsidR="004F6824" w:rsidRDefault="004F6824" w:rsidP="004F6824">
      <w:pPr>
        <w:pStyle w:val="Heading2"/>
      </w:pPr>
      <w:r w:rsidRPr="00B54347">
        <w:t>Please also include any outstanding repairs and costs.</w:t>
      </w:r>
    </w:p>
    <w:p w14:paraId="71F52A14" w14:textId="14988CD7" w:rsidR="004F6824" w:rsidRPr="004F6824" w:rsidRDefault="004F6824" w:rsidP="004F6824">
      <w:r>
        <w:t xml:space="preserve">I have provided this information for you at the bottom of this letter. </w:t>
      </w:r>
      <w:r w:rsidRPr="004F6824">
        <w:t>The</w:t>
      </w:r>
      <w:r>
        <w:t xml:space="preserve">y are </w:t>
      </w:r>
      <w:r w:rsidRPr="004F6824">
        <w:t xml:space="preserve">reactive repairs and corrective tasks logged but </w:t>
      </w:r>
      <w:proofErr w:type="gramStart"/>
      <w:r w:rsidRPr="004F6824">
        <w:t>as yet</w:t>
      </w:r>
      <w:proofErr w:type="gramEnd"/>
      <w:r w:rsidRPr="004F6824">
        <w:t xml:space="preserve"> not completed, therefore these are deemed to be outstanding</w:t>
      </w:r>
      <w:r>
        <w:t>.</w:t>
      </w:r>
    </w:p>
    <w:p w14:paraId="34BDABBE" w14:textId="29939819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3380BD8" w14:textId="082B221B" w:rsidR="004F6824" w:rsidRDefault="007F490F" w:rsidP="004F6824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EB23DD9" w14:textId="77777777" w:rsidR="004F6824" w:rsidRDefault="004F6824" w:rsidP="004F6824">
      <w:pPr>
        <w:jc w:val="both"/>
      </w:pPr>
    </w:p>
    <w:p w14:paraId="5474E982" w14:textId="77777777" w:rsidR="004F6824" w:rsidRDefault="004F6824" w:rsidP="004F6824">
      <w:pPr>
        <w:jc w:val="both"/>
      </w:pPr>
    </w:p>
    <w:p w14:paraId="3BAED3A8" w14:textId="77777777" w:rsidR="004F6824" w:rsidRDefault="004F6824" w:rsidP="004F6824">
      <w:pPr>
        <w:jc w:val="both"/>
      </w:pPr>
    </w:p>
    <w:p w14:paraId="7574B222" w14:textId="77777777" w:rsidR="004F6824" w:rsidRDefault="004F6824" w:rsidP="004F6824">
      <w:pPr>
        <w:jc w:val="both"/>
      </w:pPr>
    </w:p>
    <w:p w14:paraId="4C20EC6C" w14:textId="77777777" w:rsidR="004F6824" w:rsidRDefault="004F6824" w:rsidP="004F6824">
      <w:pPr>
        <w:jc w:val="both"/>
      </w:pPr>
    </w:p>
    <w:p w14:paraId="6C159AED" w14:textId="77777777" w:rsidR="004F6824" w:rsidRDefault="004F6824" w:rsidP="004F6824">
      <w:pPr>
        <w:jc w:val="both"/>
      </w:pPr>
    </w:p>
    <w:p w14:paraId="61D07E22" w14:textId="77777777" w:rsidR="004F6824" w:rsidRDefault="004F6824" w:rsidP="004F6824">
      <w:pPr>
        <w:jc w:val="both"/>
      </w:pPr>
    </w:p>
    <w:p w14:paraId="59547DE8" w14:textId="77777777" w:rsidR="004F6824" w:rsidRDefault="004F6824" w:rsidP="004F6824">
      <w:pPr>
        <w:jc w:val="both"/>
      </w:pPr>
    </w:p>
    <w:p w14:paraId="56034451" w14:textId="77777777" w:rsidR="004F6824" w:rsidRDefault="004F6824" w:rsidP="004F6824">
      <w:pPr>
        <w:jc w:val="both"/>
      </w:pPr>
    </w:p>
    <w:p w14:paraId="58B955A3" w14:textId="77777777" w:rsidR="004F6824" w:rsidRDefault="004F6824" w:rsidP="004F6824">
      <w:pPr>
        <w:jc w:val="both"/>
      </w:pPr>
    </w:p>
    <w:p w14:paraId="6BEC2A47" w14:textId="77777777" w:rsidR="004F6824" w:rsidRDefault="004F6824" w:rsidP="004F6824">
      <w:pPr>
        <w:jc w:val="both"/>
      </w:pPr>
    </w:p>
    <w:p w14:paraId="5EC4037D" w14:textId="77777777" w:rsidR="004F6824" w:rsidRDefault="004F6824" w:rsidP="004F6824">
      <w:pPr>
        <w:jc w:val="both"/>
      </w:pPr>
    </w:p>
    <w:p w14:paraId="024EF378" w14:textId="77777777" w:rsidR="004F6824" w:rsidRDefault="004F6824" w:rsidP="004F6824">
      <w:pPr>
        <w:jc w:val="both"/>
      </w:pPr>
    </w:p>
    <w:p w14:paraId="669EE439" w14:textId="77777777" w:rsidR="004F6824" w:rsidRDefault="004F6824" w:rsidP="004F6824">
      <w:pPr>
        <w:jc w:val="both"/>
      </w:pPr>
    </w:p>
    <w:p w14:paraId="20A82CEC" w14:textId="77777777" w:rsidR="004F6824" w:rsidRDefault="004F6824" w:rsidP="004F6824">
      <w:pPr>
        <w:jc w:val="both"/>
      </w:pPr>
    </w:p>
    <w:p w14:paraId="432C6D86" w14:textId="77777777" w:rsidR="004F6824" w:rsidRDefault="004F6824" w:rsidP="004F6824">
      <w:pPr>
        <w:jc w:val="both"/>
      </w:pPr>
    </w:p>
    <w:p w14:paraId="37B74020" w14:textId="77777777" w:rsidR="004F6824" w:rsidRDefault="004F6824" w:rsidP="004F6824">
      <w:pPr>
        <w:jc w:val="both"/>
      </w:pPr>
    </w:p>
    <w:p w14:paraId="57F31A3B" w14:textId="77777777" w:rsidR="004F6824" w:rsidRDefault="004F6824" w:rsidP="004F6824">
      <w:pPr>
        <w:jc w:val="both"/>
      </w:pPr>
    </w:p>
    <w:p w14:paraId="17DD0B47" w14:textId="77777777" w:rsidR="004F6824" w:rsidRDefault="004F6824" w:rsidP="004F6824">
      <w:pPr>
        <w:jc w:val="both"/>
      </w:pPr>
    </w:p>
    <w:p w14:paraId="4A2D124E" w14:textId="77777777" w:rsidR="004F6824" w:rsidRDefault="004F6824" w:rsidP="004F6824">
      <w:pPr>
        <w:jc w:val="both"/>
        <w:sectPr w:rsidR="004F6824" w:rsidSect="007F490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14:paraId="7224C104" w14:textId="77777777" w:rsidR="004F6824" w:rsidRDefault="004F6824" w:rsidP="004F6824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685"/>
        <w:gridCol w:w="2552"/>
      </w:tblGrid>
      <w:tr w:rsidR="004F6824" w:rsidRPr="00E90585" w14:paraId="0A4FB62A" w14:textId="77777777" w:rsidTr="004F6824">
        <w:tc>
          <w:tcPr>
            <w:tcW w:w="3681" w:type="dxa"/>
            <w:shd w:val="clear" w:color="auto" w:fill="D9D9D9" w:themeFill="background1" w:themeFillShade="D9"/>
          </w:tcPr>
          <w:p w14:paraId="389A7862" w14:textId="7860D1F0" w:rsidR="004F6824" w:rsidRPr="00E90585" w:rsidRDefault="004F6824" w:rsidP="00407B9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Problem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190925A4" w14:textId="4DA8133E" w:rsidR="004F6824" w:rsidRPr="00E90585" w:rsidRDefault="004F6824" w:rsidP="00407B9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Job type 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0EF5B67C" w14:textId="30EAAF61" w:rsidR="004F6824" w:rsidRPr="00E90585" w:rsidRDefault="004F6824" w:rsidP="00407B9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Estimated cost </w:t>
            </w:r>
          </w:p>
        </w:tc>
      </w:tr>
      <w:tr w:rsidR="004F6824" w14:paraId="049B74A3" w14:textId="77777777" w:rsidTr="004F6824">
        <w:tc>
          <w:tcPr>
            <w:tcW w:w="3681" w:type="dxa"/>
          </w:tcPr>
          <w:p w14:paraId="2F0C2F9E" w14:textId="50F039BD" w:rsidR="004F6824" w:rsidRDefault="004F6824" w:rsidP="00407B95">
            <w:pPr>
              <w:spacing w:line="276" w:lineRule="auto"/>
            </w:pPr>
            <w:r>
              <w:t>Electrical – emergency lighting</w:t>
            </w:r>
          </w:p>
        </w:tc>
        <w:tc>
          <w:tcPr>
            <w:tcW w:w="3685" w:type="dxa"/>
          </w:tcPr>
          <w:p w14:paraId="018B8962" w14:textId="2A50F43E" w:rsidR="004F6824" w:rsidRDefault="004F6824" w:rsidP="00407B95">
            <w:pPr>
              <w:spacing w:line="276" w:lineRule="auto"/>
            </w:pPr>
            <w:r>
              <w:t>n/k</w:t>
            </w:r>
          </w:p>
        </w:tc>
        <w:tc>
          <w:tcPr>
            <w:tcW w:w="2552" w:type="dxa"/>
          </w:tcPr>
          <w:p w14:paraId="612224EE" w14:textId="59236FD8" w:rsidR="004F6824" w:rsidRDefault="004F6824" w:rsidP="00407B95">
            <w:pPr>
              <w:spacing w:line="276" w:lineRule="auto"/>
            </w:pPr>
            <w:r>
              <w:t>n/k</w:t>
            </w:r>
          </w:p>
        </w:tc>
      </w:tr>
      <w:tr w:rsidR="004F6824" w14:paraId="3BA01D4F" w14:textId="77777777" w:rsidTr="004F6824">
        <w:tc>
          <w:tcPr>
            <w:tcW w:w="3681" w:type="dxa"/>
          </w:tcPr>
          <w:p w14:paraId="13B9A9BB" w14:textId="71DB5160" w:rsidR="004F6824" w:rsidRDefault="004F6824" w:rsidP="00407B95">
            <w:pPr>
              <w:spacing w:line="276" w:lineRule="auto"/>
            </w:pPr>
            <w:r>
              <w:t>Controls – general</w:t>
            </w:r>
          </w:p>
        </w:tc>
        <w:tc>
          <w:tcPr>
            <w:tcW w:w="3685" w:type="dxa"/>
          </w:tcPr>
          <w:p w14:paraId="54B130EA" w14:textId="3E3EE3E1" w:rsidR="004F6824" w:rsidRDefault="004F6824" w:rsidP="00407B95">
            <w:pPr>
              <w:spacing w:line="276" w:lineRule="auto"/>
            </w:pPr>
            <w:r>
              <w:t>Electrical compliance – corrective maintenance</w:t>
            </w:r>
          </w:p>
        </w:tc>
        <w:tc>
          <w:tcPr>
            <w:tcW w:w="2552" w:type="dxa"/>
          </w:tcPr>
          <w:p w14:paraId="2CAE73E0" w14:textId="70431412" w:rsidR="004F6824" w:rsidRDefault="004F6824" w:rsidP="00407B95">
            <w:pPr>
              <w:spacing w:line="276" w:lineRule="auto"/>
            </w:pPr>
            <w:r>
              <w:t>n/k</w:t>
            </w:r>
          </w:p>
        </w:tc>
      </w:tr>
      <w:tr w:rsidR="004F6824" w14:paraId="08F84685" w14:textId="77777777" w:rsidTr="004F6824">
        <w:tc>
          <w:tcPr>
            <w:tcW w:w="3681" w:type="dxa"/>
          </w:tcPr>
          <w:p w14:paraId="799114CF" w14:textId="290C59AD" w:rsidR="004F6824" w:rsidRDefault="004F6824" w:rsidP="00407B95">
            <w:pPr>
              <w:spacing w:line="276" w:lineRule="auto"/>
            </w:pPr>
            <w:r>
              <w:t>Roofing</w:t>
            </w:r>
          </w:p>
        </w:tc>
        <w:tc>
          <w:tcPr>
            <w:tcW w:w="3685" w:type="dxa"/>
          </w:tcPr>
          <w:p w14:paraId="4DD85278" w14:textId="414D7035" w:rsidR="004F6824" w:rsidRDefault="004F6824" w:rsidP="00407B95">
            <w:pPr>
              <w:spacing w:line="276" w:lineRule="auto"/>
            </w:pPr>
            <w:r>
              <w:t>Reactive works</w:t>
            </w:r>
          </w:p>
        </w:tc>
        <w:tc>
          <w:tcPr>
            <w:tcW w:w="2552" w:type="dxa"/>
          </w:tcPr>
          <w:p w14:paraId="7EE09670" w14:textId="23FB8945" w:rsidR="004F6824" w:rsidRDefault="004F6824" w:rsidP="00407B95">
            <w:pPr>
              <w:spacing w:line="276" w:lineRule="auto"/>
            </w:pPr>
            <w:r>
              <w:t>£250.00</w:t>
            </w:r>
          </w:p>
        </w:tc>
      </w:tr>
      <w:tr w:rsidR="004F6824" w14:paraId="47BC55AF" w14:textId="77777777" w:rsidTr="004F6824">
        <w:tc>
          <w:tcPr>
            <w:tcW w:w="3681" w:type="dxa"/>
          </w:tcPr>
          <w:p w14:paraId="569A01C2" w14:textId="0C586D70" w:rsidR="004F6824" w:rsidRDefault="004F6824" w:rsidP="00407B95">
            <w:pPr>
              <w:spacing w:line="276" w:lineRule="auto"/>
            </w:pPr>
            <w:r>
              <w:t>Controls – general</w:t>
            </w:r>
          </w:p>
        </w:tc>
        <w:tc>
          <w:tcPr>
            <w:tcW w:w="3685" w:type="dxa"/>
          </w:tcPr>
          <w:p w14:paraId="6D424737" w14:textId="78C45BD0" w:rsidR="004F6824" w:rsidRDefault="004F6824" w:rsidP="00407B95">
            <w:pPr>
              <w:spacing w:line="276" w:lineRule="auto"/>
            </w:pPr>
            <w:r>
              <w:t>Corrective maintenance</w:t>
            </w:r>
          </w:p>
        </w:tc>
        <w:tc>
          <w:tcPr>
            <w:tcW w:w="2552" w:type="dxa"/>
          </w:tcPr>
          <w:p w14:paraId="22B2FDB9" w14:textId="53BC463E" w:rsidR="004F6824" w:rsidRDefault="004F6824" w:rsidP="00407B95">
            <w:pPr>
              <w:spacing w:line="276" w:lineRule="auto"/>
            </w:pPr>
            <w:r>
              <w:t>n/k</w:t>
            </w:r>
          </w:p>
        </w:tc>
      </w:tr>
      <w:tr w:rsidR="004F6824" w14:paraId="1F3B3863" w14:textId="77777777" w:rsidTr="004F6824">
        <w:tc>
          <w:tcPr>
            <w:tcW w:w="3681" w:type="dxa"/>
          </w:tcPr>
          <w:p w14:paraId="74ACD138" w14:textId="3037775A" w:rsidR="004F6824" w:rsidRDefault="004F6824" w:rsidP="00407B95">
            <w:pPr>
              <w:spacing w:line="276" w:lineRule="auto"/>
            </w:pPr>
            <w:r>
              <w:t>Asbestos – surveys/inspections</w:t>
            </w:r>
          </w:p>
        </w:tc>
        <w:tc>
          <w:tcPr>
            <w:tcW w:w="3685" w:type="dxa"/>
          </w:tcPr>
          <w:p w14:paraId="24E353CC" w14:textId="7B618D78" w:rsidR="004F6824" w:rsidRDefault="004F6824" w:rsidP="00407B95">
            <w:pPr>
              <w:spacing w:line="276" w:lineRule="auto"/>
            </w:pPr>
            <w:r>
              <w:t>Reactive works</w:t>
            </w:r>
          </w:p>
        </w:tc>
        <w:tc>
          <w:tcPr>
            <w:tcW w:w="2552" w:type="dxa"/>
          </w:tcPr>
          <w:p w14:paraId="401275BA" w14:textId="437F27F4" w:rsidR="004F6824" w:rsidRDefault="004F6824" w:rsidP="00407B95">
            <w:pPr>
              <w:spacing w:line="276" w:lineRule="auto"/>
            </w:pPr>
            <w:r>
              <w:t>£250.00</w:t>
            </w:r>
          </w:p>
        </w:tc>
      </w:tr>
      <w:tr w:rsidR="004F6824" w14:paraId="7BFC34C9" w14:textId="77777777" w:rsidTr="004F6824">
        <w:tc>
          <w:tcPr>
            <w:tcW w:w="3681" w:type="dxa"/>
          </w:tcPr>
          <w:p w14:paraId="5BA668ED" w14:textId="0984BC8D" w:rsidR="004F6824" w:rsidRDefault="004F6824" w:rsidP="00407B95">
            <w:pPr>
              <w:spacing w:line="276" w:lineRule="auto"/>
            </w:pPr>
            <w:r>
              <w:t>Roofing</w:t>
            </w:r>
          </w:p>
        </w:tc>
        <w:tc>
          <w:tcPr>
            <w:tcW w:w="3685" w:type="dxa"/>
          </w:tcPr>
          <w:p w14:paraId="1A143A2C" w14:textId="2300FCC7" w:rsidR="004F6824" w:rsidRDefault="004F6824" w:rsidP="00407B95">
            <w:pPr>
              <w:spacing w:line="276" w:lineRule="auto"/>
            </w:pPr>
            <w:r>
              <w:t xml:space="preserve">Reactive works </w:t>
            </w:r>
          </w:p>
        </w:tc>
        <w:tc>
          <w:tcPr>
            <w:tcW w:w="2552" w:type="dxa"/>
          </w:tcPr>
          <w:p w14:paraId="150856F2" w14:textId="206E6789" w:rsidR="004F6824" w:rsidRDefault="004F6824" w:rsidP="00407B95">
            <w:pPr>
              <w:spacing w:line="276" w:lineRule="auto"/>
            </w:pPr>
            <w:r>
              <w:t>£441.00</w:t>
            </w:r>
          </w:p>
        </w:tc>
      </w:tr>
      <w:tr w:rsidR="004F6824" w14:paraId="3EFEB6B7" w14:textId="77777777" w:rsidTr="004F6824">
        <w:tc>
          <w:tcPr>
            <w:tcW w:w="3681" w:type="dxa"/>
          </w:tcPr>
          <w:p w14:paraId="141565E0" w14:textId="02F8D2F5" w:rsidR="004F6824" w:rsidRDefault="004F6824" w:rsidP="00407B95">
            <w:pPr>
              <w:spacing w:line="276" w:lineRule="auto"/>
            </w:pPr>
            <w:r>
              <w:t>BMS – controls</w:t>
            </w:r>
          </w:p>
        </w:tc>
        <w:tc>
          <w:tcPr>
            <w:tcW w:w="3685" w:type="dxa"/>
          </w:tcPr>
          <w:p w14:paraId="13F1FFAB" w14:textId="51BA85E9" w:rsidR="004F6824" w:rsidRDefault="004F6824" w:rsidP="00407B95">
            <w:pPr>
              <w:spacing w:line="276" w:lineRule="auto"/>
            </w:pPr>
            <w:r>
              <w:t>Corrective maintenance</w:t>
            </w:r>
          </w:p>
        </w:tc>
        <w:tc>
          <w:tcPr>
            <w:tcW w:w="2552" w:type="dxa"/>
          </w:tcPr>
          <w:p w14:paraId="45EA0CED" w14:textId="1B6DDA4C" w:rsidR="004F6824" w:rsidRDefault="004F6824" w:rsidP="00407B95">
            <w:pPr>
              <w:spacing w:line="276" w:lineRule="auto"/>
            </w:pPr>
            <w:r>
              <w:t>£853.38</w:t>
            </w:r>
          </w:p>
        </w:tc>
      </w:tr>
    </w:tbl>
    <w:p w14:paraId="640575F9" w14:textId="77777777" w:rsidR="004F6824" w:rsidRDefault="004F6824" w:rsidP="004F6824">
      <w:pPr>
        <w:jc w:val="both"/>
      </w:pPr>
    </w:p>
    <w:sectPr w:rsidR="004F6824" w:rsidSect="004F6824">
      <w:pgSz w:w="16838" w:h="11906" w:orient="landscape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BDD9BA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26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1DA915C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26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B22348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26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79D1B9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26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5A4180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26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380135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26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F5758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61626"/>
    <w:rsid w:val="00475460"/>
    <w:rsid w:val="00490317"/>
    <w:rsid w:val="00491644"/>
    <w:rsid w:val="00496A08"/>
    <w:rsid w:val="004E1605"/>
    <w:rsid w:val="004F653C"/>
    <w:rsid w:val="004F6824"/>
    <w:rsid w:val="00540A52"/>
    <w:rsid w:val="00557306"/>
    <w:rsid w:val="00613283"/>
    <w:rsid w:val="00617D08"/>
    <w:rsid w:val="00645CFA"/>
    <w:rsid w:val="006D5799"/>
    <w:rsid w:val="00750D83"/>
    <w:rsid w:val="00785DBC"/>
    <w:rsid w:val="00793DD5"/>
    <w:rsid w:val="007D55F6"/>
    <w:rsid w:val="007F490F"/>
    <w:rsid w:val="00846C68"/>
    <w:rsid w:val="0086779C"/>
    <w:rsid w:val="00874BFD"/>
    <w:rsid w:val="008964EF"/>
    <w:rsid w:val="00915E01"/>
    <w:rsid w:val="009631A4"/>
    <w:rsid w:val="00977296"/>
    <w:rsid w:val="00A0680F"/>
    <w:rsid w:val="00A25E93"/>
    <w:rsid w:val="00A320FF"/>
    <w:rsid w:val="00A70AC0"/>
    <w:rsid w:val="00A84EA9"/>
    <w:rsid w:val="00AC443C"/>
    <w:rsid w:val="00B11A55"/>
    <w:rsid w:val="00B17211"/>
    <w:rsid w:val="00B461B2"/>
    <w:rsid w:val="00B54347"/>
    <w:rsid w:val="00B654B6"/>
    <w:rsid w:val="00B71B3C"/>
    <w:rsid w:val="00B9267E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8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0e32d40b-a8f5-4c24-a46b-b72b5f0b9b52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6</cp:revision>
  <cp:lastPrinted>2024-05-23T14:43:00Z</cp:lastPrinted>
  <dcterms:created xsi:type="dcterms:W3CDTF">2024-05-21T13:11:00Z</dcterms:created>
  <dcterms:modified xsi:type="dcterms:W3CDTF">2024-05-23T14:44:00Z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