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289777C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482">
              <w:t>4</w:t>
            </w:r>
            <w:r>
              <w:t>-</w:t>
            </w:r>
            <w:r w:rsidR="001C75DD">
              <w:t>0637</w:t>
            </w:r>
          </w:p>
          <w:p w14:paraId="24C735EE" w14:textId="7F56AAD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75DD">
              <w:t>07 March</w:t>
            </w:r>
            <w:r>
              <w:t xml:space="preserve"> 202</w:t>
            </w:r>
            <w:r w:rsidR="00741482">
              <w:t>4</w:t>
            </w:r>
          </w:p>
        </w:tc>
      </w:tr>
    </w:tbl>
    <w:p w14:paraId="2A0E2CD9" w14:textId="43650F1D" w:rsidR="008928AB" w:rsidRDefault="008928AB" w:rsidP="00032EDC">
      <w:r w:rsidRPr="008928AB">
        <w:t>I refer to your recent correspondence seeking information about the death of</w:t>
      </w:r>
      <w:r w:rsidR="001C75DD">
        <w:t xml:space="preserve"> Kieren Towler.</w:t>
      </w:r>
    </w:p>
    <w:p w14:paraId="7EAE2248" w14:textId="5B95BD68" w:rsidR="001C75DD" w:rsidRPr="008928AB" w:rsidRDefault="001C75DD" w:rsidP="001C75DD">
      <w:pPr>
        <w:pStyle w:val="Heading2"/>
      </w:pPr>
      <w:r>
        <w:rPr>
          <w:rFonts w:eastAsia="Times New Roman"/>
        </w:rPr>
        <w:t>I would like to find out the date of last known cctv footage that captured him alive after he went missing</w:t>
      </w:r>
      <w:r>
        <w:rPr>
          <w:rFonts w:eastAsia="Times New Roman"/>
        </w:rPr>
        <w:t>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CC6" w14:textId="77777777" w:rsidR="00491644" w:rsidRDefault="00491644">
    <w:pPr>
      <w:pStyle w:val="Footer"/>
    </w:pPr>
  </w:p>
  <w:p w14:paraId="76FA23B7" w14:textId="29D07A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72CA8B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331E" w14:textId="77777777" w:rsidR="00491644" w:rsidRDefault="00491644">
    <w:pPr>
      <w:pStyle w:val="Footer"/>
    </w:pPr>
  </w:p>
  <w:p w14:paraId="77BAD0E6" w14:textId="2E04B1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8AC1" w14:textId="71C40F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C04E" w14:textId="6FCC1F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9FD" w14:textId="79D348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5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1C75D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77D16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2024-03-07T10:59:00Z</dcterms:created>
  <dcterms:modified xsi:type="dcterms:W3CDTF">2024-03-07T11:04:00Z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