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8C29652" w:rsidR="00B17211" w:rsidRPr="00B17211" w:rsidRDefault="00B17211" w:rsidP="007F490F">
            <w:r w:rsidRPr="007F490F">
              <w:rPr>
                <w:rStyle w:val="Heading2Char"/>
              </w:rPr>
              <w:t>Our reference:</w:t>
            </w:r>
            <w:r>
              <w:t xml:space="preserve">  FOI 2</w:t>
            </w:r>
            <w:r w:rsidR="00EF0FBB">
              <w:t>5</w:t>
            </w:r>
            <w:r>
              <w:t>-</w:t>
            </w:r>
            <w:r w:rsidR="00133D74">
              <w:t>2051</w:t>
            </w:r>
          </w:p>
          <w:p w14:paraId="34BDABA6" w14:textId="3092B5F2" w:rsidR="00B17211" w:rsidRDefault="00456324" w:rsidP="00EE2373">
            <w:r w:rsidRPr="007F490F">
              <w:rPr>
                <w:rStyle w:val="Heading2Char"/>
              </w:rPr>
              <w:t>Respon</w:t>
            </w:r>
            <w:r w:rsidR="007D55F6">
              <w:rPr>
                <w:rStyle w:val="Heading2Char"/>
              </w:rPr>
              <w:t>ded to:</w:t>
            </w:r>
            <w:r w:rsidR="007F490F">
              <w:t xml:space="preserve">  </w:t>
            </w:r>
            <w:r w:rsidR="00051068">
              <w:t>0</w:t>
            </w:r>
            <w:r w:rsidR="00BD2A6B">
              <w:t>7</w:t>
            </w:r>
            <w:r w:rsidR="00051068">
              <w:t xml:space="preserve"> 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6D7BD112" w14:textId="77777777" w:rsidR="004B5D2A" w:rsidRPr="004B5D2A" w:rsidRDefault="004B5D2A" w:rsidP="004B5D2A">
      <w:pPr>
        <w:tabs>
          <w:tab w:val="left" w:pos="5400"/>
        </w:tabs>
        <w:rPr>
          <w:rFonts w:eastAsiaTheme="majorEastAsia" w:cstheme="majorBidi"/>
          <w:b/>
          <w:color w:val="000000" w:themeColor="text1"/>
          <w:szCs w:val="26"/>
        </w:rPr>
      </w:pPr>
      <w:r w:rsidRPr="004B5D2A">
        <w:rPr>
          <w:rFonts w:eastAsiaTheme="majorEastAsia" w:cstheme="majorBidi"/>
          <w:b/>
          <w:color w:val="000000" w:themeColor="text1"/>
          <w:szCs w:val="26"/>
        </w:rPr>
        <w:t>In light of Police Scotland’s 2025–26 Annual Police Plan commitment to “maximise evidence capture opportunities” through the DESC programme, and given that no public dash-cam portal was introduced in 2024 I believe there is public benefit to understanding the force's specific plans on the matter.</w:t>
      </w:r>
    </w:p>
    <w:p w14:paraId="10184D04" w14:textId="77777777" w:rsidR="004B5D2A" w:rsidRPr="004B5D2A" w:rsidRDefault="004B5D2A" w:rsidP="004B5D2A">
      <w:pPr>
        <w:tabs>
          <w:tab w:val="left" w:pos="5400"/>
        </w:tabs>
        <w:rPr>
          <w:rFonts w:eastAsiaTheme="majorEastAsia" w:cstheme="majorBidi"/>
          <w:b/>
          <w:color w:val="000000" w:themeColor="text1"/>
          <w:szCs w:val="26"/>
        </w:rPr>
      </w:pPr>
      <w:r w:rsidRPr="004B5D2A">
        <w:rPr>
          <w:rFonts w:eastAsiaTheme="majorEastAsia" w:cstheme="majorBidi"/>
          <w:b/>
          <w:color w:val="000000" w:themeColor="text1"/>
          <w:szCs w:val="26"/>
        </w:rPr>
        <w:t>Under Freedom of Information (Scotland) Act 2002, I kindly request:</w:t>
      </w:r>
    </w:p>
    <w:p w14:paraId="709C1D39" w14:textId="77777777" w:rsidR="004B5D2A" w:rsidRPr="004B5D2A" w:rsidRDefault="004B5D2A" w:rsidP="004B5D2A">
      <w:pPr>
        <w:tabs>
          <w:tab w:val="left" w:pos="5400"/>
        </w:tabs>
        <w:rPr>
          <w:rFonts w:eastAsiaTheme="majorEastAsia" w:cstheme="majorBidi"/>
          <w:b/>
          <w:color w:val="000000" w:themeColor="text1"/>
          <w:szCs w:val="26"/>
        </w:rPr>
      </w:pPr>
      <w:r w:rsidRPr="004B5D2A">
        <w:rPr>
          <w:rFonts w:eastAsiaTheme="majorEastAsia" w:cstheme="majorBidi"/>
          <w:b/>
          <w:color w:val="000000" w:themeColor="text1"/>
          <w:szCs w:val="26"/>
        </w:rPr>
        <w:t>1. DESC Public Interface Development (January 2022 - present)</w:t>
      </w:r>
    </w:p>
    <w:p w14:paraId="301A0B4B" w14:textId="77777777" w:rsidR="004B5D2A" w:rsidRPr="004B5D2A" w:rsidRDefault="004B5D2A" w:rsidP="004B5D2A">
      <w:pPr>
        <w:tabs>
          <w:tab w:val="left" w:pos="5400"/>
        </w:tabs>
        <w:rPr>
          <w:rFonts w:eastAsiaTheme="majorEastAsia" w:cstheme="majorBidi"/>
          <w:b/>
          <w:color w:val="000000" w:themeColor="text1"/>
          <w:szCs w:val="26"/>
        </w:rPr>
      </w:pPr>
      <w:r w:rsidRPr="004B5D2A">
        <w:rPr>
          <w:rFonts w:eastAsiaTheme="majorEastAsia" w:cstheme="majorBidi"/>
          <w:b/>
          <w:color w:val="000000" w:themeColor="text1"/>
          <w:szCs w:val="26"/>
        </w:rPr>
        <w:t>- All technical specifications, requirement documents, and change requests created to deliver a self-service public video</w:t>
      </w:r>
      <w:r w:rsidRPr="004B5D2A">
        <w:rPr>
          <w:rFonts w:ascii="Cambria Math" w:eastAsiaTheme="majorEastAsia" w:hAnsi="Cambria Math" w:cs="Cambria Math"/>
          <w:b/>
          <w:color w:val="000000" w:themeColor="text1"/>
          <w:szCs w:val="26"/>
        </w:rPr>
        <w:t>‐</w:t>
      </w:r>
      <w:r w:rsidRPr="004B5D2A">
        <w:rPr>
          <w:rFonts w:eastAsiaTheme="majorEastAsia" w:cstheme="majorBidi"/>
          <w:b/>
          <w:color w:val="000000" w:themeColor="text1"/>
          <w:szCs w:val="26"/>
        </w:rPr>
        <w:t>submission interface within DESC.</w:t>
      </w:r>
    </w:p>
    <w:p w14:paraId="72301230" w14:textId="77777777" w:rsidR="004B5D2A" w:rsidRPr="004B5D2A" w:rsidRDefault="004B5D2A" w:rsidP="004B5D2A">
      <w:pPr>
        <w:tabs>
          <w:tab w:val="left" w:pos="5400"/>
        </w:tabs>
        <w:rPr>
          <w:rFonts w:eastAsiaTheme="majorEastAsia" w:cstheme="majorBidi"/>
          <w:b/>
          <w:color w:val="000000" w:themeColor="text1"/>
          <w:szCs w:val="26"/>
        </w:rPr>
      </w:pPr>
      <w:r w:rsidRPr="004B5D2A">
        <w:rPr>
          <w:rFonts w:eastAsiaTheme="majorEastAsia" w:cstheme="majorBidi"/>
          <w:b/>
          <w:color w:val="000000" w:themeColor="text1"/>
          <w:szCs w:val="26"/>
        </w:rPr>
        <w:t>- Detailed project roadmaps or Gantt charts showing planned and actual milestones, including reasons for any slippage or omissions from the 2025–26 plan.</w:t>
      </w:r>
    </w:p>
    <w:p w14:paraId="3936A264" w14:textId="77777777" w:rsidR="004B5D2A" w:rsidRPr="004B5D2A" w:rsidRDefault="004B5D2A" w:rsidP="004B5D2A">
      <w:pPr>
        <w:tabs>
          <w:tab w:val="left" w:pos="5400"/>
        </w:tabs>
        <w:rPr>
          <w:rFonts w:eastAsiaTheme="majorEastAsia" w:cstheme="majorBidi"/>
          <w:b/>
          <w:color w:val="000000" w:themeColor="text1"/>
          <w:szCs w:val="26"/>
        </w:rPr>
      </w:pPr>
      <w:r w:rsidRPr="004B5D2A">
        <w:rPr>
          <w:rFonts w:eastAsiaTheme="majorEastAsia" w:cstheme="majorBidi"/>
          <w:b/>
          <w:color w:val="000000" w:themeColor="text1"/>
          <w:szCs w:val="26"/>
        </w:rPr>
        <w:t>- Budget approval papers and spend breakdowns allocated specifically for public interface development within DESC.</w:t>
      </w:r>
    </w:p>
    <w:p w14:paraId="00009FFD" w14:textId="77777777" w:rsidR="004B5D2A" w:rsidRPr="004B5D2A" w:rsidRDefault="004B5D2A" w:rsidP="004B5D2A">
      <w:pPr>
        <w:tabs>
          <w:tab w:val="left" w:pos="5400"/>
        </w:tabs>
        <w:rPr>
          <w:rFonts w:eastAsiaTheme="majorEastAsia" w:cstheme="majorBidi"/>
          <w:b/>
          <w:color w:val="000000" w:themeColor="text1"/>
          <w:szCs w:val="26"/>
        </w:rPr>
      </w:pPr>
      <w:r w:rsidRPr="004B5D2A">
        <w:rPr>
          <w:rFonts w:eastAsiaTheme="majorEastAsia" w:cstheme="majorBidi"/>
          <w:b/>
          <w:color w:val="000000" w:themeColor="text1"/>
          <w:szCs w:val="26"/>
        </w:rPr>
        <w:t>- User</w:t>
      </w:r>
      <w:r w:rsidRPr="004B5D2A">
        <w:rPr>
          <w:rFonts w:ascii="Cambria Math" w:eastAsiaTheme="majorEastAsia" w:hAnsi="Cambria Math" w:cs="Cambria Math"/>
          <w:b/>
          <w:color w:val="000000" w:themeColor="text1"/>
          <w:szCs w:val="26"/>
        </w:rPr>
        <w:t>‐</w:t>
      </w:r>
      <w:r w:rsidRPr="004B5D2A">
        <w:rPr>
          <w:rFonts w:eastAsiaTheme="majorEastAsia" w:cstheme="majorBidi"/>
          <w:b/>
          <w:color w:val="000000" w:themeColor="text1"/>
          <w:szCs w:val="26"/>
        </w:rPr>
        <w:t>experience and user</w:t>
      </w:r>
      <w:r w:rsidRPr="004B5D2A">
        <w:rPr>
          <w:rFonts w:ascii="Cambria Math" w:eastAsiaTheme="majorEastAsia" w:hAnsi="Cambria Math" w:cs="Cambria Math"/>
          <w:b/>
          <w:color w:val="000000" w:themeColor="text1"/>
          <w:szCs w:val="26"/>
        </w:rPr>
        <w:t>‐</w:t>
      </w:r>
      <w:r w:rsidRPr="004B5D2A">
        <w:rPr>
          <w:rFonts w:eastAsiaTheme="majorEastAsia" w:cstheme="majorBidi"/>
          <w:b/>
          <w:color w:val="000000" w:themeColor="text1"/>
          <w:szCs w:val="26"/>
        </w:rPr>
        <w:t>acceptance test reports, wireframes, or mock-ups prepared for public submissions.</w:t>
      </w:r>
    </w:p>
    <w:p w14:paraId="33064F3A" w14:textId="77777777" w:rsidR="004B5D2A" w:rsidRDefault="004B5D2A" w:rsidP="004B5D2A">
      <w:pPr>
        <w:tabs>
          <w:tab w:val="left" w:pos="5400"/>
        </w:tabs>
        <w:rPr>
          <w:rFonts w:eastAsiaTheme="majorEastAsia" w:cstheme="majorBidi"/>
          <w:b/>
          <w:color w:val="000000" w:themeColor="text1"/>
          <w:szCs w:val="26"/>
        </w:rPr>
      </w:pPr>
      <w:r w:rsidRPr="004B5D2A">
        <w:rPr>
          <w:rFonts w:eastAsiaTheme="majorEastAsia" w:cstheme="majorBidi"/>
          <w:b/>
          <w:color w:val="000000" w:themeColor="text1"/>
          <w:szCs w:val="26"/>
        </w:rPr>
        <w:t>- In absence of any of the above, the documents (minutes, etc) pertaining to making a decision to omit said functionality from SoW (scope of works).</w:t>
      </w:r>
    </w:p>
    <w:p w14:paraId="5E422BC8" w14:textId="67D02ED7" w:rsidR="008E3E71" w:rsidRDefault="008E3E71" w:rsidP="00776E5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By way of explanation, </w:t>
      </w:r>
      <w:r w:rsidRPr="008E3E71">
        <w:rPr>
          <w:rFonts w:eastAsiaTheme="majorEastAsia" w:cstheme="majorBidi"/>
          <w:bCs/>
          <w:color w:val="000000" w:themeColor="text1"/>
          <w:szCs w:val="26"/>
        </w:rPr>
        <w:t>DESC does not offer a self-service public video submission interface within DESC similar to that offered by Op</w:t>
      </w:r>
      <w:r>
        <w:rPr>
          <w:rFonts w:eastAsiaTheme="majorEastAsia" w:cstheme="majorBidi"/>
          <w:bCs/>
          <w:color w:val="000000" w:themeColor="text1"/>
          <w:szCs w:val="26"/>
        </w:rPr>
        <w:t>eration</w:t>
      </w:r>
      <w:r w:rsidRPr="008E3E71">
        <w:rPr>
          <w:rFonts w:eastAsiaTheme="majorEastAsia" w:cstheme="majorBidi"/>
          <w:bCs/>
          <w:color w:val="000000" w:themeColor="text1"/>
          <w:szCs w:val="26"/>
        </w:rPr>
        <w:t xml:space="preserve"> SNAP. The approved </w:t>
      </w:r>
      <w:r w:rsidR="00477273">
        <w:rPr>
          <w:rFonts w:eastAsiaTheme="majorEastAsia" w:cstheme="majorBidi"/>
          <w:bCs/>
          <w:color w:val="000000" w:themeColor="text1"/>
          <w:szCs w:val="26"/>
        </w:rPr>
        <w:t xml:space="preserve">Scottish Government </w:t>
      </w:r>
      <w:r w:rsidRPr="008E3E71">
        <w:rPr>
          <w:rFonts w:eastAsiaTheme="majorEastAsia" w:cstheme="majorBidi"/>
          <w:bCs/>
          <w:color w:val="000000" w:themeColor="text1"/>
          <w:szCs w:val="26"/>
        </w:rPr>
        <w:t>DESC business case from 2021 states: It is important to note at this stage that the DESC Solution is being used to support the collection and management of digital evidence after a crime has been reported only; it does not include the ability for the public to submit evidence as part of an online report (</w:t>
      </w:r>
      <w:r w:rsidR="001838F5" w:rsidRPr="008E3E71">
        <w:rPr>
          <w:rFonts w:eastAsiaTheme="majorEastAsia" w:cstheme="majorBidi"/>
          <w:bCs/>
          <w:color w:val="000000" w:themeColor="text1"/>
          <w:szCs w:val="26"/>
        </w:rPr>
        <w:t>i.e.</w:t>
      </w:r>
      <w:r w:rsidRPr="008E3E71">
        <w:rPr>
          <w:rFonts w:eastAsiaTheme="majorEastAsia" w:cstheme="majorBidi"/>
          <w:bCs/>
          <w:color w:val="000000" w:themeColor="text1"/>
          <w:szCs w:val="26"/>
        </w:rPr>
        <w:t xml:space="preserve"> ‘submit your dashcam footage’).</w:t>
      </w:r>
      <w:r>
        <w:rPr>
          <w:rFonts w:eastAsiaTheme="majorEastAsia" w:cstheme="majorBidi"/>
          <w:bCs/>
          <w:color w:val="000000" w:themeColor="text1"/>
          <w:szCs w:val="26"/>
        </w:rPr>
        <w:t xml:space="preserve"> Scope (statement) of work may be held by Scottish Government.</w:t>
      </w:r>
    </w:p>
    <w:p w14:paraId="4EDFA66E" w14:textId="77777777" w:rsidR="004B5D2A" w:rsidRPr="004B5D2A" w:rsidRDefault="004B5D2A" w:rsidP="004B5D2A">
      <w:pPr>
        <w:tabs>
          <w:tab w:val="left" w:pos="5400"/>
        </w:tabs>
        <w:rPr>
          <w:rFonts w:eastAsiaTheme="majorEastAsia" w:cstheme="majorBidi"/>
          <w:b/>
          <w:color w:val="000000" w:themeColor="text1"/>
          <w:szCs w:val="26"/>
        </w:rPr>
      </w:pPr>
      <w:r w:rsidRPr="004B5D2A">
        <w:rPr>
          <w:rFonts w:eastAsiaTheme="majorEastAsia" w:cstheme="majorBidi"/>
          <w:b/>
          <w:color w:val="000000" w:themeColor="text1"/>
          <w:szCs w:val="26"/>
        </w:rPr>
        <w:lastRenderedPageBreak/>
        <w:t>2. Operational Progress &amp; Accountability</w:t>
      </w:r>
    </w:p>
    <w:p w14:paraId="75009F4D" w14:textId="77777777" w:rsidR="004B5D2A" w:rsidRDefault="004B5D2A" w:rsidP="004B5D2A">
      <w:pPr>
        <w:tabs>
          <w:tab w:val="left" w:pos="5400"/>
        </w:tabs>
        <w:rPr>
          <w:rFonts w:eastAsiaTheme="majorEastAsia" w:cstheme="majorBidi"/>
          <w:b/>
          <w:color w:val="000000" w:themeColor="text1"/>
          <w:szCs w:val="26"/>
        </w:rPr>
      </w:pPr>
      <w:r w:rsidRPr="004B5D2A">
        <w:rPr>
          <w:rFonts w:eastAsiaTheme="majorEastAsia" w:cstheme="majorBidi"/>
          <w:b/>
          <w:color w:val="000000" w:themeColor="text1"/>
          <w:szCs w:val="26"/>
        </w:rPr>
        <w:t>- Statistics on the number of public video submissions requested and received via the current email-link process since March 2024, broken down monthly.</w:t>
      </w:r>
    </w:p>
    <w:p w14:paraId="522CF57D" w14:textId="443257B0" w:rsidR="008E3E71" w:rsidRDefault="008E3E71" w:rsidP="008E3E71">
      <w:pPr>
        <w:tabs>
          <w:tab w:val="left" w:pos="5400"/>
        </w:tabs>
      </w:pPr>
      <w:r>
        <w:t xml:space="preserve">The table below provides a breakdown of the number </w:t>
      </w:r>
      <w:r w:rsidRPr="00477273">
        <w:t xml:space="preserve">of </w:t>
      </w:r>
      <w:r w:rsidR="00477273" w:rsidRPr="00477273">
        <w:t>responses received upon Police Scotland sharing an invitation to submit evidence into DESC via a community invite</w:t>
      </w:r>
      <w:r w:rsidR="00913B15" w:rsidRPr="00477273">
        <w:t>, by Month since March 2024.</w:t>
      </w:r>
    </w:p>
    <w:p w14:paraId="1FB0A621" w14:textId="6E06233D" w:rsidR="002764EA" w:rsidRDefault="00477273" w:rsidP="008E3E71">
      <w:pPr>
        <w:tabs>
          <w:tab w:val="left" w:pos="5400"/>
        </w:tabs>
      </w:pPr>
      <w:r w:rsidRPr="00477273">
        <w:t>Totals include where 'evidence' was submitted. ‘Submissions received’ does not reflect the volume of files received or the type of file as more than video files are accepted into</w:t>
      </w:r>
      <w:r>
        <w:t xml:space="preserve"> </w:t>
      </w:r>
      <w:r w:rsidRPr="00477273">
        <w:t>DESC.</w:t>
      </w:r>
    </w:p>
    <w:tbl>
      <w:tblPr>
        <w:tblStyle w:val="TableGrid"/>
        <w:tblW w:w="0" w:type="auto"/>
        <w:tblLook w:val="04A0" w:firstRow="1" w:lastRow="0" w:firstColumn="1" w:lastColumn="0" w:noHBand="0" w:noVBand="1"/>
        <w:tblCaption w:val="Example table"/>
        <w:tblDescription w:val="Example table"/>
      </w:tblPr>
      <w:tblGrid>
        <w:gridCol w:w="1991"/>
        <w:gridCol w:w="2924"/>
        <w:gridCol w:w="2751"/>
      </w:tblGrid>
      <w:tr w:rsidR="008E3E71" w:rsidRPr="00557306" w14:paraId="64A55F3E" w14:textId="77777777" w:rsidTr="008E3E71">
        <w:trPr>
          <w:tblHeader/>
        </w:trPr>
        <w:tc>
          <w:tcPr>
            <w:tcW w:w="0" w:type="auto"/>
            <w:shd w:val="clear" w:color="auto" w:fill="D9D9D9" w:themeFill="background1" w:themeFillShade="D9"/>
          </w:tcPr>
          <w:p w14:paraId="21D2A589" w14:textId="6E812BF8" w:rsidR="008E3E71" w:rsidRPr="00557306" w:rsidRDefault="008E3E71" w:rsidP="004E0E63">
            <w:pPr>
              <w:spacing w:line="240" w:lineRule="auto"/>
              <w:rPr>
                <w:b/>
              </w:rPr>
            </w:pPr>
            <w:r>
              <w:rPr>
                <w:b/>
              </w:rPr>
              <w:t>Month</w:t>
            </w:r>
          </w:p>
        </w:tc>
        <w:tc>
          <w:tcPr>
            <w:tcW w:w="0" w:type="auto"/>
            <w:shd w:val="clear" w:color="auto" w:fill="D9D9D9" w:themeFill="background1" w:themeFillShade="D9"/>
          </w:tcPr>
          <w:p w14:paraId="29254C8B" w14:textId="3A8D4529" w:rsidR="008E3E71" w:rsidRPr="00557306" w:rsidRDefault="008E3E71" w:rsidP="004E0E63">
            <w:pPr>
              <w:spacing w:line="240" w:lineRule="auto"/>
              <w:rPr>
                <w:b/>
              </w:rPr>
            </w:pPr>
            <w:r>
              <w:rPr>
                <w:b/>
              </w:rPr>
              <w:t>Submissions requested</w:t>
            </w:r>
          </w:p>
        </w:tc>
        <w:tc>
          <w:tcPr>
            <w:tcW w:w="0" w:type="auto"/>
            <w:shd w:val="clear" w:color="auto" w:fill="D9D9D9" w:themeFill="background1" w:themeFillShade="D9"/>
          </w:tcPr>
          <w:p w14:paraId="16F626D2" w14:textId="3D63338D" w:rsidR="008E3E71" w:rsidRPr="00557306" w:rsidRDefault="008E3E71" w:rsidP="004E0E63">
            <w:pPr>
              <w:spacing w:line="240" w:lineRule="auto"/>
              <w:rPr>
                <w:b/>
              </w:rPr>
            </w:pPr>
            <w:r>
              <w:rPr>
                <w:b/>
              </w:rPr>
              <w:t>Submissions received</w:t>
            </w:r>
          </w:p>
        </w:tc>
      </w:tr>
      <w:tr w:rsidR="008E3E71" w14:paraId="4ED1D77A" w14:textId="77777777" w:rsidTr="008E3E71">
        <w:tc>
          <w:tcPr>
            <w:tcW w:w="0" w:type="auto"/>
          </w:tcPr>
          <w:p w14:paraId="3743B3E0" w14:textId="0803DCF5" w:rsidR="008E3E71" w:rsidRDefault="008E3E71" w:rsidP="008E3E71">
            <w:pPr>
              <w:tabs>
                <w:tab w:val="left" w:pos="5400"/>
              </w:tabs>
              <w:spacing w:line="240" w:lineRule="auto"/>
            </w:pPr>
            <w:r>
              <w:t xml:space="preserve">March 2024 </w:t>
            </w:r>
          </w:p>
        </w:tc>
        <w:tc>
          <w:tcPr>
            <w:tcW w:w="0" w:type="auto"/>
          </w:tcPr>
          <w:p w14:paraId="3B5876DC" w14:textId="411C763A" w:rsidR="008E3E71" w:rsidRDefault="00913B15" w:rsidP="008E3E71">
            <w:pPr>
              <w:tabs>
                <w:tab w:val="left" w:pos="5400"/>
              </w:tabs>
              <w:spacing w:line="240" w:lineRule="auto"/>
              <w:jc w:val="right"/>
            </w:pPr>
            <w:r>
              <w:t>262</w:t>
            </w:r>
          </w:p>
        </w:tc>
        <w:tc>
          <w:tcPr>
            <w:tcW w:w="0" w:type="auto"/>
          </w:tcPr>
          <w:p w14:paraId="4BD4B1A2" w14:textId="0023F298" w:rsidR="008E3E71" w:rsidRDefault="00913B15" w:rsidP="008E3E71">
            <w:pPr>
              <w:tabs>
                <w:tab w:val="left" w:pos="5400"/>
              </w:tabs>
              <w:spacing w:line="240" w:lineRule="auto"/>
              <w:jc w:val="right"/>
            </w:pPr>
            <w:r>
              <w:t>194</w:t>
            </w:r>
          </w:p>
        </w:tc>
      </w:tr>
      <w:tr w:rsidR="008E3E71" w14:paraId="2EEEFED0" w14:textId="77777777" w:rsidTr="008E3E71">
        <w:tc>
          <w:tcPr>
            <w:tcW w:w="0" w:type="auto"/>
          </w:tcPr>
          <w:p w14:paraId="5FE0C755" w14:textId="6D5D8F07" w:rsidR="008E3E71" w:rsidRDefault="008E3E71" w:rsidP="008E3E71">
            <w:pPr>
              <w:tabs>
                <w:tab w:val="left" w:pos="5400"/>
              </w:tabs>
              <w:spacing w:line="240" w:lineRule="auto"/>
            </w:pPr>
            <w:r>
              <w:t>April 2024</w:t>
            </w:r>
          </w:p>
        </w:tc>
        <w:tc>
          <w:tcPr>
            <w:tcW w:w="0" w:type="auto"/>
          </w:tcPr>
          <w:p w14:paraId="4D4C03A9" w14:textId="0B694F21" w:rsidR="008E3E71" w:rsidRDefault="00913B15" w:rsidP="008E3E71">
            <w:pPr>
              <w:tabs>
                <w:tab w:val="left" w:pos="5400"/>
              </w:tabs>
              <w:spacing w:line="240" w:lineRule="auto"/>
              <w:jc w:val="right"/>
            </w:pPr>
            <w:r>
              <w:t>279</w:t>
            </w:r>
          </w:p>
        </w:tc>
        <w:tc>
          <w:tcPr>
            <w:tcW w:w="0" w:type="auto"/>
          </w:tcPr>
          <w:p w14:paraId="783546EE" w14:textId="7EE0E8DA" w:rsidR="008E3E71" w:rsidRDefault="00913B15" w:rsidP="008E3E71">
            <w:pPr>
              <w:tabs>
                <w:tab w:val="left" w:pos="5400"/>
              </w:tabs>
              <w:spacing w:line="240" w:lineRule="auto"/>
              <w:jc w:val="right"/>
            </w:pPr>
            <w:r>
              <w:t>204</w:t>
            </w:r>
          </w:p>
        </w:tc>
      </w:tr>
      <w:tr w:rsidR="008E3E71" w14:paraId="59331F30" w14:textId="77777777" w:rsidTr="008E3E71">
        <w:tc>
          <w:tcPr>
            <w:tcW w:w="0" w:type="auto"/>
          </w:tcPr>
          <w:p w14:paraId="168A3997" w14:textId="3E2907FE" w:rsidR="008E3E71" w:rsidRDefault="008E3E71" w:rsidP="008E3E71">
            <w:pPr>
              <w:tabs>
                <w:tab w:val="left" w:pos="5400"/>
              </w:tabs>
              <w:spacing w:line="240" w:lineRule="auto"/>
            </w:pPr>
            <w:r>
              <w:t>May 2024</w:t>
            </w:r>
          </w:p>
        </w:tc>
        <w:tc>
          <w:tcPr>
            <w:tcW w:w="0" w:type="auto"/>
          </w:tcPr>
          <w:p w14:paraId="4FD02667" w14:textId="36FF0F46" w:rsidR="008E3E71" w:rsidRDefault="00913B15" w:rsidP="008E3E71">
            <w:pPr>
              <w:tabs>
                <w:tab w:val="left" w:pos="5400"/>
              </w:tabs>
              <w:spacing w:line="240" w:lineRule="auto"/>
              <w:jc w:val="right"/>
            </w:pPr>
            <w:r>
              <w:t>594</w:t>
            </w:r>
          </w:p>
        </w:tc>
        <w:tc>
          <w:tcPr>
            <w:tcW w:w="0" w:type="auto"/>
          </w:tcPr>
          <w:p w14:paraId="7F5E215E" w14:textId="54DE5CE2" w:rsidR="008E3E71" w:rsidRDefault="00913B15" w:rsidP="008E3E71">
            <w:pPr>
              <w:tabs>
                <w:tab w:val="left" w:pos="5400"/>
              </w:tabs>
              <w:spacing w:line="240" w:lineRule="auto"/>
              <w:jc w:val="right"/>
            </w:pPr>
            <w:r>
              <w:t>414</w:t>
            </w:r>
          </w:p>
        </w:tc>
      </w:tr>
      <w:tr w:rsidR="008E3E71" w14:paraId="53DB03CB" w14:textId="77777777" w:rsidTr="008E3E71">
        <w:tc>
          <w:tcPr>
            <w:tcW w:w="0" w:type="auto"/>
          </w:tcPr>
          <w:p w14:paraId="22A18DAE" w14:textId="3E968671" w:rsidR="008E3E71" w:rsidRDefault="008E3E71" w:rsidP="008E3E71">
            <w:pPr>
              <w:tabs>
                <w:tab w:val="left" w:pos="5400"/>
              </w:tabs>
              <w:spacing w:line="240" w:lineRule="auto"/>
            </w:pPr>
            <w:r>
              <w:t>June 2024</w:t>
            </w:r>
          </w:p>
        </w:tc>
        <w:tc>
          <w:tcPr>
            <w:tcW w:w="0" w:type="auto"/>
          </w:tcPr>
          <w:p w14:paraId="2AC519EA" w14:textId="259AD2C3" w:rsidR="008E3E71" w:rsidRDefault="00913B15" w:rsidP="008E3E71">
            <w:pPr>
              <w:tabs>
                <w:tab w:val="left" w:pos="5400"/>
              </w:tabs>
              <w:spacing w:line="240" w:lineRule="auto"/>
              <w:jc w:val="right"/>
            </w:pPr>
            <w:r>
              <w:t>677</w:t>
            </w:r>
          </w:p>
        </w:tc>
        <w:tc>
          <w:tcPr>
            <w:tcW w:w="0" w:type="auto"/>
          </w:tcPr>
          <w:p w14:paraId="667FE758" w14:textId="55339CA9" w:rsidR="008E3E71" w:rsidRDefault="00913B15" w:rsidP="008E3E71">
            <w:pPr>
              <w:tabs>
                <w:tab w:val="left" w:pos="5400"/>
              </w:tabs>
              <w:spacing w:line="240" w:lineRule="auto"/>
              <w:jc w:val="right"/>
            </w:pPr>
            <w:r>
              <w:t>481</w:t>
            </w:r>
          </w:p>
        </w:tc>
      </w:tr>
      <w:tr w:rsidR="008E3E71" w14:paraId="7F313C01" w14:textId="77777777" w:rsidTr="008E3E71">
        <w:tc>
          <w:tcPr>
            <w:tcW w:w="0" w:type="auto"/>
          </w:tcPr>
          <w:p w14:paraId="459DB67E" w14:textId="400028E7" w:rsidR="008E3E71" w:rsidRDefault="008E3E71" w:rsidP="008E3E71">
            <w:pPr>
              <w:tabs>
                <w:tab w:val="left" w:pos="5400"/>
              </w:tabs>
              <w:spacing w:line="240" w:lineRule="auto"/>
            </w:pPr>
            <w:r>
              <w:t>July 2024</w:t>
            </w:r>
          </w:p>
        </w:tc>
        <w:tc>
          <w:tcPr>
            <w:tcW w:w="0" w:type="auto"/>
          </w:tcPr>
          <w:p w14:paraId="4E6EE1EE" w14:textId="67C5D207" w:rsidR="008E3E71" w:rsidRDefault="00913B15" w:rsidP="008E3E71">
            <w:pPr>
              <w:tabs>
                <w:tab w:val="left" w:pos="5400"/>
              </w:tabs>
              <w:spacing w:line="240" w:lineRule="auto"/>
              <w:jc w:val="right"/>
            </w:pPr>
            <w:r>
              <w:t>847</w:t>
            </w:r>
          </w:p>
        </w:tc>
        <w:tc>
          <w:tcPr>
            <w:tcW w:w="0" w:type="auto"/>
          </w:tcPr>
          <w:p w14:paraId="0EDE3F5B" w14:textId="31D6AD93" w:rsidR="008E3E71" w:rsidRDefault="00913B15" w:rsidP="008E3E71">
            <w:pPr>
              <w:tabs>
                <w:tab w:val="left" w:pos="5400"/>
              </w:tabs>
              <w:spacing w:line="240" w:lineRule="auto"/>
              <w:jc w:val="right"/>
            </w:pPr>
            <w:r>
              <w:t>571</w:t>
            </w:r>
          </w:p>
        </w:tc>
      </w:tr>
      <w:tr w:rsidR="008E3E71" w14:paraId="24A6BA04" w14:textId="77777777" w:rsidTr="008E3E71">
        <w:tc>
          <w:tcPr>
            <w:tcW w:w="0" w:type="auto"/>
          </w:tcPr>
          <w:p w14:paraId="5C4C939D" w14:textId="61B529C2" w:rsidR="008E3E71" w:rsidRDefault="008E3E71" w:rsidP="008E3E71">
            <w:pPr>
              <w:tabs>
                <w:tab w:val="left" w:pos="5400"/>
              </w:tabs>
              <w:spacing w:line="240" w:lineRule="auto"/>
            </w:pPr>
            <w:r>
              <w:t>August 2024</w:t>
            </w:r>
          </w:p>
        </w:tc>
        <w:tc>
          <w:tcPr>
            <w:tcW w:w="0" w:type="auto"/>
          </w:tcPr>
          <w:p w14:paraId="00C7C4F5" w14:textId="3EDB8CED" w:rsidR="008E3E71" w:rsidRDefault="00913B15" w:rsidP="008E3E71">
            <w:pPr>
              <w:tabs>
                <w:tab w:val="left" w:pos="5400"/>
              </w:tabs>
              <w:spacing w:line="240" w:lineRule="auto"/>
              <w:jc w:val="right"/>
            </w:pPr>
            <w:r>
              <w:t>1232</w:t>
            </w:r>
          </w:p>
        </w:tc>
        <w:tc>
          <w:tcPr>
            <w:tcW w:w="0" w:type="auto"/>
          </w:tcPr>
          <w:p w14:paraId="0ADB9318" w14:textId="63F26F62" w:rsidR="008E3E71" w:rsidRDefault="00913B15" w:rsidP="008E3E71">
            <w:pPr>
              <w:tabs>
                <w:tab w:val="left" w:pos="5400"/>
              </w:tabs>
              <w:spacing w:line="240" w:lineRule="auto"/>
              <w:jc w:val="right"/>
            </w:pPr>
            <w:r>
              <w:t>842</w:t>
            </w:r>
          </w:p>
        </w:tc>
      </w:tr>
      <w:tr w:rsidR="008E3E71" w14:paraId="636E6E27" w14:textId="77777777" w:rsidTr="008E3E71">
        <w:tc>
          <w:tcPr>
            <w:tcW w:w="0" w:type="auto"/>
          </w:tcPr>
          <w:p w14:paraId="63345E38" w14:textId="73F2967E" w:rsidR="008E3E71" w:rsidRDefault="008E3E71" w:rsidP="008E3E71">
            <w:pPr>
              <w:tabs>
                <w:tab w:val="left" w:pos="5400"/>
              </w:tabs>
              <w:spacing w:line="240" w:lineRule="auto"/>
            </w:pPr>
            <w:r>
              <w:t>September 2024</w:t>
            </w:r>
          </w:p>
        </w:tc>
        <w:tc>
          <w:tcPr>
            <w:tcW w:w="0" w:type="auto"/>
          </w:tcPr>
          <w:p w14:paraId="6B0F7DEB" w14:textId="366CB99A" w:rsidR="008E3E71" w:rsidRDefault="00913B15" w:rsidP="008E3E71">
            <w:pPr>
              <w:tabs>
                <w:tab w:val="left" w:pos="5400"/>
              </w:tabs>
              <w:spacing w:line="240" w:lineRule="auto"/>
              <w:jc w:val="right"/>
            </w:pPr>
            <w:r>
              <w:t>1634</w:t>
            </w:r>
          </w:p>
        </w:tc>
        <w:tc>
          <w:tcPr>
            <w:tcW w:w="0" w:type="auto"/>
          </w:tcPr>
          <w:p w14:paraId="4C5E945C" w14:textId="1266E2DC" w:rsidR="008E3E71" w:rsidRDefault="00913B15" w:rsidP="008E3E71">
            <w:pPr>
              <w:tabs>
                <w:tab w:val="left" w:pos="5400"/>
              </w:tabs>
              <w:spacing w:line="240" w:lineRule="auto"/>
              <w:jc w:val="right"/>
            </w:pPr>
            <w:r>
              <w:t>1149</w:t>
            </w:r>
          </w:p>
        </w:tc>
      </w:tr>
      <w:tr w:rsidR="008E3E71" w14:paraId="5847C196" w14:textId="77777777" w:rsidTr="008E3E71">
        <w:tc>
          <w:tcPr>
            <w:tcW w:w="0" w:type="auto"/>
          </w:tcPr>
          <w:p w14:paraId="6CAFF758" w14:textId="243CA402" w:rsidR="008E3E71" w:rsidRDefault="008E3E71" w:rsidP="008E3E71">
            <w:pPr>
              <w:tabs>
                <w:tab w:val="left" w:pos="5400"/>
              </w:tabs>
              <w:spacing w:line="240" w:lineRule="auto"/>
            </w:pPr>
            <w:r>
              <w:t>October 2024</w:t>
            </w:r>
          </w:p>
        </w:tc>
        <w:tc>
          <w:tcPr>
            <w:tcW w:w="0" w:type="auto"/>
          </w:tcPr>
          <w:p w14:paraId="35B0CD80" w14:textId="41511BA1" w:rsidR="008E3E71" w:rsidRDefault="00913B15" w:rsidP="008E3E71">
            <w:pPr>
              <w:tabs>
                <w:tab w:val="left" w:pos="5400"/>
              </w:tabs>
              <w:spacing w:line="240" w:lineRule="auto"/>
              <w:jc w:val="right"/>
            </w:pPr>
            <w:r>
              <w:t>1999</w:t>
            </w:r>
          </w:p>
        </w:tc>
        <w:tc>
          <w:tcPr>
            <w:tcW w:w="0" w:type="auto"/>
          </w:tcPr>
          <w:p w14:paraId="5AC87BF1" w14:textId="2F373C24" w:rsidR="008E3E71" w:rsidRDefault="00913B15" w:rsidP="008E3E71">
            <w:pPr>
              <w:tabs>
                <w:tab w:val="left" w:pos="5400"/>
              </w:tabs>
              <w:spacing w:line="240" w:lineRule="auto"/>
              <w:jc w:val="right"/>
            </w:pPr>
            <w:r>
              <w:t>1373</w:t>
            </w:r>
          </w:p>
        </w:tc>
      </w:tr>
      <w:tr w:rsidR="008E3E71" w14:paraId="0A0AFDF2" w14:textId="77777777" w:rsidTr="008E3E71">
        <w:tc>
          <w:tcPr>
            <w:tcW w:w="0" w:type="auto"/>
          </w:tcPr>
          <w:p w14:paraId="4B56C549" w14:textId="2B95FAB3" w:rsidR="008E3E71" w:rsidRDefault="008E3E71" w:rsidP="008E3E71">
            <w:pPr>
              <w:tabs>
                <w:tab w:val="left" w:pos="5400"/>
              </w:tabs>
              <w:spacing w:line="240" w:lineRule="auto"/>
            </w:pPr>
            <w:r>
              <w:t>November 2024</w:t>
            </w:r>
          </w:p>
        </w:tc>
        <w:tc>
          <w:tcPr>
            <w:tcW w:w="0" w:type="auto"/>
          </w:tcPr>
          <w:p w14:paraId="5ADB659D" w14:textId="5C9F1B33" w:rsidR="008E3E71" w:rsidRDefault="00913B15" w:rsidP="008E3E71">
            <w:pPr>
              <w:tabs>
                <w:tab w:val="left" w:pos="5400"/>
              </w:tabs>
              <w:spacing w:line="240" w:lineRule="auto"/>
              <w:jc w:val="right"/>
            </w:pPr>
            <w:r>
              <w:t>2407</w:t>
            </w:r>
          </w:p>
        </w:tc>
        <w:tc>
          <w:tcPr>
            <w:tcW w:w="0" w:type="auto"/>
          </w:tcPr>
          <w:p w14:paraId="2DD61C5E" w14:textId="3AFB6945" w:rsidR="008E3E71" w:rsidRDefault="00913B15" w:rsidP="008E3E71">
            <w:pPr>
              <w:tabs>
                <w:tab w:val="left" w:pos="5400"/>
              </w:tabs>
              <w:spacing w:line="240" w:lineRule="auto"/>
              <w:jc w:val="right"/>
            </w:pPr>
            <w:r>
              <w:t>1582</w:t>
            </w:r>
          </w:p>
        </w:tc>
      </w:tr>
      <w:tr w:rsidR="008E3E71" w14:paraId="37261452" w14:textId="77777777" w:rsidTr="008E3E71">
        <w:tc>
          <w:tcPr>
            <w:tcW w:w="0" w:type="auto"/>
          </w:tcPr>
          <w:p w14:paraId="1FD79849" w14:textId="3B5D8851" w:rsidR="008E3E71" w:rsidRDefault="008E3E71" w:rsidP="008E3E71">
            <w:pPr>
              <w:tabs>
                <w:tab w:val="left" w:pos="5400"/>
              </w:tabs>
              <w:spacing w:line="240" w:lineRule="auto"/>
            </w:pPr>
            <w:r>
              <w:t>December 2024</w:t>
            </w:r>
          </w:p>
        </w:tc>
        <w:tc>
          <w:tcPr>
            <w:tcW w:w="0" w:type="auto"/>
          </w:tcPr>
          <w:p w14:paraId="2CF9F3D3" w14:textId="7ACDE722" w:rsidR="008E3E71" w:rsidRDefault="00913B15" w:rsidP="008E3E71">
            <w:pPr>
              <w:tabs>
                <w:tab w:val="left" w:pos="5400"/>
              </w:tabs>
              <w:spacing w:line="240" w:lineRule="auto"/>
              <w:jc w:val="right"/>
            </w:pPr>
            <w:r>
              <w:t>2900</w:t>
            </w:r>
          </w:p>
        </w:tc>
        <w:tc>
          <w:tcPr>
            <w:tcW w:w="0" w:type="auto"/>
          </w:tcPr>
          <w:p w14:paraId="0C0BAE30" w14:textId="3AB483D3" w:rsidR="008E3E71" w:rsidRDefault="00913B15" w:rsidP="008E3E71">
            <w:pPr>
              <w:tabs>
                <w:tab w:val="left" w:pos="5400"/>
              </w:tabs>
              <w:spacing w:line="240" w:lineRule="auto"/>
              <w:jc w:val="right"/>
            </w:pPr>
            <w:r>
              <w:t>2003</w:t>
            </w:r>
          </w:p>
        </w:tc>
      </w:tr>
      <w:tr w:rsidR="008E3E71" w14:paraId="026F03AD" w14:textId="77777777" w:rsidTr="008E3E71">
        <w:tc>
          <w:tcPr>
            <w:tcW w:w="0" w:type="auto"/>
          </w:tcPr>
          <w:p w14:paraId="763A6544" w14:textId="16E62654" w:rsidR="008E3E71" w:rsidRDefault="008E3E71" w:rsidP="008E3E71">
            <w:pPr>
              <w:tabs>
                <w:tab w:val="left" w:pos="5400"/>
              </w:tabs>
              <w:spacing w:line="240" w:lineRule="auto"/>
            </w:pPr>
            <w:r>
              <w:t>January 2025</w:t>
            </w:r>
          </w:p>
        </w:tc>
        <w:tc>
          <w:tcPr>
            <w:tcW w:w="0" w:type="auto"/>
          </w:tcPr>
          <w:p w14:paraId="394BCEE0" w14:textId="6487A0C6" w:rsidR="008E3E71" w:rsidRDefault="00913B15" w:rsidP="008E3E71">
            <w:pPr>
              <w:tabs>
                <w:tab w:val="left" w:pos="5400"/>
              </w:tabs>
              <w:spacing w:line="240" w:lineRule="auto"/>
              <w:jc w:val="right"/>
            </w:pPr>
            <w:r>
              <w:t>3599</w:t>
            </w:r>
          </w:p>
        </w:tc>
        <w:tc>
          <w:tcPr>
            <w:tcW w:w="0" w:type="auto"/>
          </w:tcPr>
          <w:p w14:paraId="2C4C33E1" w14:textId="1D5F8797" w:rsidR="008E3E71" w:rsidRDefault="00913B15" w:rsidP="008E3E71">
            <w:pPr>
              <w:tabs>
                <w:tab w:val="left" w:pos="5400"/>
              </w:tabs>
              <w:spacing w:line="240" w:lineRule="auto"/>
              <w:jc w:val="right"/>
            </w:pPr>
            <w:r>
              <w:t>2476</w:t>
            </w:r>
          </w:p>
        </w:tc>
      </w:tr>
      <w:tr w:rsidR="008E3E71" w14:paraId="7F1085A6" w14:textId="77777777" w:rsidTr="008E3E71">
        <w:tc>
          <w:tcPr>
            <w:tcW w:w="0" w:type="auto"/>
          </w:tcPr>
          <w:p w14:paraId="56958BBE" w14:textId="7789EEA8" w:rsidR="008E3E71" w:rsidRDefault="008E3E71" w:rsidP="008E3E71">
            <w:pPr>
              <w:tabs>
                <w:tab w:val="left" w:pos="5400"/>
              </w:tabs>
              <w:spacing w:line="240" w:lineRule="auto"/>
            </w:pPr>
            <w:r>
              <w:t>February 2025</w:t>
            </w:r>
          </w:p>
        </w:tc>
        <w:tc>
          <w:tcPr>
            <w:tcW w:w="0" w:type="auto"/>
          </w:tcPr>
          <w:p w14:paraId="421EE173" w14:textId="0B856CAC" w:rsidR="008E3E71" w:rsidRDefault="00913B15" w:rsidP="008E3E71">
            <w:pPr>
              <w:tabs>
                <w:tab w:val="left" w:pos="5400"/>
              </w:tabs>
              <w:spacing w:line="240" w:lineRule="auto"/>
              <w:jc w:val="right"/>
            </w:pPr>
            <w:r>
              <w:t>5165</w:t>
            </w:r>
          </w:p>
        </w:tc>
        <w:tc>
          <w:tcPr>
            <w:tcW w:w="0" w:type="auto"/>
          </w:tcPr>
          <w:p w14:paraId="35BBC20F" w14:textId="74E8433E" w:rsidR="008E3E71" w:rsidRDefault="00913B15" w:rsidP="008E3E71">
            <w:pPr>
              <w:tabs>
                <w:tab w:val="left" w:pos="5400"/>
              </w:tabs>
              <w:spacing w:line="240" w:lineRule="auto"/>
              <w:jc w:val="right"/>
            </w:pPr>
            <w:r>
              <w:t>3473</w:t>
            </w:r>
          </w:p>
        </w:tc>
      </w:tr>
      <w:tr w:rsidR="008E3E71" w14:paraId="32661F6D" w14:textId="77777777" w:rsidTr="008E3E71">
        <w:tc>
          <w:tcPr>
            <w:tcW w:w="0" w:type="auto"/>
          </w:tcPr>
          <w:p w14:paraId="6C4A67F2" w14:textId="010971BA" w:rsidR="008E3E71" w:rsidRDefault="008E3E71" w:rsidP="008E3E71">
            <w:pPr>
              <w:tabs>
                <w:tab w:val="left" w:pos="5400"/>
              </w:tabs>
              <w:spacing w:line="240" w:lineRule="auto"/>
            </w:pPr>
            <w:r>
              <w:t>March 2025</w:t>
            </w:r>
          </w:p>
        </w:tc>
        <w:tc>
          <w:tcPr>
            <w:tcW w:w="0" w:type="auto"/>
          </w:tcPr>
          <w:p w14:paraId="7D82950A" w14:textId="03FC7FEF" w:rsidR="008E3E71" w:rsidRDefault="00913B15" w:rsidP="008E3E71">
            <w:pPr>
              <w:tabs>
                <w:tab w:val="left" w:pos="5400"/>
              </w:tabs>
              <w:spacing w:line="240" w:lineRule="auto"/>
              <w:jc w:val="right"/>
            </w:pPr>
            <w:r>
              <w:t>6738</w:t>
            </w:r>
          </w:p>
        </w:tc>
        <w:tc>
          <w:tcPr>
            <w:tcW w:w="0" w:type="auto"/>
          </w:tcPr>
          <w:p w14:paraId="159C90A7" w14:textId="7465F8DA" w:rsidR="008E3E71" w:rsidRDefault="00913B15" w:rsidP="008E3E71">
            <w:pPr>
              <w:tabs>
                <w:tab w:val="left" w:pos="5400"/>
              </w:tabs>
              <w:spacing w:line="240" w:lineRule="auto"/>
              <w:jc w:val="right"/>
            </w:pPr>
            <w:r>
              <w:t>4616</w:t>
            </w:r>
          </w:p>
        </w:tc>
      </w:tr>
      <w:tr w:rsidR="008E3E71" w14:paraId="3E5A0358" w14:textId="77777777" w:rsidTr="008E3E71">
        <w:tc>
          <w:tcPr>
            <w:tcW w:w="0" w:type="auto"/>
          </w:tcPr>
          <w:p w14:paraId="7D4666B2" w14:textId="30C8499E" w:rsidR="008E3E71" w:rsidRDefault="008E3E71" w:rsidP="008E3E71">
            <w:pPr>
              <w:tabs>
                <w:tab w:val="left" w:pos="5400"/>
              </w:tabs>
              <w:spacing w:line="240" w:lineRule="auto"/>
            </w:pPr>
            <w:r>
              <w:t>April 2025</w:t>
            </w:r>
          </w:p>
        </w:tc>
        <w:tc>
          <w:tcPr>
            <w:tcW w:w="0" w:type="auto"/>
          </w:tcPr>
          <w:p w14:paraId="10DEBEB1" w14:textId="68665C0C" w:rsidR="008E3E71" w:rsidRDefault="00913B15" w:rsidP="008E3E71">
            <w:pPr>
              <w:tabs>
                <w:tab w:val="left" w:pos="5400"/>
              </w:tabs>
              <w:spacing w:line="240" w:lineRule="auto"/>
              <w:jc w:val="right"/>
            </w:pPr>
            <w:r>
              <w:t>8321</w:t>
            </w:r>
          </w:p>
        </w:tc>
        <w:tc>
          <w:tcPr>
            <w:tcW w:w="0" w:type="auto"/>
          </w:tcPr>
          <w:p w14:paraId="4C4641E0" w14:textId="22B59FF6" w:rsidR="008E3E71" w:rsidRDefault="00913B15" w:rsidP="008E3E71">
            <w:pPr>
              <w:tabs>
                <w:tab w:val="left" w:pos="5400"/>
              </w:tabs>
              <w:spacing w:line="240" w:lineRule="auto"/>
              <w:jc w:val="right"/>
            </w:pPr>
            <w:r>
              <w:t>5658</w:t>
            </w:r>
          </w:p>
        </w:tc>
      </w:tr>
      <w:tr w:rsidR="008E3E71" w14:paraId="1EAD3B1F" w14:textId="77777777" w:rsidTr="008E3E71">
        <w:tc>
          <w:tcPr>
            <w:tcW w:w="0" w:type="auto"/>
          </w:tcPr>
          <w:p w14:paraId="5CAC75B0" w14:textId="6FF1F73E" w:rsidR="008E3E71" w:rsidRDefault="008E3E71" w:rsidP="008E3E71">
            <w:pPr>
              <w:tabs>
                <w:tab w:val="left" w:pos="5400"/>
              </w:tabs>
              <w:spacing w:line="240" w:lineRule="auto"/>
            </w:pPr>
            <w:r>
              <w:t>May 2025</w:t>
            </w:r>
          </w:p>
        </w:tc>
        <w:tc>
          <w:tcPr>
            <w:tcW w:w="0" w:type="auto"/>
          </w:tcPr>
          <w:p w14:paraId="5F2BD6E0" w14:textId="062806EE" w:rsidR="008E3E71" w:rsidRDefault="00913B15" w:rsidP="008E3E71">
            <w:pPr>
              <w:tabs>
                <w:tab w:val="left" w:pos="5400"/>
              </w:tabs>
              <w:spacing w:line="240" w:lineRule="auto"/>
              <w:jc w:val="right"/>
            </w:pPr>
            <w:r>
              <w:t>9424</w:t>
            </w:r>
          </w:p>
        </w:tc>
        <w:tc>
          <w:tcPr>
            <w:tcW w:w="0" w:type="auto"/>
          </w:tcPr>
          <w:p w14:paraId="2FDF2578" w14:textId="70671789" w:rsidR="008E3E71" w:rsidRDefault="00913B15" w:rsidP="008E3E71">
            <w:pPr>
              <w:tabs>
                <w:tab w:val="left" w:pos="5400"/>
              </w:tabs>
              <w:spacing w:line="240" w:lineRule="auto"/>
              <w:jc w:val="right"/>
            </w:pPr>
            <w:r>
              <w:t>6426</w:t>
            </w:r>
          </w:p>
        </w:tc>
      </w:tr>
      <w:tr w:rsidR="008E3E71" w14:paraId="1C65E4DD" w14:textId="77777777" w:rsidTr="008E3E71">
        <w:tc>
          <w:tcPr>
            <w:tcW w:w="0" w:type="auto"/>
          </w:tcPr>
          <w:p w14:paraId="67A82F57" w14:textId="2FAA6944" w:rsidR="008E3E71" w:rsidRDefault="008E3E71" w:rsidP="008E3E71">
            <w:pPr>
              <w:tabs>
                <w:tab w:val="left" w:pos="5400"/>
              </w:tabs>
              <w:spacing w:line="240" w:lineRule="auto"/>
            </w:pPr>
            <w:r>
              <w:t>June 2025</w:t>
            </w:r>
          </w:p>
        </w:tc>
        <w:tc>
          <w:tcPr>
            <w:tcW w:w="0" w:type="auto"/>
          </w:tcPr>
          <w:p w14:paraId="3A2D0AAD" w14:textId="0C504EFD" w:rsidR="008E3E71" w:rsidRDefault="00913B15" w:rsidP="008E3E71">
            <w:pPr>
              <w:tabs>
                <w:tab w:val="left" w:pos="5400"/>
              </w:tabs>
              <w:spacing w:line="240" w:lineRule="auto"/>
              <w:jc w:val="right"/>
            </w:pPr>
            <w:r>
              <w:t>10018</w:t>
            </w:r>
          </w:p>
        </w:tc>
        <w:tc>
          <w:tcPr>
            <w:tcW w:w="0" w:type="auto"/>
          </w:tcPr>
          <w:p w14:paraId="6CFF622A" w14:textId="364395C0" w:rsidR="008E3E71" w:rsidRDefault="00913B15" w:rsidP="008E3E71">
            <w:pPr>
              <w:tabs>
                <w:tab w:val="left" w:pos="5400"/>
              </w:tabs>
              <w:spacing w:line="240" w:lineRule="auto"/>
              <w:jc w:val="right"/>
            </w:pPr>
            <w:r>
              <w:t>6743</w:t>
            </w:r>
          </w:p>
        </w:tc>
      </w:tr>
      <w:tr w:rsidR="008E3E71" w14:paraId="059B287A" w14:textId="77777777" w:rsidTr="008E3E71">
        <w:tc>
          <w:tcPr>
            <w:tcW w:w="0" w:type="auto"/>
          </w:tcPr>
          <w:p w14:paraId="500636F4" w14:textId="0C209A0B" w:rsidR="008E3E71" w:rsidRPr="008E3E71" w:rsidRDefault="008E3E71" w:rsidP="008E3E71">
            <w:pPr>
              <w:tabs>
                <w:tab w:val="left" w:pos="5400"/>
              </w:tabs>
              <w:spacing w:line="240" w:lineRule="auto"/>
              <w:jc w:val="right"/>
              <w:rPr>
                <w:b/>
                <w:bCs/>
              </w:rPr>
            </w:pPr>
            <w:r w:rsidRPr="008E3E71">
              <w:rPr>
                <w:b/>
                <w:bCs/>
              </w:rPr>
              <w:t>Total</w:t>
            </w:r>
          </w:p>
        </w:tc>
        <w:tc>
          <w:tcPr>
            <w:tcW w:w="0" w:type="auto"/>
          </w:tcPr>
          <w:p w14:paraId="1977178B" w14:textId="1EFF6211" w:rsidR="008E3E71" w:rsidRPr="008E3E71" w:rsidRDefault="00913B15" w:rsidP="008E3E71">
            <w:pPr>
              <w:tabs>
                <w:tab w:val="left" w:pos="5400"/>
              </w:tabs>
              <w:spacing w:line="240" w:lineRule="auto"/>
              <w:jc w:val="right"/>
              <w:rPr>
                <w:b/>
                <w:bCs/>
              </w:rPr>
            </w:pPr>
            <w:r>
              <w:rPr>
                <w:b/>
                <w:bCs/>
              </w:rPr>
              <w:t>56096</w:t>
            </w:r>
          </w:p>
        </w:tc>
        <w:tc>
          <w:tcPr>
            <w:tcW w:w="0" w:type="auto"/>
          </w:tcPr>
          <w:p w14:paraId="08CEEE5D" w14:textId="5EE9F53B" w:rsidR="008E3E71" w:rsidRPr="008E3E71" w:rsidRDefault="00913B15" w:rsidP="008E3E71">
            <w:pPr>
              <w:tabs>
                <w:tab w:val="left" w:pos="5400"/>
              </w:tabs>
              <w:spacing w:line="240" w:lineRule="auto"/>
              <w:jc w:val="right"/>
              <w:rPr>
                <w:b/>
                <w:bCs/>
              </w:rPr>
            </w:pPr>
            <w:r>
              <w:rPr>
                <w:b/>
                <w:bCs/>
              </w:rPr>
              <w:t>38205</w:t>
            </w:r>
          </w:p>
        </w:tc>
      </w:tr>
    </w:tbl>
    <w:p w14:paraId="63444A1F" w14:textId="77777777" w:rsidR="008E3E71" w:rsidRPr="00B11A55" w:rsidRDefault="008E3E71" w:rsidP="008E3E71">
      <w:pPr>
        <w:tabs>
          <w:tab w:val="left" w:pos="5400"/>
        </w:tabs>
      </w:pPr>
    </w:p>
    <w:p w14:paraId="33EC48E8" w14:textId="77777777" w:rsidR="004B5D2A" w:rsidRDefault="004B5D2A" w:rsidP="004B5D2A">
      <w:pPr>
        <w:tabs>
          <w:tab w:val="left" w:pos="5400"/>
        </w:tabs>
        <w:rPr>
          <w:rFonts w:eastAsiaTheme="majorEastAsia" w:cstheme="majorBidi"/>
          <w:b/>
          <w:color w:val="000000" w:themeColor="text1"/>
          <w:szCs w:val="26"/>
        </w:rPr>
      </w:pPr>
      <w:r w:rsidRPr="004B5D2A">
        <w:rPr>
          <w:rFonts w:eastAsiaTheme="majorEastAsia" w:cstheme="majorBidi"/>
          <w:b/>
          <w:color w:val="000000" w:themeColor="text1"/>
          <w:szCs w:val="26"/>
        </w:rPr>
        <w:lastRenderedPageBreak/>
        <w:t>- Average end-to-end processing times for public submissions (from request issuance to evidence ingestion), compared against any benchmarks for automated portals (e.g., Operation Snap).</w:t>
      </w:r>
    </w:p>
    <w:p w14:paraId="0297BB89" w14:textId="0543764F" w:rsidR="00120FA2" w:rsidRPr="004B5D2A" w:rsidRDefault="00120FA2" w:rsidP="004B5D2A">
      <w:pPr>
        <w:tabs>
          <w:tab w:val="left" w:pos="5400"/>
        </w:tabs>
        <w:rPr>
          <w:rFonts w:eastAsiaTheme="majorEastAsia" w:cstheme="majorBidi"/>
          <w:b/>
          <w:color w:val="000000" w:themeColor="text1"/>
          <w:szCs w:val="26"/>
        </w:rPr>
      </w:pPr>
      <w:r w:rsidRPr="00120FA2">
        <w:rPr>
          <w:rFonts w:eastAsiaTheme="majorEastAsia" w:cstheme="majorBidi"/>
          <w:bCs/>
          <w:color w:val="000000" w:themeColor="text1"/>
          <w:szCs w:val="26"/>
        </w:rPr>
        <w:t>We do not analyse timings for public submissions or compare</w:t>
      </w:r>
      <w:r>
        <w:rPr>
          <w:rFonts w:eastAsiaTheme="majorEastAsia" w:cstheme="majorBidi"/>
          <w:bCs/>
          <w:color w:val="000000" w:themeColor="text1"/>
          <w:szCs w:val="26"/>
        </w:rPr>
        <w:t xml:space="preserve">/ </w:t>
      </w:r>
      <w:r w:rsidRPr="00120FA2">
        <w:rPr>
          <w:rFonts w:eastAsiaTheme="majorEastAsia" w:cstheme="majorBidi"/>
          <w:bCs/>
          <w:color w:val="000000" w:themeColor="text1"/>
          <w:szCs w:val="26"/>
        </w:rPr>
        <w:t>benchmark against other automated portals e.g. Op</w:t>
      </w:r>
      <w:r>
        <w:rPr>
          <w:rFonts w:eastAsiaTheme="majorEastAsia" w:cstheme="majorBidi"/>
          <w:bCs/>
          <w:color w:val="000000" w:themeColor="text1"/>
          <w:szCs w:val="26"/>
        </w:rPr>
        <w:t>eration</w:t>
      </w:r>
      <w:r w:rsidRPr="00120FA2">
        <w:rPr>
          <w:rFonts w:eastAsiaTheme="majorEastAsia" w:cstheme="majorBidi"/>
          <w:bCs/>
          <w:color w:val="000000" w:themeColor="text1"/>
          <w:szCs w:val="26"/>
        </w:rPr>
        <w:t xml:space="preserve"> SNAP as they are not comparable</w:t>
      </w:r>
      <w:r w:rsidR="00477273">
        <w:rPr>
          <w:rFonts w:eastAsiaTheme="majorEastAsia" w:cstheme="majorBidi"/>
          <w:bCs/>
          <w:color w:val="000000" w:themeColor="text1"/>
          <w:szCs w:val="26"/>
        </w:rPr>
        <w:t xml:space="preserve"> to the DESC service</w:t>
      </w:r>
      <w:r w:rsidRPr="00120FA2">
        <w:rPr>
          <w:rFonts w:eastAsiaTheme="majorEastAsia" w:cstheme="majorBidi"/>
          <w:bCs/>
          <w:color w:val="000000" w:themeColor="text1"/>
          <w:szCs w:val="26"/>
        </w:rPr>
        <w:t>.</w:t>
      </w:r>
      <w:r>
        <w:rPr>
          <w:rFonts w:eastAsiaTheme="majorEastAsia" w:cstheme="majorBidi"/>
          <w:bCs/>
          <w:color w:val="000000" w:themeColor="text1"/>
          <w:szCs w:val="26"/>
        </w:rPr>
        <w:t xml:space="preserve"> As such,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0AB5B08B" w14:textId="77777777" w:rsidR="004B5D2A" w:rsidRDefault="004B5D2A" w:rsidP="004B5D2A">
      <w:pPr>
        <w:tabs>
          <w:tab w:val="left" w:pos="5400"/>
        </w:tabs>
        <w:rPr>
          <w:rFonts w:eastAsiaTheme="majorEastAsia" w:cstheme="majorBidi"/>
          <w:b/>
          <w:color w:val="000000" w:themeColor="text1"/>
          <w:szCs w:val="26"/>
        </w:rPr>
      </w:pPr>
      <w:r w:rsidRPr="004B5D2A">
        <w:rPr>
          <w:rFonts w:eastAsiaTheme="majorEastAsia" w:cstheme="majorBidi"/>
          <w:b/>
          <w:color w:val="000000" w:themeColor="text1"/>
          <w:szCs w:val="26"/>
        </w:rPr>
        <w:t>- Copies of all training materials, standard operating procedures, or guidance issued to officers for managing public video evidence submissions.</w:t>
      </w:r>
    </w:p>
    <w:p w14:paraId="1E105BAD" w14:textId="34C4DF71" w:rsidR="00120FA2" w:rsidRDefault="00120FA2" w:rsidP="00120FA2">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77428A2D" w14:textId="2B0E1B90" w:rsidR="004B5D2A" w:rsidRPr="004B5D2A" w:rsidRDefault="00120FA2" w:rsidP="00120FA2">
      <w:pPr>
        <w:rPr>
          <w:rFonts w:eastAsiaTheme="majorEastAsia" w:cstheme="majorBidi"/>
          <w:b/>
          <w:color w:val="000000" w:themeColor="text1"/>
          <w:szCs w:val="26"/>
        </w:rPr>
      </w:pPr>
      <w:r>
        <w:t xml:space="preserve">This information is not held centrally and would require a manual search of </w:t>
      </w:r>
      <w:r w:rsidR="00477273">
        <w:t xml:space="preserve">multiple </w:t>
      </w:r>
      <w:r>
        <w:t>systems to retrieve all the documents requested for the time period of your request. An exercise which I estimate would far exceed the cost limit set out in the Fees regulations.</w:t>
      </w:r>
    </w:p>
    <w:p w14:paraId="4EBBDDB4" w14:textId="77777777" w:rsidR="004B5D2A" w:rsidRPr="004B5D2A" w:rsidRDefault="004B5D2A" w:rsidP="004B5D2A">
      <w:pPr>
        <w:tabs>
          <w:tab w:val="left" w:pos="5400"/>
        </w:tabs>
        <w:rPr>
          <w:rFonts w:eastAsiaTheme="majorEastAsia" w:cstheme="majorBidi"/>
          <w:b/>
          <w:color w:val="000000" w:themeColor="text1"/>
          <w:szCs w:val="26"/>
        </w:rPr>
      </w:pPr>
      <w:r w:rsidRPr="004B5D2A">
        <w:rPr>
          <w:rFonts w:eastAsiaTheme="majorEastAsia" w:cstheme="majorBidi"/>
          <w:b/>
          <w:color w:val="000000" w:themeColor="text1"/>
          <w:szCs w:val="26"/>
        </w:rPr>
        <w:t>3. Performance Measurement &amp; Evaluation</w:t>
      </w:r>
    </w:p>
    <w:p w14:paraId="183517E3" w14:textId="77777777" w:rsidR="004B5D2A" w:rsidRDefault="004B5D2A" w:rsidP="004B5D2A">
      <w:pPr>
        <w:tabs>
          <w:tab w:val="left" w:pos="5400"/>
        </w:tabs>
        <w:rPr>
          <w:rFonts w:eastAsiaTheme="majorEastAsia" w:cstheme="majorBidi"/>
          <w:b/>
          <w:color w:val="000000" w:themeColor="text1"/>
          <w:szCs w:val="26"/>
        </w:rPr>
      </w:pPr>
      <w:r w:rsidRPr="004B5D2A">
        <w:rPr>
          <w:rFonts w:eastAsiaTheme="majorEastAsia" w:cstheme="majorBidi"/>
          <w:b/>
          <w:color w:val="000000" w:themeColor="text1"/>
          <w:szCs w:val="26"/>
        </w:rPr>
        <w:t>- Documents setting out the performance metrics or KPIs Police Scotland will use to assess public video</w:t>
      </w:r>
      <w:r w:rsidRPr="004B5D2A">
        <w:rPr>
          <w:rFonts w:ascii="Cambria Math" w:eastAsiaTheme="majorEastAsia" w:hAnsi="Cambria Math" w:cs="Cambria Math"/>
          <w:b/>
          <w:color w:val="000000" w:themeColor="text1"/>
          <w:szCs w:val="26"/>
        </w:rPr>
        <w:t>‐</w:t>
      </w:r>
      <w:r w:rsidRPr="004B5D2A">
        <w:rPr>
          <w:rFonts w:eastAsiaTheme="majorEastAsia" w:cstheme="majorBidi"/>
          <w:b/>
          <w:color w:val="000000" w:themeColor="text1"/>
          <w:szCs w:val="26"/>
        </w:rPr>
        <w:t>submission functionality (e.g., submission volumes, case outcomes, user satisfaction).</w:t>
      </w:r>
    </w:p>
    <w:p w14:paraId="6103BCAC" w14:textId="77777777" w:rsidR="00D1758D" w:rsidRDefault="00D1758D" w:rsidP="00477273">
      <w:r>
        <w:t xml:space="preserve">Submissions volumes are detailed in the above table regarding Q2. </w:t>
      </w:r>
    </w:p>
    <w:p w14:paraId="3C99037C" w14:textId="77777777" w:rsidR="00477273" w:rsidRPr="00477273" w:rsidRDefault="00477273" w:rsidP="00477273">
      <w:r w:rsidRPr="00477273">
        <w:t xml:space="preserve">DESC is still in the project phase, it is not yet fully rolled out across Police Scotland. </w:t>
      </w:r>
    </w:p>
    <w:p w14:paraId="55277600" w14:textId="77777777" w:rsidR="00477273" w:rsidRPr="00477273" w:rsidRDefault="00477273" w:rsidP="00477273">
      <w:r w:rsidRPr="00477273">
        <w:t xml:space="preserve">Benefits are being measured in relation to the effectiveness of DESC, not public video submission functionality: </w:t>
      </w:r>
    </w:p>
    <w:p w14:paraId="65E6C28D" w14:textId="77777777" w:rsidR="00477273" w:rsidRPr="00477273" w:rsidRDefault="00477273" w:rsidP="00477273">
      <w:pPr>
        <w:pStyle w:val="ListParagraph"/>
        <w:numPr>
          <w:ilvl w:val="0"/>
          <w:numId w:val="3"/>
        </w:numPr>
      </w:pPr>
      <w:r w:rsidRPr="00477273">
        <w:t xml:space="preserve">Time savings for Police Officers not having to physically travel to collect digital evidence. </w:t>
      </w:r>
    </w:p>
    <w:p w14:paraId="60C29248" w14:textId="77777777" w:rsidR="00477273" w:rsidRPr="00477273" w:rsidRDefault="00477273" w:rsidP="00477273">
      <w:pPr>
        <w:pStyle w:val="ListParagraph"/>
        <w:numPr>
          <w:ilvl w:val="0"/>
          <w:numId w:val="3"/>
        </w:numPr>
      </w:pPr>
      <w:r w:rsidRPr="00477273">
        <w:t xml:space="preserve">Cost savings associated with procurement of removable media devices/discs. </w:t>
      </w:r>
    </w:p>
    <w:p w14:paraId="2372C60D" w14:textId="77777777" w:rsidR="00477273" w:rsidRPr="00477273" w:rsidRDefault="00477273" w:rsidP="00477273">
      <w:pPr>
        <w:pStyle w:val="ListParagraph"/>
        <w:numPr>
          <w:ilvl w:val="0"/>
          <w:numId w:val="3"/>
        </w:numPr>
      </w:pPr>
      <w:r w:rsidRPr="00477273">
        <w:t xml:space="preserve">Time savings for Production Staff not having to manage, store and transport physical digital evidence productions. </w:t>
      </w:r>
    </w:p>
    <w:p w14:paraId="052497CD" w14:textId="77777777" w:rsidR="00477273" w:rsidRPr="00477273" w:rsidRDefault="00477273" w:rsidP="00477273">
      <w:pPr>
        <w:pStyle w:val="ListParagraph"/>
        <w:numPr>
          <w:ilvl w:val="0"/>
          <w:numId w:val="3"/>
        </w:numPr>
      </w:pPr>
      <w:r w:rsidRPr="00477273">
        <w:t xml:space="preserve">Reduction in requests to and time savings by specialist units who undertaking formatting of discs for court. </w:t>
      </w:r>
    </w:p>
    <w:p w14:paraId="67E033FD" w14:textId="77777777" w:rsidR="00477273" w:rsidRPr="00477273" w:rsidRDefault="00477273" w:rsidP="00477273">
      <w:pPr>
        <w:pStyle w:val="ListParagraph"/>
        <w:numPr>
          <w:ilvl w:val="0"/>
          <w:numId w:val="3"/>
        </w:numPr>
      </w:pPr>
      <w:r w:rsidRPr="00477273">
        <w:lastRenderedPageBreak/>
        <w:t xml:space="preserve">Increased public and business accessibility and satisfaction when submitting digital evidence due to process/accessibility improvements – A survey was conducted with members of the public during pilot, another is planned. </w:t>
      </w:r>
    </w:p>
    <w:p w14:paraId="1F376AAC" w14:textId="77777777" w:rsidR="00477273" w:rsidRPr="00477273" w:rsidRDefault="00477273" w:rsidP="00477273">
      <w:pPr>
        <w:pStyle w:val="ListParagraph"/>
        <w:numPr>
          <w:ilvl w:val="0"/>
          <w:numId w:val="3"/>
        </w:numPr>
      </w:pPr>
      <w:r w:rsidRPr="00477273">
        <w:t>Increased public perception/confidence in evidence handling and gathering due to process improvements – A survey was conducted with members of the public during pilot, another is planned.</w:t>
      </w:r>
    </w:p>
    <w:p w14:paraId="00339342" w14:textId="2F269F6B" w:rsidR="00120FA2" w:rsidRPr="004B5D2A" w:rsidRDefault="00D1758D" w:rsidP="00477273">
      <w:r>
        <w:t xml:space="preserve">Case outcomes are not measured by Police Scotland, and as such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 Y</w:t>
      </w:r>
      <w:r>
        <w:t xml:space="preserve">ou may be able to obtain this from </w:t>
      </w:r>
      <w:r w:rsidRPr="00D1758D">
        <w:t>Crown Office and Procurator Fiscal Service</w:t>
      </w:r>
      <w:r>
        <w:t xml:space="preserve"> (COPFS).</w:t>
      </w:r>
    </w:p>
    <w:p w14:paraId="47E21C9B" w14:textId="77777777" w:rsidR="004B5D2A" w:rsidRPr="004B5D2A" w:rsidRDefault="004B5D2A" w:rsidP="004B5D2A">
      <w:pPr>
        <w:tabs>
          <w:tab w:val="left" w:pos="5400"/>
        </w:tabs>
        <w:rPr>
          <w:rFonts w:eastAsiaTheme="majorEastAsia" w:cstheme="majorBidi"/>
          <w:b/>
          <w:color w:val="000000" w:themeColor="text1"/>
          <w:szCs w:val="26"/>
        </w:rPr>
      </w:pPr>
      <w:r w:rsidRPr="004B5D2A">
        <w:rPr>
          <w:rFonts w:eastAsiaTheme="majorEastAsia" w:cstheme="majorBidi"/>
          <w:b/>
          <w:color w:val="000000" w:themeColor="text1"/>
          <w:szCs w:val="26"/>
        </w:rPr>
        <w:t>- Any gap analysis or comparative studies undertaken to benchmark DESC’s public submission performance against Nextbase/Operation Snap data.</w:t>
      </w:r>
    </w:p>
    <w:p w14:paraId="6E7B4C76" w14:textId="77777777" w:rsidR="004B5D2A" w:rsidRDefault="004B5D2A" w:rsidP="004B5D2A">
      <w:pPr>
        <w:tabs>
          <w:tab w:val="left" w:pos="5400"/>
        </w:tabs>
        <w:rPr>
          <w:rFonts w:eastAsiaTheme="majorEastAsia" w:cstheme="majorBidi"/>
          <w:b/>
          <w:color w:val="000000" w:themeColor="text1"/>
          <w:szCs w:val="26"/>
        </w:rPr>
      </w:pPr>
      <w:r w:rsidRPr="004B5D2A">
        <w:rPr>
          <w:rFonts w:eastAsiaTheme="majorEastAsia" w:cstheme="majorBidi"/>
          <w:b/>
          <w:color w:val="000000" w:themeColor="text1"/>
          <w:szCs w:val="26"/>
        </w:rPr>
        <w:t>- Draft or final public-reporting frameworks (e.g., quarterly or annual dashboards) for publishing DESC video evidence statistics.</w:t>
      </w:r>
    </w:p>
    <w:p w14:paraId="250124B9" w14:textId="0919DDD8" w:rsidR="00120FA2" w:rsidRDefault="00120FA2" w:rsidP="00776E5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An extensive search has been carried out on systems used by the DESC project team and no information was found meeting your request. As such,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108550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2A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20F254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2A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7FAE6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2A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5CB49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2A6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B7F732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2A6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C055E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2A6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A5658"/>
    <w:multiLevelType w:val="hybridMultilevel"/>
    <w:tmpl w:val="65A25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E5C0D"/>
    <w:multiLevelType w:val="hybridMultilevel"/>
    <w:tmpl w:val="53BE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468130798">
    <w:abstractNumId w:val="1"/>
  </w:num>
  <w:num w:numId="3" w16cid:durableId="74085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73F4"/>
    <w:rsid w:val="00051068"/>
    <w:rsid w:val="00090F3B"/>
    <w:rsid w:val="000E2F19"/>
    <w:rsid w:val="000E43FF"/>
    <w:rsid w:val="000E6526"/>
    <w:rsid w:val="00120FA2"/>
    <w:rsid w:val="00133D74"/>
    <w:rsid w:val="00141533"/>
    <w:rsid w:val="00167528"/>
    <w:rsid w:val="001838F5"/>
    <w:rsid w:val="00195CC4"/>
    <w:rsid w:val="001F2261"/>
    <w:rsid w:val="00207326"/>
    <w:rsid w:val="00253DF6"/>
    <w:rsid w:val="00255F1E"/>
    <w:rsid w:val="00260FBC"/>
    <w:rsid w:val="002764EA"/>
    <w:rsid w:val="002F0803"/>
    <w:rsid w:val="0036503B"/>
    <w:rsid w:val="00376A4A"/>
    <w:rsid w:val="00381234"/>
    <w:rsid w:val="00383B05"/>
    <w:rsid w:val="003D6D03"/>
    <w:rsid w:val="003E12CA"/>
    <w:rsid w:val="004010DC"/>
    <w:rsid w:val="004341F0"/>
    <w:rsid w:val="00456324"/>
    <w:rsid w:val="00475460"/>
    <w:rsid w:val="00477273"/>
    <w:rsid w:val="00490317"/>
    <w:rsid w:val="00491644"/>
    <w:rsid w:val="00496A08"/>
    <w:rsid w:val="004B5D2A"/>
    <w:rsid w:val="004E1605"/>
    <w:rsid w:val="004F653C"/>
    <w:rsid w:val="00540A52"/>
    <w:rsid w:val="00557306"/>
    <w:rsid w:val="005944C6"/>
    <w:rsid w:val="00645CFA"/>
    <w:rsid w:val="00685219"/>
    <w:rsid w:val="006D5799"/>
    <w:rsid w:val="007440EA"/>
    <w:rsid w:val="00750D83"/>
    <w:rsid w:val="00785DBC"/>
    <w:rsid w:val="00793DD5"/>
    <w:rsid w:val="007D55F6"/>
    <w:rsid w:val="007E3832"/>
    <w:rsid w:val="007F490F"/>
    <w:rsid w:val="008404F5"/>
    <w:rsid w:val="0086779C"/>
    <w:rsid w:val="00874BFD"/>
    <w:rsid w:val="008964EF"/>
    <w:rsid w:val="008E3E71"/>
    <w:rsid w:val="00913B15"/>
    <w:rsid w:val="00915E01"/>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D2A6B"/>
    <w:rsid w:val="00BE1888"/>
    <w:rsid w:val="00BF6B81"/>
    <w:rsid w:val="00C03969"/>
    <w:rsid w:val="00C077A8"/>
    <w:rsid w:val="00C14FF4"/>
    <w:rsid w:val="00C1679F"/>
    <w:rsid w:val="00C606A2"/>
    <w:rsid w:val="00C63872"/>
    <w:rsid w:val="00C84948"/>
    <w:rsid w:val="00C94ED8"/>
    <w:rsid w:val="00CF1111"/>
    <w:rsid w:val="00D05706"/>
    <w:rsid w:val="00D1758D"/>
    <w:rsid w:val="00D27DC5"/>
    <w:rsid w:val="00D47E36"/>
    <w:rsid w:val="00E55D79"/>
    <w:rsid w:val="00ED614E"/>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1095</Words>
  <Characters>6242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2025-07-23T10:41:00Z</dcterms:created>
  <dcterms:modified xsi:type="dcterms:W3CDTF">2025-08-07T17:57:00Z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