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B267C5" w:rsidR="00B17211" w:rsidRPr="00B17211" w:rsidRDefault="00B17211" w:rsidP="007F490F">
            <w:r w:rsidRPr="007F490F">
              <w:rPr>
                <w:rStyle w:val="Heading2Char"/>
              </w:rPr>
              <w:t>Our reference:</w:t>
            </w:r>
            <w:r>
              <w:t xml:space="preserve">  FOI 2</w:t>
            </w:r>
            <w:r w:rsidR="00EF0FBB">
              <w:t>5</w:t>
            </w:r>
            <w:r>
              <w:t>-</w:t>
            </w:r>
            <w:r w:rsidR="002E35C8">
              <w:t>0095</w:t>
            </w:r>
          </w:p>
          <w:p w14:paraId="34BDABA6" w14:textId="5A317E88" w:rsidR="00B17211" w:rsidRDefault="00456324" w:rsidP="00EE2373">
            <w:r w:rsidRPr="007F490F">
              <w:rPr>
                <w:rStyle w:val="Heading2Char"/>
              </w:rPr>
              <w:t>Respon</w:t>
            </w:r>
            <w:r w:rsidR="007D55F6">
              <w:rPr>
                <w:rStyle w:val="Heading2Char"/>
              </w:rPr>
              <w:t>ded to:</w:t>
            </w:r>
            <w:r w:rsidR="007F490F">
              <w:t xml:space="preserve">  </w:t>
            </w:r>
            <w:r w:rsidR="00180B9F">
              <w:t>25</w:t>
            </w:r>
            <w:r w:rsidR="00180B9F" w:rsidRPr="00180B9F">
              <w:rPr>
                <w:vertAlign w:val="superscript"/>
              </w:rPr>
              <w:t>th</w:t>
            </w:r>
            <w:r w:rsidR="00180B9F">
              <w:t xml:space="preserve"> June</w:t>
            </w:r>
            <w:r>
              <w:t xml:space="preserve"> 202</w:t>
            </w:r>
            <w:r w:rsidR="00EF0FBB">
              <w:t>5</w:t>
            </w:r>
          </w:p>
        </w:tc>
      </w:tr>
    </w:tbl>
    <w:p w14:paraId="34722745" w14:textId="77777777" w:rsidR="00DA6F87" w:rsidRDefault="00DA6F87" w:rsidP="00DA6F87">
      <w:r>
        <w:t>As requested, we have reviewed the handling of your recent FOI request in terms of section 20(1) of the Freedom of Information (Scotland) Act 2002.</w:t>
      </w:r>
    </w:p>
    <w:p w14:paraId="1A594A86" w14:textId="77777777" w:rsidR="00DA6F87" w:rsidRDefault="00DA6F87" w:rsidP="00DA6F87">
      <w:r>
        <w:t>As Police Scotland has failed to respond to your request within twenty working days, it therefore follows that in terms of section 21(4)(c), your request has not been handled in accordance with the Act.</w:t>
      </w:r>
    </w:p>
    <w:p w14:paraId="6E8CC2F4" w14:textId="77777777" w:rsidR="00DA6F87" w:rsidRDefault="00DA6F87" w:rsidP="00DA6F87">
      <w:r>
        <w:t xml:space="preserve">Please accept our apologies for any inconvenience caused.  </w:t>
      </w:r>
    </w:p>
    <w:p w14:paraId="266D80F2" w14:textId="29200766" w:rsidR="00DA6F87" w:rsidRDefault="00DA6F87" w:rsidP="00DA6F87">
      <w:r>
        <w:t>A response to your request is provided below:</w:t>
      </w:r>
    </w:p>
    <w:p w14:paraId="644C1BF5" w14:textId="4AFA175F" w:rsidR="00F81742" w:rsidRPr="00F81742" w:rsidRDefault="00F81742" w:rsidP="00F81742">
      <w:pPr>
        <w:tabs>
          <w:tab w:val="left" w:pos="5400"/>
        </w:tabs>
        <w:rPr>
          <w:rFonts w:eastAsiaTheme="majorEastAsia" w:cstheme="majorBidi"/>
          <w:bCs/>
          <w:color w:val="000000" w:themeColor="text1"/>
          <w:szCs w:val="26"/>
        </w:rPr>
      </w:pPr>
      <w:r w:rsidRPr="00F81742">
        <w:rPr>
          <w:rFonts w:eastAsiaTheme="majorEastAsia" w:cstheme="majorBidi"/>
          <w:bCs/>
          <w:color w:val="000000" w:themeColor="text1"/>
          <w:szCs w:val="26"/>
        </w:rPr>
        <w:t>You further clarified that the period to be covered by your request was the last 5 years.</w:t>
      </w:r>
    </w:p>
    <w:p w14:paraId="4E70B8B7" w14:textId="6FEF3929" w:rsidR="00F81742" w:rsidRDefault="00F81742" w:rsidP="00F81742">
      <w:pPr>
        <w:pStyle w:val="ListParagraph"/>
        <w:numPr>
          <w:ilvl w:val="0"/>
          <w:numId w:val="2"/>
        </w:numPr>
        <w:tabs>
          <w:tab w:val="left" w:pos="5400"/>
        </w:tabs>
        <w:rPr>
          <w:rFonts w:eastAsiaTheme="majorEastAsia" w:cstheme="majorBidi"/>
          <w:b/>
          <w:color w:val="000000" w:themeColor="text1"/>
          <w:szCs w:val="26"/>
        </w:rPr>
      </w:pPr>
      <w:r w:rsidRPr="00F81742">
        <w:rPr>
          <w:rFonts w:eastAsiaTheme="majorEastAsia" w:cstheme="majorBidi"/>
          <w:b/>
          <w:color w:val="000000" w:themeColor="text1"/>
          <w:szCs w:val="26"/>
        </w:rPr>
        <w:t xml:space="preserve">The number of STORM incidents raised by Police Scotland as a result of weapons being detected at Glasgow Airport; </w:t>
      </w:r>
    </w:p>
    <w:p w14:paraId="1616EF01" w14:textId="402246A2" w:rsidR="00EC385C" w:rsidRDefault="00F81742" w:rsidP="00F81742">
      <w:pPr>
        <w:tabs>
          <w:tab w:val="left" w:pos="5400"/>
        </w:tabs>
        <w:rPr>
          <w:rFonts w:eastAsiaTheme="majorEastAsia" w:cstheme="majorBidi"/>
          <w:bCs/>
          <w:color w:val="000000" w:themeColor="text1"/>
          <w:szCs w:val="26"/>
        </w:rPr>
      </w:pPr>
      <w:r w:rsidRPr="00F81742">
        <w:rPr>
          <w:rFonts w:eastAsiaTheme="majorEastAsia" w:cstheme="majorBidi"/>
          <w:bCs/>
          <w:color w:val="000000" w:themeColor="text1"/>
          <w:szCs w:val="26"/>
        </w:rPr>
        <w:t xml:space="preserve">We have carried out a search of the </w:t>
      </w:r>
      <w:r w:rsidR="00EC385C" w:rsidRPr="00EC385C">
        <w:rPr>
          <w:rFonts w:eastAsiaTheme="majorEastAsia" w:cstheme="majorBidi"/>
          <w:bCs/>
          <w:color w:val="000000" w:themeColor="text1"/>
          <w:szCs w:val="26"/>
        </w:rPr>
        <w:t>Police Scotland</w:t>
      </w:r>
      <w:r w:rsidR="00EC385C">
        <w:rPr>
          <w:rFonts w:eastAsiaTheme="majorEastAsia" w:cstheme="majorBidi"/>
          <w:bCs/>
          <w:color w:val="000000" w:themeColor="text1"/>
          <w:szCs w:val="26"/>
        </w:rPr>
        <w:t xml:space="preserve"> STORM incident recording database for any incidents with a locus of Glasgow Airport and a disposal code assigned of ‘weapons involved’.</w:t>
      </w:r>
      <w:r w:rsidR="00780B35">
        <w:rPr>
          <w:rFonts w:eastAsiaTheme="majorEastAsia" w:cstheme="majorBidi"/>
          <w:bCs/>
          <w:color w:val="000000" w:themeColor="text1"/>
          <w:szCs w:val="26"/>
        </w:rPr>
        <w:t xml:space="preserve">  </w:t>
      </w:r>
      <w:r w:rsidR="00EC385C">
        <w:rPr>
          <w:rFonts w:eastAsiaTheme="majorEastAsia" w:cstheme="majorBidi"/>
          <w:bCs/>
          <w:color w:val="000000" w:themeColor="text1"/>
          <w:szCs w:val="26"/>
        </w:rPr>
        <w:t>The results are as follows:</w:t>
      </w:r>
    </w:p>
    <w:tbl>
      <w:tblPr>
        <w:tblStyle w:val="TableGrid"/>
        <w:tblW w:w="0" w:type="auto"/>
        <w:tblLook w:val="04A0" w:firstRow="1" w:lastRow="0" w:firstColumn="1" w:lastColumn="0" w:noHBand="0" w:noVBand="1"/>
      </w:tblPr>
      <w:tblGrid>
        <w:gridCol w:w="2418"/>
        <w:gridCol w:w="884"/>
        <w:gridCol w:w="884"/>
        <w:gridCol w:w="884"/>
        <w:gridCol w:w="884"/>
        <w:gridCol w:w="884"/>
        <w:gridCol w:w="884"/>
      </w:tblGrid>
      <w:tr w:rsidR="00EC385C" w:rsidRPr="00EC385C" w14:paraId="51353818" w14:textId="2FBD21C0" w:rsidTr="00DE6569">
        <w:trPr>
          <w:trHeight w:val="288"/>
        </w:trPr>
        <w:tc>
          <w:tcPr>
            <w:tcW w:w="2418" w:type="dxa"/>
            <w:shd w:val="clear" w:color="auto" w:fill="D9D9D9" w:themeFill="background1" w:themeFillShade="D9"/>
            <w:noWrap/>
            <w:hideMark/>
          </w:tcPr>
          <w:p w14:paraId="30D93EEF" w14:textId="0CB4FECE" w:rsidR="00EC385C" w:rsidRPr="00EC385C" w:rsidRDefault="00EC385C" w:rsidP="00EC385C">
            <w:pPr>
              <w:tabs>
                <w:tab w:val="left" w:pos="5400"/>
              </w:tabs>
              <w:spacing w:line="240" w:lineRule="auto"/>
              <w:rPr>
                <w:rFonts w:eastAsiaTheme="majorEastAsia" w:cstheme="majorBidi"/>
                <w:b/>
                <w:bCs/>
                <w:color w:val="000000" w:themeColor="text1"/>
                <w:szCs w:val="26"/>
              </w:rPr>
            </w:pPr>
            <w:r>
              <w:rPr>
                <w:rFonts w:eastAsiaTheme="majorEastAsia" w:cstheme="majorBidi"/>
                <w:b/>
                <w:bCs/>
                <w:color w:val="000000" w:themeColor="text1"/>
                <w:szCs w:val="26"/>
              </w:rPr>
              <w:t>Year</w:t>
            </w:r>
          </w:p>
        </w:tc>
        <w:tc>
          <w:tcPr>
            <w:tcW w:w="884" w:type="dxa"/>
            <w:shd w:val="clear" w:color="auto" w:fill="D9D9D9" w:themeFill="background1" w:themeFillShade="D9"/>
            <w:noWrap/>
            <w:hideMark/>
          </w:tcPr>
          <w:p w14:paraId="19501F48" w14:textId="77777777" w:rsidR="00EC385C" w:rsidRPr="00EC385C" w:rsidRDefault="00EC385C" w:rsidP="00EC385C">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2020</w:t>
            </w:r>
          </w:p>
        </w:tc>
        <w:tc>
          <w:tcPr>
            <w:tcW w:w="884" w:type="dxa"/>
            <w:shd w:val="clear" w:color="auto" w:fill="D9D9D9" w:themeFill="background1" w:themeFillShade="D9"/>
            <w:noWrap/>
            <w:hideMark/>
          </w:tcPr>
          <w:p w14:paraId="31CCD96F" w14:textId="77777777" w:rsidR="00EC385C" w:rsidRPr="00EC385C" w:rsidRDefault="00EC385C" w:rsidP="00EC385C">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2021</w:t>
            </w:r>
          </w:p>
        </w:tc>
        <w:tc>
          <w:tcPr>
            <w:tcW w:w="884" w:type="dxa"/>
            <w:shd w:val="clear" w:color="auto" w:fill="D9D9D9" w:themeFill="background1" w:themeFillShade="D9"/>
            <w:noWrap/>
            <w:hideMark/>
          </w:tcPr>
          <w:p w14:paraId="1ABE4DB8" w14:textId="77777777" w:rsidR="00EC385C" w:rsidRPr="00EC385C" w:rsidRDefault="00EC385C" w:rsidP="00EC385C">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2022</w:t>
            </w:r>
          </w:p>
        </w:tc>
        <w:tc>
          <w:tcPr>
            <w:tcW w:w="884" w:type="dxa"/>
            <w:shd w:val="clear" w:color="auto" w:fill="D9D9D9" w:themeFill="background1" w:themeFillShade="D9"/>
            <w:noWrap/>
            <w:hideMark/>
          </w:tcPr>
          <w:p w14:paraId="11B84FE2" w14:textId="77777777" w:rsidR="00EC385C" w:rsidRPr="00EC385C" w:rsidRDefault="00EC385C" w:rsidP="00EC385C">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2023</w:t>
            </w:r>
          </w:p>
        </w:tc>
        <w:tc>
          <w:tcPr>
            <w:tcW w:w="884" w:type="dxa"/>
            <w:shd w:val="clear" w:color="auto" w:fill="D9D9D9" w:themeFill="background1" w:themeFillShade="D9"/>
            <w:noWrap/>
            <w:hideMark/>
          </w:tcPr>
          <w:p w14:paraId="66DD41E1" w14:textId="77777777" w:rsidR="00EC385C" w:rsidRPr="00EC385C" w:rsidRDefault="00EC385C" w:rsidP="00EC385C">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2024</w:t>
            </w:r>
          </w:p>
        </w:tc>
        <w:tc>
          <w:tcPr>
            <w:tcW w:w="884" w:type="dxa"/>
            <w:shd w:val="clear" w:color="auto" w:fill="D9D9D9" w:themeFill="background1" w:themeFillShade="D9"/>
          </w:tcPr>
          <w:p w14:paraId="05C48285" w14:textId="597ECD64" w:rsidR="00EC385C" w:rsidRPr="00EC385C" w:rsidRDefault="00EC385C" w:rsidP="00EC385C">
            <w:pPr>
              <w:tabs>
                <w:tab w:val="left" w:pos="5400"/>
              </w:tabs>
              <w:spacing w:line="240" w:lineRule="auto"/>
              <w:rPr>
                <w:rFonts w:eastAsiaTheme="majorEastAsia" w:cstheme="majorBidi"/>
                <w:b/>
                <w:bCs/>
                <w:color w:val="000000" w:themeColor="text1"/>
                <w:szCs w:val="26"/>
              </w:rPr>
            </w:pPr>
            <w:r>
              <w:rPr>
                <w:rFonts w:eastAsiaTheme="majorEastAsia" w:cstheme="majorBidi"/>
                <w:b/>
                <w:bCs/>
                <w:color w:val="000000" w:themeColor="text1"/>
                <w:szCs w:val="26"/>
              </w:rPr>
              <w:t>2025</w:t>
            </w:r>
          </w:p>
        </w:tc>
      </w:tr>
      <w:tr w:rsidR="00EC385C" w:rsidRPr="00EC385C" w14:paraId="0A3E0CED" w14:textId="5ECFCB88" w:rsidTr="00DE6569">
        <w:trPr>
          <w:trHeight w:val="288"/>
        </w:trPr>
        <w:tc>
          <w:tcPr>
            <w:tcW w:w="2418" w:type="dxa"/>
            <w:noWrap/>
            <w:hideMark/>
          </w:tcPr>
          <w:p w14:paraId="01B5C504" w14:textId="37F57306" w:rsidR="00EC385C" w:rsidRPr="00EC385C" w:rsidRDefault="00EC385C" w:rsidP="00EC385C">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Recorded Incidents</w:t>
            </w:r>
          </w:p>
        </w:tc>
        <w:tc>
          <w:tcPr>
            <w:tcW w:w="884" w:type="dxa"/>
            <w:noWrap/>
            <w:hideMark/>
          </w:tcPr>
          <w:p w14:paraId="3553EB31" w14:textId="1E7F725C" w:rsidR="00EC385C" w:rsidRPr="00EC385C" w:rsidRDefault="00EC385C" w:rsidP="00EC385C">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884" w:type="dxa"/>
            <w:noWrap/>
          </w:tcPr>
          <w:p w14:paraId="6F728E3E" w14:textId="03D68CA0" w:rsidR="00EC385C" w:rsidRPr="00EC385C" w:rsidRDefault="00EC385C" w:rsidP="00EC385C">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c>
          <w:tcPr>
            <w:tcW w:w="884" w:type="dxa"/>
            <w:noWrap/>
          </w:tcPr>
          <w:p w14:paraId="18C7D065" w14:textId="58DD87A7" w:rsidR="00EC385C" w:rsidRPr="00EC385C" w:rsidRDefault="00EC385C" w:rsidP="00EC385C">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7</w:t>
            </w:r>
          </w:p>
        </w:tc>
        <w:tc>
          <w:tcPr>
            <w:tcW w:w="884" w:type="dxa"/>
            <w:noWrap/>
          </w:tcPr>
          <w:p w14:paraId="44926D83" w14:textId="231B87A2" w:rsidR="00EC385C" w:rsidRPr="00EC385C" w:rsidRDefault="00EC385C" w:rsidP="00EC385C">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10</w:t>
            </w:r>
          </w:p>
        </w:tc>
        <w:tc>
          <w:tcPr>
            <w:tcW w:w="884" w:type="dxa"/>
            <w:noWrap/>
          </w:tcPr>
          <w:p w14:paraId="4080049F" w14:textId="1378BBD5" w:rsidR="00EC385C" w:rsidRPr="00EC385C" w:rsidRDefault="00EC385C" w:rsidP="00EC385C">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18</w:t>
            </w:r>
          </w:p>
        </w:tc>
        <w:tc>
          <w:tcPr>
            <w:tcW w:w="884" w:type="dxa"/>
          </w:tcPr>
          <w:p w14:paraId="64C0087B" w14:textId="709A4D5E" w:rsidR="00EC385C" w:rsidRDefault="00EC385C" w:rsidP="00EC385C">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1</w:t>
            </w:r>
          </w:p>
        </w:tc>
      </w:tr>
    </w:tbl>
    <w:p w14:paraId="45C6E8B3" w14:textId="5DCC4D04" w:rsidR="00F81742" w:rsidRDefault="00EC385C" w:rsidP="00C26AE2">
      <w:pPr>
        <w:tabs>
          <w:tab w:val="left" w:pos="5400"/>
        </w:tabs>
        <w:rPr>
          <w:rFonts w:eastAsiaTheme="majorEastAsia" w:cstheme="majorBidi"/>
          <w:bCs/>
          <w:i/>
          <w:iCs/>
          <w:color w:val="000000" w:themeColor="text1"/>
          <w:sz w:val="20"/>
          <w:szCs w:val="22"/>
        </w:rPr>
      </w:pPr>
      <w:r w:rsidRPr="00EC385C">
        <w:rPr>
          <w:rFonts w:eastAsiaTheme="majorEastAsia" w:cstheme="majorBidi"/>
          <w:bCs/>
          <w:i/>
          <w:iCs/>
          <w:color w:val="000000" w:themeColor="text1"/>
          <w:sz w:val="20"/>
          <w:szCs w:val="22"/>
        </w:rPr>
        <w:t xml:space="preserve">All statistics are provisional and should be treated as management information. </w:t>
      </w:r>
      <w:r w:rsidRPr="00EC385C">
        <w:rPr>
          <w:rFonts w:eastAsiaTheme="majorEastAsia" w:cstheme="majorBidi"/>
          <w:bCs/>
          <w:i/>
          <w:iCs/>
          <w:color w:val="000000" w:themeColor="text1"/>
          <w:sz w:val="20"/>
          <w:szCs w:val="22"/>
        </w:rPr>
        <w:br/>
        <w:t>Data was extracted from Police Scotland systems and are correct as at 19/03/2025.</w:t>
      </w:r>
      <w:r w:rsidRPr="00EC385C">
        <w:rPr>
          <w:rFonts w:eastAsiaTheme="majorEastAsia" w:cstheme="majorBidi"/>
          <w:bCs/>
          <w:i/>
          <w:iCs/>
          <w:color w:val="000000" w:themeColor="text1"/>
          <w:sz w:val="20"/>
          <w:szCs w:val="22"/>
        </w:rPr>
        <w:br/>
        <w:t>Data was extracted using the incident's raised date and covers the period 1 January 2020 to 28 February 2025, inclusive.</w:t>
      </w:r>
      <w:r w:rsidRPr="00EC385C">
        <w:rPr>
          <w:rFonts w:eastAsiaTheme="majorEastAsia" w:cstheme="majorBidi"/>
          <w:bCs/>
          <w:i/>
          <w:iCs/>
          <w:color w:val="000000" w:themeColor="text1"/>
          <w:sz w:val="20"/>
          <w:szCs w:val="22"/>
        </w:rPr>
        <w:br/>
        <w:t>Specified areas have been selected using the Ordnance Survey National Geographic Database.</w:t>
      </w:r>
      <w:r w:rsidRPr="00EC385C">
        <w:rPr>
          <w:rFonts w:eastAsiaTheme="majorEastAsia" w:cstheme="majorBidi"/>
          <w:bCs/>
          <w:i/>
          <w:iCs/>
          <w:color w:val="000000" w:themeColor="text1"/>
          <w:sz w:val="20"/>
          <w:szCs w:val="22"/>
        </w:rPr>
        <w:br/>
        <w:t>Error and transferred incidents have been removed.</w:t>
      </w:r>
      <w:r w:rsidRPr="00EC385C">
        <w:rPr>
          <w:rFonts w:eastAsiaTheme="majorEastAsia" w:cstheme="majorBidi"/>
          <w:bCs/>
          <w:i/>
          <w:iCs/>
          <w:color w:val="000000" w:themeColor="text1"/>
          <w:sz w:val="20"/>
          <w:szCs w:val="22"/>
        </w:rPr>
        <w:tab/>
      </w:r>
      <w:r w:rsidRPr="00EC385C">
        <w:rPr>
          <w:rFonts w:eastAsiaTheme="majorEastAsia" w:cstheme="majorBidi"/>
          <w:bCs/>
          <w:i/>
          <w:iCs/>
          <w:color w:val="000000" w:themeColor="text1"/>
          <w:sz w:val="20"/>
          <w:szCs w:val="22"/>
        </w:rPr>
        <w:tab/>
      </w:r>
      <w:r w:rsidRPr="00EC385C">
        <w:rPr>
          <w:rFonts w:eastAsiaTheme="majorEastAsia" w:cstheme="majorBidi"/>
          <w:bCs/>
          <w:i/>
          <w:iCs/>
          <w:color w:val="000000" w:themeColor="text1"/>
          <w:sz w:val="20"/>
          <w:szCs w:val="22"/>
        </w:rPr>
        <w:tab/>
      </w:r>
      <w:r w:rsidRPr="00EC385C">
        <w:rPr>
          <w:rFonts w:eastAsiaTheme="majorEastAsia" w:cstheme="majorBidi"/>
          <w:bCs/>
          <w:i/>
          <w:iCs/>
          <w:color w:val="000000" w:themeColor="text1"/>
          <w:sz w:val="20"/>
          <w:szCs w:val="22"/>
        </w:rPr>
        <w:tab/>
      </w:r>
      <w:r w:rsidRPr="00EC385C">
        <w:rPr>
          <w:rFonts w:eastAsiaTheme="majorEastAsia" w:cstheme="majorBidi"/>
          <w:bCs/>
          <w:i/>
          <w:iCs/>
          <w:color w:val="000000" w:themeColor="text1"/>
          <w:sz w:val="20"/>
          <w:szCs w:val="22"/>
        </w:rPr>
        <w:tab/>
      </w:r>
    </w:p>
    <w:p w14:paraId="5ADE2FF6" w14:textId="77777777" w:rsidR="00C26AE2" w:rsidRPr="00C26AE2" w:rsidRDefault="00C26AE2" w:rsidP="00C26AE2">
      <w:pPr>
        <w:tabs>
          <w:tab w:val="left" w:pos="5400"/>
        </w:tabs>
        <w:rPr>
          <w:rFonts w:eastAsiaTheme="majorEastAsia" w:cstheme="majorBidi"/>
          <w:bCs/>
          <w:i/>
          <w:iCs/>
          <w:color w:val="000000" w:themeColor="text1"/>
          <w:sz w:val="20"/>
          <w:szCs w:val="22"/>
        </w:rPr>
      </w:pPr>
    </w:p>
    <w:p w14:paraId="556B170D" w14:textId="7C909B81" w:rsidR="00F81742" w:rsidRDefault="00F81742" w:rsidP="00F81742">
      <w:pPr>
        <w:pStyle w:val="ListParagraph"/>
        <w:numPr>
          <w:ilvl w:val="0"/>
          <w:numId w:val="2"/>
        </w:numPr>
        <w:tabs>
          <w:tab w:val="left" w:pos="5400"/>
        </w:tabs>
        <w:rPr>
          <w:rFonts w:eastAsiaTheme="majorEastAsia" w:cstheme="majorBidi"/>
          <w:b/>
          <w:color w:val="000000" w:themeColor="text1"/>
          <w:szCs w:val="26"/>
        </w:rPr>
      </w:pPr>
      <w:r w:rsidRPr="00F81742">
        <w:rPr>
          <w:rFonts w:eastAsiaTheme="majorEastAsia" w:cstheme="majorBidi"/>
          <w:b/>
          <w:color w:val="000000" w:themeColor="text1"/>
          <w:szCs w:val="26"/>
        </w:rPr>
        <w:t>Of the number above, how many weapons were seized and lodged for destruction;</w:t>
      </w:r>
    </w:p>
    <w:p w14:paraId="756D7EF1" w14:textId="77777777" w:rsidR="00C26AE2" w:rsidRPr="00C26AE2" w:rsidRDefault="00C26AE2" w:rsidP="00C26AE2">
      <w:pPr>
        <w:tabs>
          <w:tab w:val="left" w:pos="5400"/>
        </w:tabs>
        <w:rPr>
          <w:rFonts w:eastAsiaTheme="majorEastAsia" w:cstheme="majorBidi"/>
          <w:bCs/>
          <w:color w:val="000000" w:themeColor="text1"/>
          <w:szCs w:val="26"/>
        </w:rPr>
      </w:pPr>
      <w:r w:rsidRPr="00C26AE2">
        <w:rPr>
          <w:rFonts w:eastAsiaTheme="majorEastAsia" w:cstheme="majorBidi"/>
          <w:bCs/>
          <w:color w:val="000000" w:themeColor="text1"/>
          <w:szCs w:val="26"/>
        </w:rPr>
        <w:lastRenderedPageBreak/>
        <w:t xml:space="preserve">Unfortunately, I estimate that it would cost well in excess of the current FOI cost threshold of £600 to process your request.  </w:t>
      </w:r>
    </w:p>
    <w:p w14:paraId="04ABCCC1" w14:textId="77777777" w:rsidR="00C26AE2" w:rsidRPr="00C26AE2" w:rsidRDefault="00C26AE2" w:rsidP="00C26AE2">
      <w:pPr>
        <w:tabs>
          <w:tab w:val="left" w:pos="5400"/>
        </w:tabs>
        <w:rPr>
          <w:rFonts w:eastAsiaTheme="majorEastAsia" w:cstheme="majorBidi"/>
          <w:bCs/>
          <w:color w:val="000000" w:themeColor="text1"/>
          <w:szCs w:val="26"/>
        </w:rPr>
      </w:pPr>
      <w:r w:rsidRPr="00C26AE2">
        <w:rPr>
          <w:rFonts w:eastAsiaTheme="majorEastAsia" w:cstheme="majorBidi"/>
          <w:bCs/>
          <w:color w:val="000000" w:themeColor="text1"/>
          <w:szCs w:val="26"/>
        </w:rPr>
        <w:t>I am therefore refusing to provide the information sought in terms of section 12(1) - Excessive Cost of Compliance.</w:t>
      </w:r>
    </w:p>
    <w:p w14:paraId="4DDABC7D" w14:textId="77777777" w:rsidR="00C26AE2" w:rsidRPr="00C26AE2" w:rsidRDefault="00C26AE2" w:rsidP="00C26AE2">
      <w:pPr>
        <w:tabs>
          <w:tab w:val="left" w:pos="5400"/>
        </w:tabs>
        <w:rPr>
          <w:rFonts w:eastAsiaTheme="majorEastAsia" w:cstheme="majorBidi"/>
          <w:bCs/>
          <w:color w:val="000000" w:themeColor="text1"/>
          <w:szCs w:val="26"/>
        </w:rPr>
      </w:pPr>
      <w:r w:rsidRPr="00B0588C">
        <w:rPr>
          <w:rFonts w:eastAsiaTheme="majorEastAsia" w:cstheme="majorBidi"/>
          <w:bCs/>
          <w:color w:val="000000" w:themeColor="text1"/>
          <w:szCs w:val="26"/>
        </w:rPr>
        <w:t>To explain, it would be necessary to individually examine all 95 STORM reports as well as any associated crime reports/ standard prosecution reports to establish what weapons, if any, were seized as productions as a result of these incidents.</w:t>
      </w:r>
    </w:p>
    <w:p w14:paraId="5B7DDFF9" w14:textId="77777777" w:rsidR="00C26AE2" w:rsidRPr="00C26AE2" w:rsidRDefault="00C26AE2" w:rsidP="00C26AE2">
      <w:pPr>
        <w:tabs>
          <w:tab w:val="left" w:pos="5400"/>
        </w:tabs>
        <w:rPr>
          <w:rFonts w:eastAsiaTheme="majorEastAsia" w:cstheme="majorBidi"/>
          <w:bCs/>
          <w:color w:val="000000" w:themeColor="text1"/>
          <w:szCs w:val="26"/>
        </w:rPr>
      </w:pPr>
      <w:r w:rsidRPr="00C26AE2">
        <w:rPr>
          <w:rFonts w:eastAsiaTheme="majorEastAsia" w:cstheme="majorBidi"/>
          <w:bCs/>
          <w:color w:val="000000" w:themeColor="text1"/>
          <w:szCs w:val="26"/>
        </w:rPr>
        <w:t xml:space="preserve">To be of assistance however, we have sought data from colleagues in our Border Policing Command team, who collate data regarding items surrendered.  </w:t>
      </w:r>
    </w:p>
    <w:p w14:paraId="79A39489" w14:textId="77777777" w:rsidR="002E35C8" w:rsidRDefault="00C26AE2" w:rsidP="00C26AE2">
      <w:pPr>
        <w:tabs>
          <w:tab w:val="left" w:pos="5400"/>
        </w:tabs>
        <w:rPr>
          <w:rFonts w:eastAsiaTheme="majorEastAsia" w:cstheme="majorBidi"/>
          <w:bCs/>
          <w:color w:val="000000" w:themeColor="text1"/>
          <w:szCs w:val="26"/>
        </w:rPr>
      </w:pPr>
      <w:r w:rsidRPr="00C26AE2">
        <w:rPr>
          <w:rFonts w:eastAsiaTheme="majorEastAsia" w:cstheme="majorBidi"/>
          <w:bCs/>
          <w:color w:val="000000" w:themeColor="text1"/>
          <w:szCs w:val="26"/>
        </w:rPr>
        <w:t>The results are as follows:</w:t>
      </w:r>
    </w:p>
    <w:p w14:paraId="262B8A7F" w14:textId="3AB98156" w:rsidR="00780B35" w:rsidRPr="00780B35" w:rsidRDefault="00780B35" w:rsidP="00C26AE2">
      <w:pPr>
        <w:tabs>
          <w:tab w:val="left" w:pos="5400"/>
        </w:tabs>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2020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44 (42 knife or bladed, 2 bullets)</w:t>
      </w:r>
    </w:p>
    <w:p w14:paraId="6F6CFEF4" w14:textId="3D859C16" w:rsidR="00780B35" w:rsidRPr="00780B35" w:rsidRDefault="00780B35" w:rsidP="00780B35">
      <w:pPr>
        <w:tabs>
          <w:tab w:val="left" w:pos="5400"/>
        </w:tabs>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2021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61 (54 knife or bladed, 4 s/g cartridges, 2 bullets, 1 other)</w:t>
      </w:r>
    </w:p>
    <w:p w14:paraId="437DC828" w14:textId="296283A9" w:rsidR="00780B35" w:rsidRPr="00780B35" w:rsidRDefault="00780B35" w:rsidP="00780B35">
      <w:pPr>
        <w:tabs>
          <w:tab w:val="left" w:pos="5400"/>
        </w:tabs>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2022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158 (142 knife or bladed, 7 s/g cartridges, 3 bullets, 6 other)</w:t>
      </w:r>
    </w:p>
    <w:p w14:paraId="4B748790" w14:textId="146DB49E" w:rsidR="00780B35" w:rsidRPr="00780B35" w:rsidRDefault="00780B35" w:rsidP="00780B35">
      <w:pPr>
        <w:tabs>
          <w:tab w:val="left" w:pos="5400"/>
        </w:tabs>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2023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192 (175 knife or bladed, 1 spray, 1 s/g cartridges, 2 bullets, 13 other)</w:t>
      </w:r>
    </w:p>
    <w:p w14:paraId="71C0F958" w14:textId="04699D1E" w:rsidR="00F81742" w:rsidRPr="00780B35" w:rsidRDefault="00780B35" w:rsidP="00780B35">
      <w:pPr>
        <w:tabs>
          <w:tab w:val="left" w:pos="5400"/>
        </w:tabs>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2024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232 (202 knife or bladed, 3 spray, 3 s/g cartridges, 6 bullets, 21 other)</w:t>
      </w:r>
    </w:p>
    <w:p w14:paraId="7ADFAB71" w14:textId="77777777" w:rsidR="00F81742" w:rsidRPr="00F81742" w:rsidRDefault="00F81742" w:rsidP="00F81742">
      <w:pPr>
        <w:pStyle w:val="ListParagraph"/>
        <w:tabs>
          <w:tab w:val="left" w:pos="5400"/>
        </w:tabs>
        <w:ind w:left="360"/>
        <w:rPr>
          <w:rFonts w:eastAsiaTheme="majorEastAsia" w:cstheme="majorBidi"/>
          <w:b/>
          <w:color w:val="000000" w:themeColor="text1"/>
          <w:szCs w:val="26"/>
        </w:rPr>
      </w:pPr>
    </w:p>
    <w:p w14:paraId="08602E02" w14:textId="02C5D21F" w:rsidR="00F81742" w:rsidRDefault="00F81742" w:rsidP="00F81742">
      <w:pPr>
        <w:pStyle w:val="ListParagraph"/>
        <w:numPr>
          <w:ilvl w:val="0"/>
          <w:numId w:val="2"/>
        </w:numPr>
        <w:tabs>
          <w:tab w:val="left" w:pos="5400"/>
        </w:tabs>
        <w:rPr>
          <w:rFonts w:eastAsiaTheme="majorEastAsia" w:cstheme="majorBidi"/>
          <w:b/>
          <w:color w:val="000000" w:themeColor="text1"/>
          <w:szCs w:val="26"/>
        </w:rPr>
      </w:pPr>
      <w:r w:rsidRPr="00F81742">
        <w:rPr>
          <w:rFonts w:eastAsiaTheme="majorEastAsia" w:cstheme="majorBidi"/>
          <w:b/>
          <w:color w:val="000000" w:themeColor="text1"/>
          <w:szCs w:val="26"/>
        </w:rPr>
        <w:t xml:space="preserve">The number of STORM incidents raised by Police Scotland as a result of weapons detected at Security in Edinburgh Airport; </w:t>
      </w:r>
    </w:p>
    <w:p w14:paraId="18C52E65" w14:textId="01E2DEC2" w:rsidR="00EC385C" w:rsidRDefault="00EC385C" w:rsidP="00EC385C">
      <w:pPr>
        <w:tabs>
          <w:tab w:val="left" w:pos="5400"/>
        </w:tabs>
        <w:rPr>
          <w:rFonts w:eastAsiaTheme="majorEastAsia" w:cstheme="majorBidi"/>
          <w:bCs/>
          <w:color w:val="000000" w:themeColor="text1"/>
          <w:szCs w:val="26"/>
        </w:rPr>
      </w:pPr>
      <w:r w:rsidRPr="00F81742">
        <w:rPr>
          <w:rFonts w:eastAsiaTheme="majorEastAsia" w:cstheme="majorBidi"/>
          <w:bCs/>
          <w:color w:val="000000" w:themeColor="text1"/>
          <w:szCs w:val="26"/>
        </w:rPr>
        <w:t xml:space="preserve">We have carried out a search of the </w:t>
      </w:r>
      <w:r w:rsidRPr="00EC385C">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STORM incident recording database for any incidents with a locus of Edinburgh Airport and a disposal code assigned of ‘weapons involved’.</w:t>
      </w:r>
      <w:r w:rsidR="00780B35">
        <w:rPr>
          <w:rFonts w:eastAsiaTheme="majorEastAsia" w:cstheme="majorBidi"/>
          <w:bCs/>
          <w:color w:val="000000" w:themeColor="text1"/>
          <w:szCs w:val="26"/>
        </w:rPr>
        <w:t xml:space="preserve">  </w:t>
      </w:r>
      <w:r>
        <w:rPr>
          <w:rFonts w:eastAsiaTheme="majorEastAsia" w:cstheme="majorBidi"/>
          <w:bCs/>
          <w:color w:val="000000" w:themeColor="text1"/>
          <w:szCs w:val="26"/>
        </w:rPr>
        <w:t>The results are as follows:</w:t>
      </w:r>
    </w:p>
    <w:tbl>
      <w:tblPr>
        <w:tblStyle w:val="TableGrid"/>
        <w:tblW w:w="0" w:type="auto"/>
        <w:tblLook w:val="04A0" w:firstRow="1" w:lastRow="0" w:firstColumn="1" w:lastColumn="0" w:noHBand="0" w:noVBand="1"/>
      </w:tblPr>
      <w:tblGrid>
        <w:gridCol w:w="2418"/>
        <w:gridCol w:w="884"/>
        <w:gridCol w:w="884"/>
        <w:gridCol w:w="884"/>
        <w:gridCol w:w="884"/>
        <w:gridCol w:w="884"/>
      </w:tblGrid>
      <w:tr w:rsidR="00EC385C" w:rsidRPr="00EC385C" w14:paraId="36D2B61F" w14:textId="77777777" w:rsidTr="00B37A9F">
        <w:trPr>
          <w:trHeight w:val="288"/>
        </w:trPr>
        <w:tc>
          <w:tcPr>
            <w:tcW w:w="2418" w:type="dxa"/>
            <w:shd w:val="clear" w:color="auto" w:fill="D9D9D9" w:themeFill="background1" w:themeFillShade="D9"/>
            <w:noWrap/>
            <w:hideMark/>
          </w:tcPr>
          <w:p w14:paraId="5F91A9FD" w14:textId="77777777" w:rsidR="00EC385C" w:rsidRPr="00EC385C" w:rsidRDefault="00EC385C" w:rsidP="00B37A9F">
            <w:pPr>
              <w:tabs>
                <w:tab w:val="left" w:pos="5400"/>
              </w:tabs>
              <w:spacing w:line="240" w:lineRule="auto"/>
              <w:rPr>
                <w:rFonts w:eastAsiaTheme="majorEastAsia" w:cstheme="majorBidi"/>
                <w:b/>
                <w:bCs/>
                <w:color w:val="000000" w:themeColor="text1"/>
                <w:szCs w:val="26"/>
              </w:rPr>
            </w:pPr>
            <w:r>
              <w:rPr>
                <w:rFonts w:eastAsiaTheme="majorEastAsia" w:cstheme="majorBidi"/>
                <w:b/>
                <w:bCs/>
                <w:color w:val="000000" w:themeColor="text1"/>
                <w:szCs w:val="26"/>
              </w:rPr>
              <w:t>Year</w:t>
            </w:r>
          </w:p>
        </w:tc>
        <w:tc>
          <w:tcPr>
            <w:tcW w:w="884" w:type="dxa"/>
            <w:shd w:val="clear" w:color="auto" w:fill="D9D9D9" w:themeFill="background1" w:themeFillShade="D9"/>
            <w:noWrap/>
            <w:hideMark/>
          </w:tcPr>
          <w:p w14:paraId="72332BD2" w14:textId="77777777" w:rsidR="00EC385C" w:rsidRPr="00EC385C" w:rsidRDefault="00EC385C" w:rsidP="00B37A9F">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2020</w:t>
            </w:r>
          </w:p>
        </w:tc>
        <w:tc>
          <w:tcPr>
            <w:tcW w:w="884" w:type="dxa"/>
            <w:shd w:val="clear" w:color="auto" w:fill="D9D9D9" w:themeFill="background1" w:themeFillShade="D9"/>
            <w:noWrap/>
            <w:hideMark/>
          </w:tcPr>
          <w:p w14:paraId="3024FA1F" w14:textId="77777777" w:rsidR="00EC385C" w:rsidRPr="00EC385C" w:rsidRDefault="00EC385C" w:rsidP="00B37A9F">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2021</w:t>
            </w:r>
          </w:p>
        </w:tc>
        <w:tc>
          <w:tcPr>
            <w:tcW w:w="884" w:type="dxa"/>
            <w:shd w:val="clear" w:color="auto" w:fill="D9D9D9" w:themeFill="background1" w:themeFillShade="D9"/>
            <w:noWrap/>
            <w:hideMark/>
          </w:tcPr>
          <w:p w14:paraId="159C4138" w14:textId="77777777" w:rsidR="00EC385C" w:rsidRPr="00EC385C" w:rsidRDefault="00EC385C" w:rsidP="00B37A9F">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2022</w:t>
            </w:r>
          </w:p>
        </w:tc>
        <w:tc>
          <w:tcPr>
            <w:tcW w:w="884" w:type="dxa"/>
            <w:shd w:val="clear" w:color="auto" w:fill="D9D9D9" w:themeFill="background1" w:themeFillShade="D9"/>
            <w:noWrap/>
            <w:hideMark/>
          </w:tcPr>
          <w:p w14:paraId="267EBF89" w14:textId="77777777" w:rsidR="00EC385C" w:rsidRPr="00EC385C" w:rsidRDefault="00EC385C" w:rsidP="00B37A9F">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2023</w:t>
            </w:r>
          </w:p>
        </w:tc>
        <w:tc>
          <w:tcPr>
            <w:tcW w:w="884" w:type="dxa"/>
            <w:shd w:val="clear" w:color="auto" w:fill="D9D9D9" w:themeFill="background1" w:themeFillShade="D9"/>
            <w:noWrap/>
            <w:hideMark/>
          </w:tcPr>
          <w:p w14:paraId="6786BB77" w14:textId="77777777" w:rsidR="00EC385C" w:rsidRPr="00EC385C" w:rsidRDefault="00EC385C" w:rsidP="00B37A9F">
            <w:pPr>
              <w:tabs>
                <w:tab w:val="left" w:pos="5400"/>
              </w:tabs>
              <w:spacing w:line="240" w:lineRule="auto"/>
              <w:rPr>
                <w:rFonts w:eastAsiaTheme="majorEastAsia" w:cstheme="majorBidi"/>
                <w:b/>
                <w:bCs/>
                <w:color w:val="000000" w:themeColor="text1"/>
                <w:szCs w:val="26"/>
              </w:rPr>
            </w:pPr>
            <w:r w:rsidRPr="00EC385C">
              <w:rPr>
                <w:rFonts w:eastAsiaTheme="majorEastAsia" w:cstheme="majorBidi"/>
                <w:b/>
                <w:bCs/>
                <w:color w:val="000000" w:themeColor="text1"/>
                <w:szCs w:val="26"/>
              </w:rPr>
              <w:t>2024</w:t>
            </w:r>
          </w:p>
        </w:tc>
      </w:tr>
      <w:tr w:rsidR="00EC385C" w:rsidRPr="00EC385C" w14:paraId="64F2D766" w14:textId="77777777" w:rsidTr="00B37A9F">
        <w:trPr>
          <w:trHeight w:val="288"/>
        </w:trPr>
        <w:tc>
          <w:tcPr>
            <w:tcW w:w="2418" w:type="dxa"/>
            <w:noWrap/>
            <w:hideMark/>
          </w:tcPr>
          <w:p w14:paraId="4CA1A0B2" w14:textId="77777777" w:rsidR="00EC385C" w:rsidRPr="00EC385C" w:rsidRDefault="00EC385C" w:rsidP="00B37A9F">
            <w:pPr>
              <w:tabs>
                <w:tab w:val="left" w:pos="5400"/>
              </w:tabs>
              <w:spacing w:line="240" w:lineRule="auto"/>
              <w:rPr>
                <w:rFonts w:eastAsiaTheme="majorEastAsia" w:cstheme="majorBidi"/>
                <w:bCs/>
                <w:color w:val="000000" w:themeColor="text1"/>
                <w:szCs w:val="26"/>
              </w:rPr>
            </w:pPr>
            <w:r>
              <w:rPr>
                <w:rFonts w:eastAsiaTheme="majorEastAsia" w:cstheme="majorBidi"/>
                <w:bCs/>
                <w:color w:val="000000" w:themeColor="text1"/>
                <w:szCs w:val="26"/>
              </w:rPr>
              <w:t>Recorded Incidents</w:t>
            </w:r>
          </w:p>
        </w:tc>
        <w:tc>
          <w:tcPr>
            <w:tcW w:w="884" w:type="dxa"/>
            <w:noWrap/>
            <w:hideMark/>
          </w:tcPr>
          <w:p w14:paraId="6F9EB9E8" w14:textId="77777777" w:rsidR="00EC385C" w:rsidRPr="00EC385C" w:rsidRDefault="00EC385C" w:rsidP="00B37A9F">
            <w:pPr>
              <w:tabs>
                <w:tab w:val="left" w:pos="5400"/>
              </w:tabs>
              <w:spacing w:line="240" w:lineRule="auto"/>
              <w:rPr>
                <w:rFonts w:eastAsiaTheme="majorEastAsia" w:cstheme="majorBidi"/>
                <w:bCs/>
                <w:color w:val="000000" w:themeColor="text1"/>
                <w:szCs w:val="26"/>
              </w:rPr>
            </w:pPr>
            <w:r w:rsidRPr="00EC385C">
              <w:rPr>
                <w:rFonts w:eastAsiaTheme="majorEastAsia" w:cstheme="majorBidi"/>
                <w:bCs/>
                <w:color w:val="000000" w:themeColor="text1"/>
                <w:szCs w:val="26"/>
              </w:rPr>
              <w:t>3</w:t>
            </w:r>
          </w:p>
        </w:tc>
        <w:tc>
          <w:tcPr>
            <w:tcW w:w="884" w:type="dxa"/>
            <w:noWrap/>
            <w:hideMark/>
          </w:tcPr>
          <w:p w14:paraId="374EF30A" w14:textId="77777777" w:rsidR="00EC385C" w:rsidRPr="00EC385C" w:rsidRDefault="00EC385C" w:rsidP="00B37A9F">
            <w:pPr>
              <w:tabs>
                <w:tab w:val="left" w:pos="5400"/>
              </w:tabs>
              <w:spacing w:line="240" w:lineRule="auto"/>
              <w:rPr>
                <w:rFonts w:eastAsiaTheme="majorEastAsia" w:cstheme="majorBidi"/>
                <w:bCs/>
                <w:color w:val="000000" w:themeColor="text1"/>
                <w:szCs w:val="26"/>
              </w:rPr>
            </w:pPr>
            <w:r w:rsidRPr="00EC385C">
              <w:rPr>
                <w:rFonts w:eastAsiaTheme="majorEastAsia" w:cstheme="majorBidi"/>
                <w:bCs/>
                <w:color w:val="000000" w:themeColor="text1"/>
                <w:szCs w:val="26"/>
              </w:rPr>
              <w:t>3</w:t>
            </w:r>
          </w:p>
        </w:tc>
        <w:tc>
          <w:tcPr>
            <w:tcW w:w="884" w:type="dxa"/>
            <w:noWrap/>
            <w:hideMark/>
          </w:tcPr>
          <w:p w14:paraId="6ACEA6EA" w14:textId="77777777" w:rsidR="00EC385C" w:rsidRPr="00EC385C" w:rsidRDefault="00EC385C" w:rsidP="00B37A9F">
            <w:pPr>
              <w:tabs>
                <w:tab w:val="left" w:pos="5400"/>
              </w:tabs>
              <w:spacing w:line="240" w:lineRule="auto"/>
              <w:rPr>
                <w:rFonts w:eastAsiaTheme="majorEastAsia" w:cstheme="majorBidi"/>
                <w:bCs/>
                <w:color w:val="000000" w:themeColor="text1"/>
                <w:szCs w:val="26"/>
              </w:rPr>
            </w:pPr>
            <w:r w:rsidRPr="00EC385C">
              <w:rPr>
                <w:rFonts w:eastAsiaTheme="majorEastAsia" w:cstheme="majorBidi"/>
                <w:bCs/>
                <w:color w:val="000000" w:themeColor="text1"/>
                <w:szCs w:val="26"/>
              </w:rPr>
              <w:t>20</w:t>
            </w:r>
          </w:p>
        </w:tc>
        <w:tc>
          <w:tcPr>
            <w:tcW w:w="884" w:type="dxa"/>
            <w:noWrap/>
            <w:hideMark/>
          </w:tcPr>
          <w:p w14:paraId="14E64883" w14:textId="77777777" w:rsidR="00EC385C" w:rsidRPr="00EC385C" w:rsidRDefault="00EC385C" w:rsidP="00B37A9F">
            <w:pPr>
              <w:tabs>
                <w:tab w:val="left" w:pos="5400"/>
              </w:tabs>
              <w:spacing w:line="240" w:lineRule="auto"/>
              <w:rPr>
                <w:rFonts w:eastAsiaTheme="majorEastAsia" w:cstheme="majorBidi"/>
                <w:bCs/>
                <w:color w:val="000000" w:themeColor="text1"/>
                <w:szCs w:val="26"/>
              </w:rPr>
            </w:pPr>
            <w:r w:rsidRPr="00EC385C">
              <w:rPr>
                <w:rFonts w:eastAsiaTheme="majorEastAsia" w:cstheme="majorBidi"/>
                <w:bCs/>
                <w:color w:val="000000" w:themeColor="text1"/>
                <w:szCs w:val="26"/>
              </w:rPr>
              <w:t>19</w:t>
            </w:r>
          </w:p>
        </w:tc>
        <w:tc>
          <w:tcPr>
            <w:tcW w:w="884" w:type="dxa"/>
            <w:noWrap/>
            <w:hideMark/>
          </w:tcPr>
          <w:p w14:paraId="61787379" w14:textId="77777777" w:rsidR="00EC385C" w:rsidRPr="00EC385C" w:rsidRDefault="00EC385C" w:rsidP="00B37A9F">
            <w:pPr>
              <w:tabs>
                <w:tab w:val="left" w:pos="5400"/>
              </w:tabs>
              <w:spacing w:line="240" w:lineRule="auto"/>
              <w:rPr>
                <w:rFonts w:eastAsiaTheme="majorEastAsia" w:cstheme="majorBidi"/>
                <w:bCs/>
                <w:color w:val="000000" w:themeColor="text1"/>
                <w:szCs w:val="26"/>
              </w:rPr>
            </w:pPr>
            <w:r w:rsidRPr="00EC385C">
              <w:rPr>
                <w:rFonts w:eastAsiaTheme="majorEastAsia" w:cstheme="majorBidi"/>
                <w:bCs/>
                <w:color w:val="000000" w:themeColor="text1"/>
                <w:szCs w:val="26"/>
              </w:rPr>
              <w:t>12</w:t>
            </w:r>
          </w:p>
        </w:tc>
      </w:tr>
    </w:tbl>
    <w:p w14:paraId="533E5A37" w14:textId="77777777" w:rsidR="00EC385C" w:rsidRPr="00EC385C" w:rsidRDefault="00EC385C" w:rsidP="00EC385C">
      <w:pPr>
        <w:tabs>
          <w:tab w:val="left" w:pos="5400"/>
        </w:tabs>
        <w:rPr>
          <w:rFonts w:eastAsiaTheme="majorEastAsia" w:cstheme="majorBidi"/>
          <w:bCs/>
          <w:i/>
          <w:iCs/>
          <w:color w:val="000000" w:themeColor="text1"/>
          <w:sz w:val="20"/>
          <w:szCs w:val="22"/>
        </w:rPr>
      </w:pPr>
      <w:r w:rsidRPr="00EC385C">
        <w:rPr>
          <w:rFonts w:eastAsiaTheme="majorEastAsia" w:cstheme="majorBidi"/>
          <w:bCs/>
          <w:i/>
          <w:iCs/>
          <w:color w:val="000000" w:themeColor="text1"/>
          <w:sz w:val="20"/>
          <w:szCs w:val="22"/>
        </w:rPr>
        <w:t xml:space="preserve">All statistics are provisional and should be treated as management information. </w:t>
      </w:r>
      <w:r w:rsidRPr="00EC385C">
        <w:rPr>
          <w:rFonts w:eastAsiaTheme="majorEastAsia" w:cstheme="majorBidi"/>
          <w:bCs/>
          <w:i/>
          <w:iCs/>
          <w:color w:val="000000" w:themeColor="text1"/>
          <w:sz w:val="20"/>
          <w:szCs w:val="22"/>
        </w:rPr>
        <w:br/>
        <w:t>Data was extracted from Police Scotland systems and are correct as at 19/03/2025.</w:t>
      </w:r>
      <w:r w:rsidRPr="00EC385C">
        <w:rPr>
          <w:rFonts w:eastAsiaTheme="majorEastAsia" w:cstheme="majorBidi"/>
          <w:bCs/>
          <w:i/>
          <w:iCs/>
          <w:color w:val="000000" w:themeColor="text1"/>
          <w:sz w:val="20"/>
          <w:szCs w:val="22"/>
        </w:rPr>
        <w:br/>
        <w:t>Data was extracted using the incident's raised date and covers the period 1 January 2020 to 28 February 2025, inclusive.</w:t>
      </w:r>
      <w:r w:rsidRPr="00EC385C">
        <w:rPr>
          <w:rFonts w:eastAsiaTheme="majorEastAsia" w:cstheme="majorBidi"/>
          <w:bCs/>
          <w:i/>
          <w:iCs/>
          <w:color w:val="000000" w:themeColor="text1"/>
          <w:sz w:val="20"/>
          <w:szCs w:val="22"/>
        </w:rPr>
        <w:br/>
        <w:t>Specified areas have been selected using the Ordnance Survey National Geographic Database.</w:t>
      </w:r>
      <w:r w:rsidRPr="00EC385C">
        <w:rPr>
          <w:rFonts w:eastAsiaTheme="majorEastAsia" w:cstheme="majorBidi"/>
          <w:bCs/>
          <w:i/>
          <w:iCs/>
          <w:color w:val="000000" w:themeColor="text1"/>
          <w:sz w:val="20"/>
          <w:szCs w:val="22"/>
        </w:rPr>
        <w:br/>
        <w:t>Error and transferred incidents have been removed.</w:t>
      </w:r>
      <w:r w:rsidRPr="00EC385C">
        <w:rPr>
          <w:rFonts w:eastAsiaTheme="majorEastAsia" w:cstheme="majorBidi"/>
          <w:bCs/>
          <w:i/>
          <w:iCs/>
          <w:color w:val="000000" w:themeColor="text1"/>
          <w:sz w:val="20"/>
          <w:szCs w:val="22"/>
        </w:rPr>
        <w:tab/>
      </w:r>
      <w:r w:rsidRPr="00EC385C">
        <w:rPr>
          <w:rFonts w:eastAsiaTheme="majorEastAsia" w:cstheme="majorBidi"/>
          <w:bCs/>
          <w:i/>
          <w:iCs/>
          <w:color w:val="000000" w:themeColor="text1"/>
          <w:sz w:val="20"/>
          <w:szCs w:val="22"/>
        </w:rPr>
        <w:tab/>
      </w:r>
      <w:r w:rsidRPr="00EC385C">
        <w:rPr>
          <w:rFonts w:eastAsiaTheme="majorEastAsia" w:cstheme="majorBidi"/>
          <w:bCs/>
          <w:i/>
          <w:iCs/>
          <w:color w:val="000000" w:themeColor="text1"/>
          <w:sz w:val="20"/>
          <w:szCs w:val="22"/>
        </w:rPr>
        <w:tab/>
      </w:r>
      <w:r w:rsidRPr="00EC385C">
        <w:rPr>
          <w:rFonts w:eastAsiaTheme="majorEastAsia" w:cstheme="majorBidi"/>
          <w:bCs/>
          <w:i/>
          <w:iCs/>
          <w:color w:val="000000" w:themeColor="text1"/>
          <w:sz w:val="20"/>
          <w:szCs w:val="22"/>
        </w:rPr>
        <w:tab/>
      </w:r>
      <w:r w:rsidRPr="00EC385C">
        <w:rPr>
          <w:rFonts w:eastAsiaTheme="majorEastAsia" w:cstheme="majorBidi"/>
          <w:bCs/>
          <w:i/>
          <w:iCs/>
          <w:color w:val="000000" w:themeColor="text1"/>
          <w:sz w:val="20"/>
          <w:szCs w:val="22"/>
        </w:rPr>
        <w:tab/>
      </w:r>
    </w:p>
    <w:p w14:paraId="4F6DFE45" w14:textId="77777777" w:rsidR="00EC385C" w:rsidRDefault="00EC385C" w:rsidP="00EC385C">
      <w:pPr>
        <w:tabs>
          <w:tab w:val="left" w:pos="5400"/>
        </w:tabs>
        <w:rPr>
          <w:rFonts w:eastAsiaTheme="majorEastAsia" w:cstheme="majorBidi"/>
          <w:b/>
          <w:color w:val="000000" w:themeColor="text1"/>
          <w:szCs w:val="26"/>
        </w:rPr>
      </w:pPr>
    </w:p>
    <w:p w14:paraId="6CD1C5DC" w14:textId="5B7FC978" w:rsidR="00F81742" w:rsidRDefault="00F81742" w:rsidP="00F81742">
      <w:pPr>
        <w:pStyle w:val="ListParagraph"/>
        <w:numPr>
          <w:ilvl w:val="0"/>
          <w:numId w:val="2"/>
        </w:numPr>
        <w:tabs>
          <w:tab w:val="left" w:pos="5400"/>
        </w:tabs>
        <w:rPr>
          <w:rFonts w:eastAsiaTheme="majorEastAsia" w:cstheme="majorBidi"/>
          <w:b/>
          <w:color w:val="000000" w:themeColor="text1"/>
          <w:szCs w:val="26"/>
        </w:rPr>
      </w:pPr>
      <w:r w:rsidRPr="00F81742">
        <w:rPr>
          <w:rFonts w:eastAsiaTheme="majorEastAsia" w:cstheme="majorBidi"/>
          <w:b/>
          <w:color w:val="000000" w:themeColor="text1"/>
          <w:szCs w:val="26"/>
        </w:rPr>
        <w:lastRenderedPageBreak/>
        <w:t xml:space="preserve">Of the number above, how many weapons were seized and lodged for destruction; and </w:t>
      </w:r>
    </w:p>
    <w:p w14:paraId="1D9899E7" w14:textId="77777777" w:rsidR="00780B35" w:rsidRDefault="00780B35"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02550232" w14:textId="77777777" w:rsidR="00780B35" w:rsidRPr="00453F0A" w:rsidRDefault="00780B35" w:rsidP="006879B0">
      <w:r>
        <w:t>I am therefore refusing to provide the information sought in terms of s</w:t>
      </w:r>
      <w:r w:rsidRPr="00453F0A">
        <w:t xml:space="preserve">ection 12(1) </w:t>
      </w:r>
      <w:r>
        <w:t xml:space="preserve">- </w:t>
      </w:r>
      <w:r w:rsidRPr="00453F0A">
        <w:t>Excessive Cost of Compliance.</w:t>
      </w:r>
    </w:p>
    <w:p w14:paraId="2B221991" w14:textId="1A10DA25" w:rsidR="00780B35" w:rsidRDefault="00780B35" w:rsidP="00780B35">
      <w:pPr>
        <w:rPr>
          <w:rFonts w:eastAsiaTheme="majorEastAsia" w:cstheme="majorBidi"/>
          <w:bCs/>
          <w:color w:val="000000" w:themeColor="text1"/>
          <w:szCs w:val="26"/>
        </w:rPr>
      </w:pPr>
      <w:r>
        <w:rPr>
          <w:rFonts w:eastAsiaTheme="majorEastAsia" w:cstheme="majorBidi"/>
          <w:bCs/>
          <w:color w:val="000000" w:themeColor="text1"/>
          <w:szCs w:val="26"/>
        </w:rPr>
        <w:t xml:space="preserve">To explain, it would be necessary to individually examine all </w:t>
      </w:r>
      <w:r w:rsidR="00C26AE2">
        <w:rPr>
          <w:rFonts w:eastAsiaTheme="majorEastAsia" w:cstheme="majorBidi"/>
          <w:bCs/>
          <w:color w:val="000000" w:themeColor="text1"/>
          <w:szCs w:val="26"/>
        </w:rPr>
        <w:t>95 STORM reports as well as any associated crime reports/ standard prosecution reports to establish what weapons, if any, were seized as productions as a result of these incidents.</w:t>
      </w:r>
    </w:p>
    <w:p w14:paraId="4F7B6836" w14:textId="77777777" w:rsidR="00C26AE2" w:rsidRDefault="00C26AE2" w:rsidP="00780B35">
      <w:pPr>
        <w:rPr>
          <w:rFonts w:eastAsiaTheme="majorEastAsia" w:cstheme="majorBidi"/>
          <w:bCs/>
          <w:color w:val="000000" w:themeColor="text1"/>
          <w:szCs w:val="26"/>
        </w:rPr>
      </w:pPr>
      <w:r>
        <w:rPr>
          <w:rFonts w:eastAsiaTheme="majorEastAsia" w:cstheme="majorBidi"/>
          <w:bCs/>
          <w:color w:val="000000" w:themeColor="text1"/>
          <w:szCs w:val="26"/>
        </w:rPr>
        <w:t xml:space="preserve">To be of assistance however, </w:t>
      </w:r>
      <w:r w:rsidR="00780B35" w:rsidRPr="00780B35">
        <w:rPr>
          <w:rFonts w:eastAsiaTheme="majorEastAsia" w:cstheme="majorBidi"/>
          <w:bCs/>
          <w:color w:val="000000" w:themeColor="text1"/>
          <w:szCs w:val="26"/>
        </w:rPr>
        <w:t>we have sought data from colleagues in our Border Policing Command team, who collate data</w:t>
      </w:r>
      <w:r>
        <w:rPr>
          <w:rFonts w:eastAsiaTheme="majorEastAsia" w:cstheme="majorBidi"/>
          <w:bCs/>
          <w:color w:val="000000" w:themeColor="text1"/>
          <w:szCs w:val="26"/>
        </w:rPr>
        <w:t xml:space="preserve"> regarding items surrendered</w:t>
      </w:r>
      <w:r w:rsidR="00780B35" w:rsidRPr="00780B35">
        <w:rPr>
          <w:rFonts w:eastAsiaTheme="majorEastAsia" w:cstheme="majorBidi"/>
          <w:bCs/>
          <w:color w:val="000000" w:themeColor="text1"/>
          <w:szCs w:val="26"/>
        </w:rPr>
        <w:t xml:space="preserve">.  </w:t>
      </w:r>
    </w:p>
    <w:p w14:paraId="1CD7597C" w14:textId="2684CB63" w:rsidR="00F81742" w:rsidRDefault="00780B35" w:rsidP="00780B35">
      <w:pPr>
        <w:rPr>
          <w:rFonts w:eastAsiaTheme="majorEastAsia" w:cstheme="majorBidi"/>
          <w:bCs/>
          <w:color w:val="000000" w:themeColor="text1"/>
          <w:szCs w:val="26"/>
        </w:rPr>
      </w:pPr>
      <w:r w:rsidRPr="00780B35">
        <w:rPr>
          <w:rFonts w:eastAsiaTheme="majorEastAsia" w:cstheme="majorBidi"/>
          <w:bCs/>
          <w:color w:val="000000" w:themeColor="text1"/>
          <w:szCs w:val="26"/>
        </w:rPr>
        <w:t>The results are as follows:</w:t>
      </w:r>
    </w:p>
    <w:p w14:paraId="550AB89B" w14:textId="57A93B9D" w:rsidR="00780B35" w:rsidRPr="00780B35" w:rsidRDefault="00780B35" w:rsidP="00780B35">
      <w:pPr>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2020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223 (181 knife or bladed, 24 spray, 12 s/g cartridges, 6 bullets)</w:t>
      </w:r>
    </w:p>
    <w:p w14:paraId="1758E87B" w14:textId="28B1836D" w:rsidR="00780B35" w:rsidRPr="00780B35" w:rsidRDefault="00780B35" w:rsidP="00780B35">
      <w:pPr>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2021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367 (334 knife or bladed, 16 spray, 10 s/g cartridges, 7 bullets)</w:t>
      </w:r>
    </w:p>
    <w:p w14:paraId="48DB65D0" w14:textId="0505682D" w:rsidR="00780B35" w:rsidRPr="00780B35" w:rsidRDefault="00780B35" w:rsidP="00780B35">
      <w:pPr>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2022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736 (633 knife or bladed, 68 spray, 6 s/g cartridges, 26 bullets, 3 other)</w:t>
      </w:r>
    </w:p>
    <w:p w14:paraId="23DDC012" w14:textId="5D6A89E8" w:rsidR="00780B35" w:rsidRPr="00780B35" w:rsidRDefault="00780B35" w:rsidP="00780B35">
      <w:pPr>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2023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1096 (904 knife or bladed, 91 spray, 22 s/g cartridges, 34 bullets, 45 other) </w:t>
      </w:r>
    </w:p>
    <w:p w14:paraId="0B9FEED5" w14:textId="44D89FB5" w:rsidR="00780B35" w:rsidRDefault="00780B35" w:rsidP="00780B35">
      <w:pPr>
        <w:rPr>
          <w:rFonts w:eastAsiaTheme="majorEastAsia" w:cstheme="majorBidi"/>
          <w:bCs/>
          <w:color w:val="000000" w:themeColor="text1"/>
          <w:szCs w:val="26"/>
        </w:rPr>
      </w:pPr>
      <w:r w:rsidRPr="00780B35">
        <w:rPr>
          <w:rFonts w:eastAsiaTheme="majorEastAsia" w:cstheme="majorBidi"/>
          <w:bCs/>
          <w:color w:val="000000" w:themeColor="text1"/>
          <w:szCs w:val="26"/>
        </w:rPr>
        <w:t xml:space="preserve">2024 </w:t>
      </w:r>
      <w:r>
        <w:rPr>
          <w:rFonts w:eastAsiaTheme="majorEastAsia" w:cstheme="majorBidi"/>
          <w:bCs/>
          <w:color w:val="000000" w:themeColor="text1"/>
          <w:szCs w:val="26"/>
        </w:rPr>
        <w:t>-</w:t>
      </w:r>
      <w:r w:rsidRPr="00780B35">
        <w:rPr>
          <w:rFonts w:eastAsiaTheme="majorEastAsia" w:cstheme="majorBidi"/>
          <w:bCs/>
          <w:color w:val="000000" w:themeColor="text1"/>
          <w:szCs w:val="26"/>
        </w:rPr>
        <w:t xml:space="preserve"> 1041 (871 knife or bladed, 61 spray, 13 s/g cartridges, 32 bullets, 64 other)             </w:t>
      </w:r>
    </w:p>
    <w:p w14:paraId="46C52829" w14:textId="77777777" w:rsidR="00780B35" w:rsidRPr="00F81742" w:rsidRDefault="00780B35" w:rsidP="00F81742">
      <w:pPr>
        <w:pStyle w:val="ListParagraph"/>
        <w:tabs>
          <w:tab w:val="left" w:pos="5400"/>
        </w:tabs>
        <w:ind w:left="360"/>
        <w:rPr>
          <w:rFonts w:eastAsiaTheme="majorEastAsia" w:cstheme="majorBidi"/>
          <w:b/>
          <w:color w:val="000000" w:themeColor="text1"/>
          <w:szCs w:val="26"/>
        </w:rPr>
      </w:pPr>
    </w:p>
    <w:p w14:paraId="3EA0C854" w14:textId="2D5623E9" w:rsidR="00F81742" w:rsidRPr="00EC385C" w:rsidRDefault="00F81742" w:rsidP="00F81742">
      <w:pPr>
        <w:pStyle w:val="ListParagraph"/>
        <w:numPr>
          <w:ilvl w:val="0"/>
          <w:numId w:val="2"/>
        </w:numPr>
        <w:tabs>
          <w:tab w:val="left" w:pos="5400"/>
        </w:tabs>
        <w:rPr>
          <w:rFonts w:eastAsiaTheme="majorEastAsia" w:cstheme="majorBidi"/>
          <w:b/>
          <w:color w:val="000000" w:themeColor="text1"/>
          <w:szCs w:val="26"/>
        </w:rPr>
      </w:pPr>
      <w:r w:rsidRPr="00F81742">
        <w:rPr>
          <w:rFonts w:eastAsiaTheme="majorEastAsia" w:cstheme="majorBidi"/>
          <w:b/>
          <w:color w:val="000000" w:themeColor="text1"/>
          <w:szCs w:val="26"/>
        </w:rPr>
        <w:t xml:space="preserve">Within the aforementioned STORM incidents, how many led to a report to the Procurator Fiscal recommending prosecution. </w:t>
      </w:r>
    </w:p>
    <w:p w14:paraId="34BDABAA" w14:textId="041185CC" w:rsidR="00496A08" w:rsidRDefault="00780B35" w:rsidP="00F81742">
      <w:pPr>
        <w:tabs>
          <w:tab w:val="left" w:pos="5400"/>
        </w:tabs>
      </w:pPr>
      <w:r>
        <w:t>Again, i</w:t>
      </w:r>
      <w:r w:rsidRPr="00780B35">
        <w:t>n researching this part of your request, we have sought data from colleagues in our Border Policing Command team, who collate such data.  The results are as follows:</w:t>
      </w:r>
    </w:p>
    <w:p w14:paraId="12F8D939" w14:textId="49C4C787" w:rsidR="00780B35" w:rsidRDefault="00780B35" w:rsidP="00780B35">
      <w:pPr>
        <w:tabs>
          <w:tab w:val="left" w:pos="5400"/>
        </w:tabs>
      </w:pPr>
      <w:r>
        <w:t>Glasgow Airport</w:t>
      </w:r>
    </w:p>
    <w:p w14:paraId="6FB21E92" w14:textId="5A0B5C91" w:rsidR="00780B35" w:rsidRDefault="00780B35" w:rsidP="00780B35">
      <w:pPr>
        <w:tabs>
          <w:tab w:val="left" w:pos="5400"/>
        </w:tabs>
      </w:pPr>
      <w:r>
        <w:t xml:space="preserve">2020 - 1 S47 </w:t>
      </w:r>
      <w:r w:rsidR="00C26AE2">
        <w:t>Criminal Law Consolidation (Scotland) Act (CLCSA</w:t>
      </w:r>
      <w:r>
        <w:t>)</w:t>
      </w:r>
    </w:p>
    <w:p w14:paraId="1F4BB017" w14:textId="11476AC1" w:rsidR="00780B35" w:rsidRDefault="00780B35" w:rsidP="00780B35">
      <w:pPr>
        <w:tabs>
          <w:tab w:val="left" w:pos="5400"/>
        </w:tabs>
      </w:pPr>
      <w:r>
        <w:t>2021 - 2 1 x S47 CLCSA, 1 x S5 Firearms</w:t>
      </w:r>
    </w:p>
    <w:p w14:paraId="35AF2F4F" w14:textId="7BD71719" w:rsidR="00780B35" w:rsidRDefault="00780B35" w:rsidP="00780B35">
      <w:pPr>
        <w:tabs>
          <w:tab w:val="left" w:pos="5400"/>
        </w:tabs>
      </w:pPr>
      <w:r>
        <w:t>2022 - 5 1 x S47 CLCSA, 3 x S49 CLCSA 1 x S5 Firearms</w:t>
      </w:r>
    </w:p>
    <w:p w14:paraId="1CB6B215" w14:textId="19B17EE4" w:rsidR="00780B35" w:rsidRDefault="00780B35" w:rsidP="00780B35">
      <w:pPr>
        <w:tabs>
          <w:tab w:val="left" w:pos="5400"/>
        </w:tabs>
      </w:pPr>
      <w:r>
        <w:t>2023 - 23 4 x S47 CLCSA, 19 x S49 CLCSA</w:t>
      </w:r>
    </w:p>
    <w:p w14:paraId="27DA94F0" w14:textId="2C718819" w:rsidR="00780B35" w:rsidRDefault="00780B35" w:rsidP="00780B35">
      <w:pPr>
        <w:tabs>
          <w:tab w:val="left" w:pos="5400"/>
        </w:tabs>
      </w:pPr>
      <w:r>
        <w:t>2024 - 22 8 x S47 CLCSA, 12 x S49 CLCSA 2 x S5 Firearms</w:t>
      </w:r>
    </w:p>
    <w:p w14:paraId="38127363" w14:textId="77777777" w:rsidR="00780B35" w:rsidRDefault="00780B35" w:rsidP="00780B35">
      <w:pPr>
        <w:tabs>
          <w:tab w:val="left" w:pos="5400"/>
        </w:tabs>
      </w:pPr>
    </w:p>
    <w:p w14:paraId="36E16E90" w14:textId="65FD913E" w:rsidR="00780B35" w:rsidRDefault="00780B35" w:rsidP="00780B35">
      <w:pPr>
        <w:tabs>
          <w:tab w:val="left" w:pos="5400"/>
        </w:tabs>
      </w:pPr>
      <w:r>
        <w:lastRenderedPageBreak/>
        <w:t>Edinburgh Airport</w:t>
      </w:r>
    </w:p>
    <w:p w14:paraId="015B5CBD" w14:textId="64AD7C5E" w:rsidR="00780B35" w:rsidRDefault="00780B35" w:rsidP="00780B35">
      <w:pPr>
        <w:tabs>
          <w:tab w:val="left" w:pos="5400"/>
        </w:tabs>
      </w:pPr>
      <w:r>
        <w:t>2023 - 15 3 x S47 CLCSA, 12 S49 CLCSA</w:t>
      </w:r>
    </w:p>
    <w:p w14:paraId="29016AA5" w14:textId="6E892100" w:rsidR="00780B35" w:rsidRDefault="00780B35" w:rsidP="00780B35">
      <w:pPr>
        <w:tabs>
          <w:tab w:val="left" w:pos="5400"/>
        </w:tabs>
      </w:pPr>
      <w:r>
        <w:t>2024 - 22 16 x S47 CLCSA, 5 x S49 CLCSA 1 x S5 Firearms</w:t>
      </w:r>
    </w:p>
    <w:p w14:paraId="34BDABBD" w14:textId="0DD21D37" w:rsidR="00BF6B81" w:rsidRPr="00790BEC" w:rsidRDefault="00780B35" w:rsidP="00793DD5">
      <w:pPr>
        <w:tabs>
          <w:tab w:val="left" w:pos="5400"/>
        </w:tabs>
      </w:pPr>
      <w:r w:rsidRPr="00790BEC">
        <w:t>Data for 2020 - 2022 inclusive, in relation to Edinburgh Airport, is not specifically held by our Border Policing Command team</w:t>
      </w:r>
      <w:r w:rsidR="00C26AE2" w:rsidRPr="00790BEC">
        <w:t xml:space="preserve"> and so we have reviewed the 26 STORM reports for that period and cross referenced the name of the party involved with our Standard Prosecution Database.</w:t>
      </w:r>
    </w:p>
    <w:p w14:paraId="3A4EB883" w14:textId="6CEB6965" w:rsidR="00C26AE2" w:rsidRDefault="00C26AE2" w:rsidP="00793DD5">
      <w:pPr>
        <w:tabs>
          <w:tab w:val="left" w:pos="5400"/>
        </w:tabs>
      </w:pPr>
      <w:r w:rsidRPr="00790BEC">
        <w:t xml:space="preserve">On that basis, </w:t>
      </w:r>
      <w:r w:rsidR="00B0588C" w:rsidRPr="00790BEC">
        <w:t xml:space="preserve">I can advise that there were </w:t>
      </w:r>
      <w:r w:rsidR="00261783">
        <w:t>4 reports submitted</w:t>
      </w:r>
      <w:r w:rsidR="00B0588C" w:rsidRPr="00790BEC">
        <w:t xml:space="preserve"> to the Procurator Fiscal</w:t>
      </w:r>
      <w:r w:rsidR="00261783">
        <w:t xml:space="preserve">: </w:t>
      </w:r>
    </w:p>
    <w:p w14:paraId="44FCC57E" w14:textId="0E9FEE5B" w:rsidR="00261783" w:rsidRDefault="00261783" w:rsidP="00793DD5">
      <w:pPr>
        <w:tabs>
          <w:tab w:val="left" w:pos="5400"/>
        </w:tabs>
      </w:pPr>
      <w:r>
        <w:t>2020 – 2 x S47 CLCSA</w:t>
      </w:r>
    </w:p>
    <w:p w14:paraId="7AB62CD9" w14:textId="3A9C8E5E" w:rsidR="00261783" w:rsidRPr="00790BEC" w:rsidRDefault="00261783" w:rsidP="00793DD5">
      <w:pPr>
        <w:tabs>
          <w:tab w:val="left" w:pos="5400"/>
        </w:tabs>
      </w:pPr>
      <w:r>
        <w:t>2022 – 2 x S47 CLCSA</w:t>
      </w:r>
    </w:p>
    <w:p w14:paraId="192FDEB4" w14:textId="77777777" w:rsidR="00B0588C" w:rsidRDefault="00B0588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DF819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B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5B6C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B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301E5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B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ED69D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B9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053C0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B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D2E70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0B9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2D30"/>
    <w:multiLevelType w:val="hybridMultilevel"/>
    <w:tmpl w:val="8E8AD7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6414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80B9F"/>
    <w:rsid w:val="00195CC4"/>
    <w:rsid w:val="00207326"/>
    <w:rsid w:val="00253DF6"/>
    <w:rsid w:val="00255F1E"/>
    <w:rsid w:val="00261783"/>
    <w:rsid w:val="00297ED0"/>
    <w:rsid w:val="002E35C8"/>
    <w:rsid w:val="002F5274"/>
    <w:rsid w:val="0036503B"/>
    <w:rsid w:val="00376A4A"/>
    <w:rsid w:val="003D6D03"/>
    <w:rsid w:val="003E12CA"/>
    <w:rsid w:val="003E330D"/>
    <w:rsid w:val="004010DC"/>
    <w:rsid w:val="0041182D"/>
    <w:rsid w:val="004341F0"/>
    <w:rsid w:val="00456324"/>
    <w:rsid w:val="00457355"/>
    <w:rsid w:val="00475460"/>
    <w:rsid w:val="00490317"/>
    <w:rsid w:val="00491644"/>
    <w:rsid w:val="00496A08"/>
    <w:rsid w:val="004E1605"/>
    <w:rsid w:val="004F653C"/>
    <w:rsid w:val="00540A52"/>
    <w:rsid w:val="00555691"/>
    <w:rsid w:val="00557306"/>
    <w:rsid w:val="00645CFA"/>
    <w:rsid w:val="00685219"/>
    <w:rsid w:val="006D5799"/>
    <w:rsid w:val="006F4F2A"/>
    <w:rsid w:val="007440EA"/>
    <w:rsid w:val="00750D83"/>
    <w:rsid w:val="00763161"/>
    <w:rsid w:val="00780B35"/>
    <w:rsid w:val="00785DBC"/>
    <w:rsid w:val="00790BEC"/>
    <w:rsid w:val="00793DD5"/>
    <w:rsid w:val="007B0825"/>
    <w:rsid w:val="007D55F6"/>
    <w:rsid w:val="007F490F"/>
    <w:rsid w:val="0086779C"/>
    <w:rsid w:val="00874BFD"/>
    <w:rsid w:val="008964EF"/>
    <w:rsid w:val="00915E01"/>
    <w:rsid w:val="009631A4"/>
    <w:rsid w:val="00977296"/>
    <w:rsid w:val="00A25E93"/>
    <w:rsid w:val="00A31697"/>
    <w:rsid w:val="00A320FF"/>
    <w:rsid w:val="00A70AC0"/>
    <w:rsid w:val="00A84EA9"/>
    <w:rsid w:val="00A90B35"/>
    <w:rsid w:val="00AC443C"/>
    <w:rsid w:val="00AD642E"/>
    <w:rsid w:val="00B033D6"/>
    <w:rsid w:val="00B0588C"/>
    <w:rsid w:val="00B11A55"/>
    <w:rsid w:val="00B17211"/>
    <w:rsid w:val="00B461B2"/>
    <w:rsid w:val="00B654B6"/>
    <w:rsid w:val="00B71B3C"/>
    <w:rsid w:val="00BC389E"/>
    <w:rsid w:val="00BE1888"/>
    <w:rsid w:val="00BF6B81"/>
    <w:rsid w:val="00C077A8"/>
    <w:rsid w:val="00C14FF4"/>
    <w:rsid w:val="00C1679F"/>
    <w:rsid w:val="00C26AE2"/>
    <w:rsid w:val="00C606A2"/>
    <w:rsid w:val="00C63872"/>
    <w:rsid w:val="00C84948"/>
    <w:rsid w:val="00C94ED8"/>
    <w:rsid w:val="00CF1111"/>
    <w:rsid w:val="00D05706"/>
    <w:rsid w:val="00D27DC5"/>
    <w:rsid w:val="00D47E36"/>
    <w:rsid w:val="00DA6F87"/>
    <w:rsid w:val="00E0673A"/>
    <w:rsid w:val="00E12B0C"/>
    <w:rsid w:val="00E25AB4"/>
    <w:rsid w:val="00E55D79"/>
    <w:rsid w:val="00E6632D"/>
    <w:rsid w:val="00EC385C"/>
    <w:rsid w:val="00EE2373"/>
    <w:rsid w:val="00EF0FBB"/>
    <w:rsid w:val="00EF4761"/>
    <w:rsid w:val="00F8174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165661">
      <w:bodyDiv w:val="1"/>
      <w:marLeft w:val="0"/>
      <w:marRight w:val="0"/>
      <w:marTop w:val="0"/>
      <w:marBottom w:val="0"/>
      <w:divBdr>
        <w:top w:val="none" w:sz="0" w:space="0" w:color="auto"/>
        <w:left w:val="none" w:sz="0" w:space="0" w:color="auto"/>
        <w:bottom w:val="none" w:sz="0" w:space="0" w:color="auto"/>
        <w:right w:val="none" w:sz="0" w:space="0" w:color="auto"/>
      </w:divBdr>
    </w:div>
    <w:div w:id="345326616">
      <w:bodyDiv w:val="1"/>
      <w:marLeft w:val="0"/>
      <w:marRight w:val="0"/>
      <w:marTop w:val="0"/>
      <w:marBottom w:val="0"/>
      <w:divBdr>
        <w:top w:val="none" w:sz="0" w:space="0" w:color="auto"/>
        <w:left w:val="none" w:sz="0" w:space="0" w:color="auto"/>
        <w:bottom w:val="none" w:sz="0" w:space="0" w:color="auto"/>
        <w:right w:val="none" w:sz="0" w:space="0" w:color="auto"/>
      </w:divBdr>
    </w:div>
    <w:div w:id="416751022">
      <w:bodyDiv w:val="1"/>
      <w:marLeft w:val="0"/>
      <w:marRight w:val="0"/>
      <w:marTop w:val="0"/>
      <w:marBottom w:val="0"/>
      <w:divBdr>
        <w:top w:val="none" w:sz="0" w:space="0" w:color="auto"/>
        <w:left w:val="none" w:sz="0" w:space="0" w:color="auto"/>
        <w:bottom w:val="none" w:sz="0" w:space="0" w:color="auto"/>
        <w:right w:val="none" w:sz="0" w:space="0" w:color="auto"/>
      </w:divBdr>
    </w:div>
    <w:div w:id="536426647">
      <w:bodyDiv w:val="1"/>
      <w:marLeft w:val="0"/>
      <w:marRight w:val="0"/>
      <w:marTop w:val="0"/>
      <w:marBottom w:val="0"/>
      <w:divBdr>
        <w:top w:val="none" w:sz="0" w:space="0" w:color="auto"/>
        <w:left w:val="none" w:sz="0" w:space="0" w:color="auto"/>
        <w:bottom w:val="none" w:sz="0" w:space="0" w:color="auto"/>
        <w:right w:val="none" w:sz="0" w:space="0" w:color="auto"/>
      </w:divBdr>
    </w:div>
    <w:div w:id="587542089">
      <w:bodyDiv w:val="1"/>
      <w:marLeft w:val="0"/>
      <w:marRight w:val="0"/>
      <w:marTop w:val="0"/>
      <w:marBottom w:val="0"/>
      <w:divBdr>
        <w:top w:val="none" w:sz="0" w:space="0" w:color="auto"/>
        <w:left w:val="none" w:sz="0" w:space="0" w:color="auto"/>
        <w:bottom w:val="none" w:sz="0" w:space="0" w:color="auto"/>
        <w:right w:val="none" w:sz="0" w:space="0" w:color="auto"/>
      </w:divBdr>
    </w:div>
    <w:div w:id="909736188">
      <w:bodyDiv w:val="1"/>
      <w:marLeft w:val="0"/>
      <w:marRight w:val="0"/>
      <w:marTop w:val="0"/>
      <w:marBottom w:val="0"/>
      <w:divBdr>
        <w:top w:val="none" w:sz="0" w:space="0" w:color="auto"/>
        <w:left w:val="none" w:sz="0" w:space="0" w:color="auto"/>
        <w:bottom w:val="none" w:sz="0" w:space="0" w:color="auto"/>
        <w:right w:val="none" w:sz="0" w:space="0" w:color="auto"/>
      </w:divBdr>
    </w:div>
    <w:div w:id="1039358097">
      <w:bodyDiv w:val="1"/>
      <w:marLeft w:val="0"/>
      <w:marRight w:val="0"/>
      <w:marTop w:val="0"/>
      <w:marBottom w:val="0"/>
      <w:divBdr>
        <w:top w:val="none" w:sz="0" w:space="0" w:color="auto"/>
        <w:left w:val="none" w:sz="0" w:space="0" w:color="auto"/>
        <w:bottom w:val="none" w:sz="0" w:space="0" w:color="auto"/>
        <w:right w:val="none" w:sz="0" w:space="0" w:color="auto"/>
      </w:divBdr>
    </w:div>
    <w:div w:id="1137605557">
      <w:bodyDiv w:val="1"/>
      <w:marLeft w:val="0"/>
      <w:marRight w:val="0"/>
      <w:marTop w:val="0"/>
      <w:marBottom w:val="0"/>
      <w:divBdr>
        <w:top w:val="none" w:sz="0" w:space="0" w:color="auto"/>
        <w:left w:val="none" w:sz="0" w:space="0" w:color="auto"/>
        <w:bottom w:val="none" w:sz="0" w:space="0" w:color="auto"/>
        <w:right w:val="none" w:sz="0" w:space="0" w:color="auto"/>
      </w:divBdr>
    </w:div>
    <w:div w:id="1149399141">
      <w:bodyDiv w:val="1"/>
      <w:marLeft w:val="0"/>
      <w:marRight w:val="0"/>
      <w:marTop w:val="0"/>
      <w:marBottom w:val="0"/>
      <w:divBdr>
        <w:top w:val="none" w:sz="0" w:space="0" w:color="auto"/>
        <w:left w:val="none" w:sz="0" w:space="0" w:color="auto"/>
        <w:bottom w:val="none" w:sz="0" w:space="0" w:color="auto"/>
        <w:right w:val="none" w:sz="0" w:space="0" w:color="auto"/>
      </w:divBdr>
    </w:div>
    <w:div w:id="1317415749">
      <w:bodyDiv w:val="1"/>
      <w:marLeft w:val="0"/>
      <w:marRight w:val="0"/>
      <w:marTop w:val="0"/>
      <w:marBottom w:val="0"/>
      <w:divBdr>
        <w:top w:val="none" w:sz="0" w:space="0" w:color="auto"/>
        <w:left w:val="none" w:sz="0" w:space="0" w:color="auto"/>
        <w:bottom w:val="none" w:sz="0" w:space="0" w:color="auto"/>
        <w:right w:val="none" w:sz="0" w:space="0" w:color="auto"/>
      </w:divBdr>
    </w:div>
    <w:div w:id="1656762559">
      <w:bodyDiv w:val="1"/>
      <w:marLeft w:val="0"/>
      <w:marRight w:val="0"/>
      <w:marTop w:val="0"/>
      <w:marBottom w:val="0"/>
      <w:divBdr>
        <w:top w:val="none" w:sz="0" w:space="0" w:color="auto"/>
        <w:left w:val="none" w:sz="0" w:space="0" w:color="auto"/>
        <w:bottom w:val="none" w:sz="0" w:space="0" w:color="auto"/>
        <w:right w:val="none" w:sz="0" w:space="0" w:color="auto"/>
      </w:divBdr>
    </w:div>
    <w:div w:id="1665472297">
      <w:bodyDiv w:val="1"/>
      <w:marLeft w:val="0"/>
      <w:marRight w:val="0"/>
      <w:marTop w:val="0"/>
      <w:marBottom w:val="0"/>
      <w:divBdr>
        <w:top w:val="none" w:sz="0" w:space="0" w:color="auto"/>
        <w:left w:val="none" w:sz="0" w:space="0" w:color="auto"/>
        <w:bottom w:val="none" w:sz="0" w:space="0" w:color="auto"/>
        <w:right w:val="none" w:sz="0" w:space="0" w:color="auto"/>
      </w:divBdr>
    </w:div>
    <w:div w:id="20133386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1016</Words>
  <Characters>5796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