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111B56A" w:rsidR="00B17211" w:rsidRPr="00B17211" w:rsidRDefault="00B17211" w:rsidP="007F490F">
            <w:r w:rsidRPr="007F490F">
              <w:rPr>
                <w:rStyle w:val="Heading2Char"/>
              </w:rPr>
              <w:t>Our reference:</w:t>
            </w:r>
            <w:r>
              <w:t xml:space="preserve">  FOI 2</w:t>
            </w:r>
            <w:r w:rsidR="00EF0FBB">
              <w:t>5</w:t>
            </w:r>
            <w:r>
              <w:t>-</w:t>
            </w:r>
            <w:r w:rsidR="00F975F0">
              <w:t>3427</w:t>
            </w:r>
          </w:p>
          <w:p w14:paraId="34BDABA6" w14:textId="390A2295" w:rsidR="00B17211" w:rsidRDefault="00456324" w:rsidP="00EE2373">
            <w:r w:rsidRPr="007F490F">
              <w:rPr>
                <w:rStyle w:val="Heading2Char"/>
              </w:rPr>
              <w:t>Respon</w:t>
            </w:r>
            <w:r w:rsidR="007D55F6">
              <w:rPr>
                <w:rStyle w:val="Heading2Char"/>
              </w:rPr>
              <w:t>ded to:</w:t>
            </w:r>
            <w:r w:rsidR="007F490F">
              <w:t xml:space="preserve">  </w:t>
            </w:r>
            <w:r w:rsidR="00231783">
              <w:t>1</w:t>
            </w:r>
            <w:r w:rsidR="002B341F">
              <w:t>1</w:t>
            </w:r>
            <w:r w:rsidR="00407E7F">
              <w:t xml:space="preserve"> December</w:t>
            </w:r>
            <w:r w:rsidR="00F975F0">
              <w:t xml:space="preserve"> </w:t>
            </w:r>
            <w:r>
              <w:t>202</w:t>
            </w:r>
            <w:r w:rsidR="00EF0FBB">
              <w:t>5</w:t>
            </w:r>
          </w:p>
        </w:tc>
      </w:tr>
    </w:tbl>
    <w:p w14:paraId="321BD7A9" w14:textId="5C8FDAB9" w:rsidR="00F975F0" w:rsidRPr="00F975F0" w:rsidRDefault="00793DD5" w:rsidP="00F975F0">
      <w:pPr>
        <w:rPr>
          <w:b/>
          <w:bCs/>
        </w:rPr>
      </w:pPr>
      <w:r w:rsidRPr="00793DD5">
        <w:t xml:space="preserve">Your recent request for information is replicated below, together with </w:t>
      </w:r>
      <w:r w:rsidR="004341F0">
        <w:t>our</w:t>
      </w:r>
      <w:r w:rsidRPr="00793DD5">
        <w:t xml:space="preserve"> response.</w:t>
      </w:r>
      <w:r w:rsidR="00F975F0">
        <w:t xml:space="preserve"> </w:t>
      </w:r>
    </w:p>
    <w:p w14:paraId="234360EA" w14:textId="672C8D1D" w:rsidR="00F975F0" w:rsidRPr="00F975F0" w:rsidRDefault="00F975F0" w:rsidP="00F975F0">
      <w:pPr>
        <w:pStyle w:val="Heading2"/>
      </w:pPr>
      <w:r w:rsidRPr="00F975F0">
        <w:t>I submitted an FOI around 3 years ago in relation to the siting of a mobile camera (in a van) that was parking on a Northbound stretch of the A899 in Livingston after the sliproad/exit for the main shopping complex. The location can currently be seen on the PS webpage showing where mobile cameras are operating. </w:t>
      </w:r>
    </w:p>
    <w:p w14:paraId="6AE9B650" w14:textId="77777777" w:rsidR="00F975F0" w:rsidRPr="00F975F0" w:rsidRDefault="00F975F0" w:rsidP="00F975F0">
      <w:pPr>
        <w:pStyle w:val="Heading2"/>
      </w:pPr>
      <w:r w:rsidRPr="00F975F0">
        <w:t>It was clear from the data supplied to me by way of the above response that the accident and injury rate was very low based on the volume of traffic daily on that stretch of road. As I'm not aware of any increase in these numbers in the last 3 years, I was very surprised to see the van operating there again.</w:t>
      </w:r>
    </w:p>
    <w:p w14:paraId="766EC494" w14:textId="77777777" w:rsidR="00F975F0" w:rsidRPr="00F975F0" w:rsidRDefault="00F975F0" w:rsidP="00F975F0">
      <w:pPr>
        <w:pStyle w:val="Heading2"/>
      </w:pPr>
      <w:r w:rsidRPr="00F975F0">
        <w:t>Therefore, under FOI, I hereby request: </w:t>
      </w:r>
    </w:p>
    <w:p w14:paraId="0669B96F" w14:textId="6047EF48" w:rsidR="00F975F0" w:rsidRDefault="00F975F0" w:rsidP="00F975F0">
      <w:pPr>
        <w:pStyle w:val="Heading2"/>
        <w:numPr>
          <w:ilvl w:val="0"/>
          <w:numId w:val="2"/>
        </w:numPr>
        <w:tabs>
          <w:tab w:val="clear" w:pos="720"/>
          <w:tab w:val="num" w:pos="360"/>
        </w:tabs>
        <w:ind w:left="360"/>
      </w:pPr>
      <w:r w:rsidRPr="00F975F0">
        <w:t> Data relating to the "</w:t>
      </w:r>
      <w:r w:rsidRPr="00F975F0">
        <w:rPr>
          <w:i/>
          <w:iCs/>
        </w:rPr>
        <w:t>history of injury collisions - and people injured at or near this location and how severely they were injured,</w:t>
      </w:r>
      <w:r w:rsidRPr="00F975F0">
        <w:t xml:space="preserve"> from 1 January 2023 to 30 September 2025, with the data laid out per calendar year;   </w:t>
      </w:r>
    </w:p>
    <w:p w14:paraId="51755047" w14:textId="77777777" w:rsidR="00FE2470" w:rsidRDefault="00FE2470" w:rsidP="00FE2470">
      <w:pPr>
        <w:pStyle w:val="ListParagraph"/>
        <w:tabs>
          <w:tab w:val="left" w:pos="5400"/>
        </w:tabs>
        <w:ind w:left="0"/>
      </w:pPr>
      <w:r>
        <w:t>The table below provides the number of collisions broken down into severity of injury for the timeframe required.</w:t>
      </w:r>
    </w:p>
    <w:tbl>
      <w:tblPr>
        <w:tblStyle w:val="TableGrid"/>
        <w:tblW w:w="7594" w:type="dxa"/>
        <w:tblLook w:val="04A0" w:firstRow="1" w:lastRow="0" w:firstColumn="1" w:lastColumn="0" w:noHBand="0" w:noVBand="1"/>
        <w:tblCaption w:val="Example table"/>
        <w:tblDescription w:val="Example table"/>
      </w:tblPr>
      <w:tblGrid>
        <w:gridCol w:w="2122"/>
        <w:gridCol w:w="1675"/>
        <w:gridCol w:w="1898"/>
        <w:gridCol w:w="1899"/>
      </w:tblGrid>
      <w:tr w:rsidR="00FE2470" w:rsidRPr="00557306" w14:paraId="52CB7431" w14:textId="77777777" w:rsidTr="008044B3">
        <w:trPr>
          <w:tblHeader/>
        </w:trPr>
        <w:tc>
          <w:tcPr>
            <w:tcW w:w="2122" w:type="dxa"/>
            <w:shd w:val="clear" w:color="auto" w:fill="D9D9D9" w:themeFill="background1" w:themeFillShade="D9"/>
          </w:tcPr>
          <w:p w14:paraId="1C959EF1" w14:textId="77777777" w:rsidR="00FE2470" w:rsidRPr="00557306" w:rsidRDefault="00FE2470" w:rsidP="008044B3">
            <w:pPr>
              <w:spacing w:line="240" w:lineRule="auto"/>
              <w:rPr>
                <w:b/>
              </w:rPr>
            </w:pPr>
            <w:r>
              <w:rPr>
                <w:b/>
              </w:rPr>
              <w:t>Injury Collision</w:t>
            </w:r>
          </w:p>
        </w:tc>
        <w:tc>
          <w:tcPr>
            <w:tcW w:w="1675" w:type="dxa"/>
            <w:shd w:val="clear" w:color="auto" w:fill="D9D9D9" w:themeFill="background1" w:themeFillShade="D9"/>
          </w:tcPr>
          <w:p w14:paraId="32FF53A6" w14:textId="77777777" w:rsidR="00FE2470" w:rsidRPr="00557306" w:rsidRDefault="00FE2470" w:rsidP="008044B3">
            <w:pPr>
              <w:spacing w:line="240" w:lineRule="auto"/>
              <w:rPr>
                <w:b/>
              </w:rPr>
            </w:pPr>
            <w:r>
              <w:rPr>
                <w:b/>
              </w:rPr>
              <w:t>2023</w:t>
            </w:r>
          </w:p>
        </w:tc>
        <w:tc>
          <w:tcPr>
            <w:tcW w:w="1898" w:type="dxa"/>
            <w:shd w:val="clear" w:color="auto" w:fill="D9D9D9" w:themeFill="background1" w:themeFillShade="D9"/>
          </w:tcPr>
          <w:p w14:paraId="0838E7D1" w14:textId="77777777" w:rsidR="00FE2470" w:rsidRPr="00557306" w:rsidRDefault="00FE2470" w:rsidP="008044B3">
            <w:pPr>
              <w:spacing w:line="240" w:lineRule="auto"/>
              <w:rPr>
                <w:b/>
              </w:rPr>
            </w:pPr>
            <w:r>
              <w:rPr>
                <w:b/>
              </w:rPr>
              <w:t>2024</w:t>
            </w:r>
          </w:p>
        </w:tc>
        <w:tc>
          <w:tcPr>
            <w:tcW w:w="1899" w:type="dxa"/>
            <w:shd w:val="clear" w:color="auto" w:fill="D9D9D9" w:themeFill="background1" w:themeFillShade="D9"/>
          </w:tcPr>
          <w:p w14:paraId="0A21EE9B" w14:textId="77777777" w:rsidR="00FE2470" w:rsidRPr="00557306" w:rsidRDefault="00FE2470" w:rsidP="008044B3">
            <w:pPr>
              <w:spacing w:line="240" w:lineRule="auto"/>
              <w:rPr>
                <w:b/>
              </w:rPr>
            </w:pPr>
            <w:r>
              <w:rPr>
                <w:b/>
              </w:rPr>
              <w:t>2025</w:t>
            </w:r>
          </w:p>
        </w:tc>
      </w:tr>
      <w:tr w:rsidR="00FE2470" w14:paraId="2C082E99" w14:textId="77777777" w:rsidTr="008044B3">
        <w:tc>
          <w:tcPr>
            <w:tcW w:w="2122" w:type="dxa"/>
          </w:tcPr>
          <w:p w14:paraId="62356B5E" w14:textId="77777777" w:rsidR="00FE2470" w:rsidRDefault="00FE2470" w:rsidP="008044B3">
            <w:pPr>
              <w:tabs>
                <w:tab w:val="left" w:pos="5400"/>
              </w:tabs>
              <w:spacing w:line="240" w:lineRule="auto"/>
            </w:pPr>
            <w:r>
              <w:t>Fatal Collision</w:t>
            </w:r>
          </w:p>
        </w:tc>
        <w:tc>
          <w:tcPr>
            <w:tcW w:w="1675" w:type="dxa"/>
          </w:tcPr>
          <w:p w14:paraId="3664E0BF" w14:textId="77777777" w:rsidR="00FE2470" w:rsidRDefault="00FE2470" w:rsidP="008044B3">
            <w:pPr>
              <w:tabs>
                <w:tab w:val="left" w:pos="5400"/>
              </w:tabs>
              <w:spacing w:line="240" w:lineRule="auto"/>
            </w:pPr>
            <w:r>
              <w:t>0</w:t>
            </w:r>
          </w:p>
        </w:tc>
        <w:tc>
          <w:tcPr>
            <w:tcW w:w="1898" w:type="dxa"/>
          </w:tcPr>
          <w:p w14:paraId="570ED2EE" w14:textId="77777777" w:rsidR="00FE2470" w:rsidRDefault="00FE2470" w:rsidP="008044B3">
            <w:pPr>
              <w:tabs>
                <w:tab w:val="left" w:pos="5400"/>
              </w:tabs>
              <w:spacing w:line="240" w:lineRule="auto"/>
            </w:pPr>
            <w:r>
              <w:t>0</w:t>
            </w:r>
          </w:p>
        </w:tc>
        <w:tc>
          <w:tcPr>
            <w:tcW w:w="1899" w:type="dxa"/>
          </w:tcPr>
          <w:p w14:paraId="6EBEE29A" w14:textId="77777777" w:rsidR="00FE2470" w:rsidRDefault="00FE2470" w:rsidP="008044B3">
            <w:pPr>
              <w:tabs>
                <w:tab w:val="left" w:pos="5400"/>
              </w:tabs>
              <w:spacing w:line="240" w:lineRule="auto"/>
            </w:pPr>
            <w:r>
              <w:t>0</w:t>
            </w:r>
          </w:p>
        </w:tc>
      </w:tr>
      <w:tr w:rsidR="00FE2470" w14:paraId="5FACFEFE" w14:textId="77777777" w:rsidTr="008044B3">
        <w:tc>
          <w:tcPr>
            <w:tcW w:w="2122" w:type="dxa"/>
          </w:tcPr>
          <w:p w14:paraId="50F078C6" w14:textId="77777777" w:rsidR="00FE2470" w:rsidRDefault="00FE2470" w:rsidP="008044B3">
            <w:pPr>
              <w:tabs>
                <w:tab w:val="left" w:pos="5400"/>
              </w:tabs>
              <w:spacing w:line="240" w:lineRule="auto"/>
            </w:pPr>
            <w:r>
              <w:t>Severe Collision</w:t>
            </w:r>
          </w:p>
        </w:tc>
        <w:tc>
          <w:tcPr>
            <w:tcW w:w="1675" w:type="dxa"/>
          </w:tcPr>
          <w:p w14:paraId="345631ED" w14:textId="77777777" w:rsidR="00FE2470" w:rsidRDefault="00FE2470" w:rsidP="008044B3">
            <w:pPr>
              <w:tabs>
                <w:tab w:val="left" w:pos="5400"/>
              </w:tabs>
              <w:spacing w:line="240" w:lineRule="auto"/>
            </w:pPr>
            <w:r>
              <w:t>0</w:t>
            </w:r>
          </w:p>
        </w:tc>
        <w:tc>
          <w:tcPr>
            <w:tcW w:w="1898" w:type="dxa"/>
          </w:tcPr>
          <w:p w14:paraId="69C61D73" w14:textId="77777777" w:rsidR="00FE2470" w:rsidRDefault="00FE2470" w:rsidP="008044B3">
            <w:pPr>
              <w:tabs>
                <w:tab w:val="left" w:pos="5400"/>
              </w:tabs>
              <w:spacing w:line="240" w:lineRule="auto"/>
            </w:pPr>
            <w:r>
              <w:t>0</w:t>
            </w:r>
          </w:p>
        </w:tc>
        <w:tc>
          <w:tcPr>
            <w:tcW w:w="1899" w:type="dxa"/>
          </w:tcPr>
          <w:p w14:paraId="7064A223" w14:textId="77777777" w:rsidR="00FE2470" w:rsidRDefault="00FE2470" w:rsidP="008044B3">
            <w:pPr>
              <w:tabs>
                <w:tab w:val="left" w:pos="5400"/>
              </w:tabs>
              <w:spacing w:line="240" w:lineRule="auto"/>
            </w:pPr>
            <w:r>
              <w:t>0</w:t>
            </w:r>
          </w:p>
        </w:tc>
      </w:tr>
      <w:tr w:rsidR="00FE2470" w14:paraId="560D0474" w14:textId="77777777" w:rsidTr="008044B3">
        <w:tc>
          <w:tcPr>
            <w:tcW w:w="2122" w:type="dxa"/>
          </w:tcPr>
          <w:p w14:paraId="0ABF2DDE" w14:textId="77777777" w:rsidR="00FE2470" w:rsidRDefault="00FE2470" w:rsidP="008044B3">
            <w:pPr>
              <w:tabs>
                <w:tab w:val="left" w:pos="5400"/>
              </w:tabs>
              <w:spacing w:line="240" w:lineRule="auto"/>
            </w:pPr>
            <w:r>
              <w:t>Slight Collision</w:t>
            </w:r>
          </w:p>
        </w:tc>
        <w:tc>
          <w:tcPr>
            <w:tcW w:w="1675" w:type="dxa"/>
          </w:tcPr>
          <w:p w14:paraId="634F5E16" w14:textId="77777777" w:rsidR="00FE2470" w:rsidRDefault="00FE2470" w:rsidP="008044B3">
            <w:pPr>
              <w:tabs>
                <w:tab w:val="left" w:pos="5400"/>
              </w:tabs>
              <w:spacing w:line="240" w:lineRule="auto"/>
            </w:pPr>
            <w:r>
              <w:t>2</w:t>
            </w:r>
          </w:p>
        </w:tc>
        <w:tc>
          <w:tcPr>
            <w:tcW w:w="1898" w:type="dxa"/>
          </w:tcPr>
          <w:p w14:paraId="76D953EC" w14:textId="77777777" w:rsidR="00FE2470" w:rsidRDefault="00FE2470" w:rsidP="008044B3">
            <w:pPr>
              <w:tabs>
                <w:tab w:val="left" w:pos="5400"/>
              </w:tabs>
              <w:spacing w:line="240" w:lineRule="auto"/>
            </w:pPr>
            <w:r>
              <w:t>0</w:t>
            </w:r>
          </w:p>
        </w:tc>
        <w:tc>
          <w:tcPr>
            <w:tcW w:w="1899" w:type="dxa"/>
          </w:tcPr>
          <w:p w14:paraId="0A756E16" w14:textId="77777777" w:rsidR="00FE2470" w:rsidRDefault="00FE2470" w:rsidP="008044B3">
            <w:pPr>
              <w:tabs>
                <w:tab w:val="left" w:pos="5400"/>
              </w:tabs>
              <w:spacing w:line="240" w:lineRule="auto"/>
            </w:pPr>
            <w:r>
              <w:t>0</w:t>
            </w:r>
          </w:p>
        </w:tc>
      </w:tr>
    </w:tbl>
    <w:p w14:paraId="4C70B466" w14:textId="77777777" w:rsidR="00FE2470" w:rsidRPr="00B11A55" w:rsidRDefault="00FE2470" w:rsidP="00FE2470">
      <w:pPr>
        <w:pStyle w:val="ListParagraph"/>
        <w:tabs>
          <w:tab w:val="left" w:pos="5400"/>
        </w:tabs>
      </w:pPr>
    </w:p>
    <w:p w14:paraId="28E194AC" w14:textId="77777777" w:rsidR="00FE2470" w:rsidRDefault="00FE2470" w:rsidP="00FE2470"/>
    <w:p w14:paraId="3EC7A96D" w14:textId="77777777" w:rsidR="00FE2470" w:rsidRPr="00FE2470" w:rsidRDefault="00FE2470" w:rsidP="00FE2470"/>
    <w:p w14:paraId="497BF0DD" w14:textId="322709D7" w:rsidR="00EF0FBB" w:rsidRDefault="00F975F0" w:rsidP="00BC0DA8">
      <w:pPr>
        <w:pStyle w:val="Heading2"/>
        <w:numPr>
          <w:ilvl w:val="0"/>
          <w:numId w:val="2"/>
        </w:numPr>
        <w:tabs>
          <w:tab w:val="clear" w:pos="720"/>
          <w:tab w:val="num" w:pos="360"/>
          <w:tab w:val="left" w:pos="5400"/>
        </w:tabs>
        <w:ind w:left="360"/>
      </w:pPr>
      <w:bookmarkStart w:id="0" w:name="_Hlk213161045"/>
      <w:r w:rsidRPr="00F975F0">
        <w:lastRenderedPageBreak/>
        <w:t>Copies of the 2 most recent Annual Reviews (</w:t>
      </w:r>
      <w:r w:rsidRPr="00F975F0">
        <w:rPr>
          <w:i/>
          <w:iCs/>
        </w:rPr>
        <w:t>site review - an annual review - is this camera reducing injury collisions?)</w:t>
      </w:r>
      <w:r w:rsidRPr="00F975F0">
        <w:t>   for this location, including the PS final view as to whether "</w:t>
      </w:r>
      <w:r w:rsidRPr="00F975F0">
        <w:rPr>
          <w:i/>
          <w:iCs/>
        </w:rPr>
        <w:t>this camera (is) reducing injury collisions"</w:t>
      </w:r>
    </w:p>
    <w:bookmarkEnd w:id="0"/>
    <w:p w14:paraId="1C6457DC" w14:textId="77777777" w:rsidR="00407E7F" w:rsidRDefault="005066D9" w:rsidP="00407E7F">
      <w:pPr>
        <w:tabs>
          <w:tab w:val="left" w:pos="5400"/>
        </w:tabs>
      </w:pPr>
      <w:r>
        <w:t>Please find attached</w:t>
      </w:r>
      <w:r w:rsidR="00D557F0">
        <w:t xml:space="preserve"> the site review for this camera for 2023 and 2024.</w:t>
      </w:r>
      <w:r w:rsidR="004015AE">
        <w:t xml:space="preserve"> </w:t>
      </w:r>
      <w:r w:rsidR="00407E7F">
        <w:t xml:space="preserve">Unfortunately, 2025 data is not yet available.  </w:t>
      </w:r>
    </w:p>
    <w:p w14:paraId="4B01DAE3" w14:textId="508B59F4" w:rsidR="004015AE" w:rsidRDefault="004015AE" w:rsidP="004015AE">
      <w:pPr>
        <w:tabs>
          <w:tab w:val="left" w:pos="5400"/>
        </w:tabs>
      </w:pPr>
      <w:r>
        <w:t xml:space="preserve">Some of the information has been redacted as I am refusing </w:t>
      </w:r>
      <w:r w:rsidRPr="009871F1">
        <w:t>to provide it in terms of section 16(1) of the Act on the basis that the following exemptions apply:</w:t>
      </w:r>
    </w:p>
    <w:p w14:paraId="17102C18" w14:textId="2971DED0" w:rsidR="004015AE" w:rsidRPr="00231783" w:rsidRDefault="003725BE" w:rsidP="00231783">
      <w:pPr>
        <w:tabs>
          <w:tab w:val="left" w:pos="5400"/>
        </w:tabs>
        <w:rPr>
          <w:b/>
          <w:bCs/>
        </w:rPr>
      </w:pPr>
      <w:r w:rsidRPr="00231783">
        <w:rPr>
          <w:rFonts w:ascii="Segoe UI" w:hAnsi="Segoe UI" w:cs="Segoe UI"/>
          <w:b/>
          <w:bCs/>
          <w:color w:val="444444"/>
          <w:sz w:val="20"/>
          <w:szCs w:val="20"/>
          <w:shd w:val="clear" w:color="auto" w:fill="FFFFFF"/>
        </w:rPr>
        <w:t> </w:t>
      </w:r>
      <w:r w:rsidR="004015AE" w:rsidRPr="00231783">
        <w:rPr>
          <w:b/>
          <w:bCs/>
        </w:rPr>
        <w:t xml:space="preserve">Section 30 (c) – Prejudice to the Effective Conduct of Public Affairs </w:t>
      </w:r>
    </w:p>
    <w:p w14:paraId="722381E9" w14:textId="77777777" w:rsidR="000066BA" w:rsidRDefault="000066BA" w:rsidP="000066BA">
      <w:r w:rsidRPr="00D755D2">
        <w:t xml:space="preserve">Information is exempt information if its disclosure under the Act would otherwise prejudice substantially, or be likely to prejudice substantially, the effective conduct of public affairs. </w:t>
      </w:r>
    </w:p>
    <w:p w14:paraId="5CBB6FB0" w14:textId="030E33F2" w:rsidR="00CB2B97" w:rsidRDefault="003725BE" w:rsidP="00231783">
      <w:pPr>
        <w:rPr>
          <w:rFonts w:eastAsiaTheme="majorEastAsia" w:cstheme="majorBidi"/>
          <w:bCs/>
          <w:color w:val="000000" w:themeColor="text1"/>
          <w:szCs w:val="26"/>
        </w:rPr>
      </w:pPr>
      <w:r>
        <w:t xml:space="preserve">In this instance, the disclosure of the primary cause or contributing factors </w:t>
      </w:r>
      <w:r w:rsidR="00F20734">
        <w:rPr>
          <w:rFonts w:eastAsiaTheme="majorEastAsia" w:cstheme="majorBidi"/>
          <w:bCs/>
          <w:color w:val="000000" w:themeColor="text1"/>
          <w:szCs w:val="26"/>
        </w:rPr>
        <w:t xml:space="preserve">interfere with insurance and/or civil liability procedures.  </w:t>
      </w:r>
    </w:p>
    <w:p w14:paraId="3B4397A8" w14:textId="4F2228B6" w:rsidR="00831766" w:rsidRDefault="00831766" w:rsidP="00CB2B97">
      <w:pPr>
        <w:tabs>
          <w:tab w:val="left" w:pos="5400"/>
        </w:tabs>
      </w:pPr>
      <w:r>
        <w:t>This is a non-absolute exemption and requires the application of a Public Interest Test.</w:t>
      </w:r>
    </w:p>
    <w:p w14:paraId="4F46448C" w14:textId="77777777" w:rsidR="0099061B" w:rsidRPr="00E676B3" w:rsidRDefault="0099061B" w:rsidP="0099061B">
      <w:pPr>
        <w:spacing w:before="0" w:after="0" w:line="240" w:lineRule="auto"/>
        <w:jc w:val="both"/>
        <w:rPr>
          <w:rFonts w:eastAsia="Times New Roman"/>
          <w:b/>
          <w:lang w:eastAsia="en-GB"/>
        </w:rPr>
      </w:pPr>
      <w:r w:rsidRPr="00E676B3">
        <w:rPr>
          <w:rFonts w:eastAsia="Times New Roman"/>
          <w:b/>
          <w:lang w:eastAsia="en-GB"/>
        </w:rPr>
        <w:t xml:space="preserve">Section 34(1) (a) (i) &amp; (b) – Investigations by a Scottish public authority </w:t>
      </w:r>
    </w:p>
    <w:p w14:paraId="55C0A03A" w14:textId="77777777" w:rsidR="0099061B" w:rsidRPr="00E676B3" w:rsidRDefault="0099061B" w:rsidP="0099061B">
      <w:pPr>
        <w:spacing w:before="0" w:after="0" w:line="240" w:lineRule="auto"/>
        <w:jc w:val="center"/>
        <w:rPr>
          <w:rFonts w:ascii="Times New Roman" w:eastAsia="Times New Roman" w:hAnsi="Times New Roman"/>
          <w:lang w:eastAsia="en-GB"/>
        </w:rPr>
      </w:pPr>
    </w:p>
    <w:p w14:paraId="59CFA417" w14:textId="2EE28EF4" w:rsidR="0099061B" w:rsidRPr="00E676B3" w:rsidRDefault="0099061B" w:rsidP="0099061B">
      <w:r w:rsidRPr="00E676B3">
        <w:t xml:space="preserve">Information is considered exempt information if it has, at any time, been held by a Scottish </w:t>
      </w:r>
      <w:r>
        <w:t>P</w:t>
      </w:r>
      <w:r w:rsidRPr="00E676B3">
        <w:t xml:space="preserve">ublic </w:t>
      </w:r>
      <w:r>
        <w:t>A</w:t>
      </w:r>
      <w:r w:rsidRPr="00E676B3">
        <w:t>uthority for the purposes of an investigation which may lead to a decision to report the circumstances to the Crown Office and Procurator Fiscal Service to enable a determination on whether criminal proceedings should be instigated and to determine whether a person should be prosecuted for an offence.</w:t>
      </w:r>
      <w:r>
        <w:t xml:space="preserve"> </w:t>
      </w:r>
    </w:p>
    <w:p w14:paraId="2712483D" w14:textId="29DE770F" w:rsidR="0099061B" w:rsidRPr="00E30339" w:rsidRDefault="0099061B" w:rsidP="0099061B">
      <w:pPr>
        <w:rPr>
          <w:rFonts w:eastAsiaTheme="majorEastAsia" w:cstheme="majorBidi"/>
          <w:bCs/>
          <w:color w:val="000000" w:themeColor="text1"/>
          <w:szCs w:val="26"/>
        </w:rPr>
      </w:pPr>
      <w:r w:rsidRPr="00E676B3">
        <w:t>This is a non-absolute exemption and requires the application of the public interest test.</w:t>
      </w:r>
    </w:p>
    <w:p w14:paraId="3C95436E" w14:textId="77777777" w:rsidR="003725BE" w:rsidRDefault="003725BE" w:rsidP="003725BE">
      <w:pPr>
        <w:tabs>
          <w:tab w:val="left" w:pos="5400"/>
        </w:tabs>
        <w:rPr>
          <w:rFonts w:eastAsiaTheme="majorEastAsia" w:cstheme="majorBidi"/>
          <w:b/>
          <w:color w:val="000000" w:themeColor="text1"/>
          <w:szCs w:val="26"/>
        </w:rPr>
      </w:pPr>
      <w:r w:rsidRPr="00F20734">
        <w:rPr>
          <w:rFonts w:eastAsiaTheme="majorEastAsia" w:cstheme="majorBidi"/>
          <w:b/>
          <w:color w:val="000000" w:themeColor="text1"/>
          <w:szCs w:val="26"/>
        </w:rPr>
        <w:t>Section 35(1)(a)&amp;(b) - Law Enforcement</w:t>
      </w:r>
    </w:p>
    <w:p w14:paraId="75AF7A3F" w14:textId="52EB7373" w:rsidR="00BC17A7" w:rsidRPr="00FF0F22" w:rsidRDefault="00BC17A7" w:rsidP="00BC17A7">
      <w:r w:rsidRPr="0030559E">
        <w:t>Information is exempt information if its disclosure under this Act would</w:t>
      </w:r>
      <w:r>
        <w:t xml:space="preserve"> </w:t>
      </w:r>
      <w:r w:rsidRPr="0030559E">
        <w:t xml:space="preserve">or would be likely to prejudice substantially the prevention or detection of crime and the apprehension or prosecution of offenders. </w:t>
      </w:r>
    </w:p>
    <w:p w14:paraId="1E9EB806" w14:textId="77777777" w:rsidR="00BC17A7" w:rsidRPr="0030559E" w:rsidRDefault="00BC17A7" w:rsidP="00BC17A7">
      <w:r w:rsidRPr="0030559E">
        <w:t>This is a non-absolute exemption and requires the application of the Public Interest Test.</w:t>
      </w:r>
    </w:p>
    <w:p w14:paraId="3E696A6F" w14:textId="6D24E98E" w:rsidR="00BC17A7" w:rsidRPr="00BC17A7" w:rsidRDefault="00BC17A7" w:rsidP="00BC17A7">
      <w:pPr>
        <w:rPr>
          <w:b/>
          <w:bCs/>
        </w:rPr>
      </w:pPr>
      <w:r w:rsidRPr="00BC17A7">
        <w:rPr>
          <w:b/>
          <w:bCs/>
        </w:rPr>
        <w:t>Public Interest Test</w:t>
      </w:r>
    </w:p>
    <w:p w14:paraId="5D745799" w14:textId="77777777" w:rsidR="00407E7F" w:rsidRDefault="00BC17A7" w:rsidP="00407E7F">
      <w:pPr>
        <w:tabs>
          <w:tab w:val="left" w:pos="5400"/>
        </w:tabs>
      </w:pPr>
      <w:r>
        <w:t>In terms of the public interest, a</w:t>
      </w:r>
      <w:r w:rsidRPr="00E676B3">
        <w:t xml:space="preserve">ccountability and transparency </w:t>
      </w:r>
      <w:r>
        <w:t>are arguments in</w:t>
      </w:r>
      <w:r w:rsidRPr="00E676B3">
        <w:t xml:space="preserve"> favour disclosure of the information. </w:t>
      </w:r>
    </w:p>
    <w:p w14:paraId="652552CA" w14:textId="1B86A9ED" w:rsidR="00407E7F" w:rsidRDefault="00407E7F" w:rsidP="00407E7F">
      <w:pPr>
        <w:tabs>
          <w:tab w:val="left" w:pos="5400"/>
        </w:tabs>
      </w:pPr>
      <w:r>
        <w:t xml:space="preserve">Whilst we accept that there is a public interest in disclosure insofar as better informing the public as to their risks as road users at particular locations, this cannot extend to a ‘per </w:t>
      </w:r>
      <w:r>
        <w:lastRenderedPageBreak/>
        <w:t>collision’ disclosure where the details, outwith the appropriate processes for disclosure, could lead to financial harm and other speculation as regards their role in the collision. O</w:t>
      </w:r>
      <w:r w:rsidRPr="00EE3696">
        <w:t xml:space="preserve">n balance it is considered that the public interest in disclosing site specific data is outweighed by the likely negative consequences to </w:t>
      </w:r>
      <w:r w:rsidR="0099061B">
        <w:t xml:space="preserve">any investigations, </w:t>
      </w:r>
      <w:r w:rsidRPr="00EE3696">
        <w:t>law enforcement and road safety measures.</w:t>
      </w:r>
      <w:r w:rsidRPr="00407E7F">
        <w:t xml:space="preserve"> </w:t>
      </w:r>
    </w:p>
    <w:p w14:paraId="1A98869C" w14:textId="52EC1122" w:rsidR="004015AE" w:rsidRPr="004015AE" w:rsidRDefault="00407E7F" w:rsidP="004015AE">
      <w:r>
        <w:t>O</w:t>
      </w:r>
      <w:r w:rsidR="00BC17A7">
        <w:t>n balance, the public interest lies in maintaining the exemption</w:t>
      </w:r>
      <w:r>
        <w:t>s.</w:t>
      </w:r>
    </w:p>
    <w:p w14:paraId="21370824" w14:textId="77777777" w:rsidR="004015AE" w:rsidRPr="009871F1" w:rsidRDefault="004015AE" w:rsidP="004015AE">
      <w:pPr>
        <w:pStyle w:val="Heading2"/>
        <w:rPr>
          <w:color w:val="auto"/>
        </w:rPr>
      </w:pPr>
      <w:r w:rsidRPr="009871F1">
        <w:rPr>
          <w:color w:val="auto"/>
        </w:rPr>
        <w:t>Section 38(1)(b) - Personal data</w:t>
      </w:r>
    </w:p>
    <w:p w14:paraId="5740001A" w14:textId="77777777" w:rsidR="004015AE" w:rsidRDefault="004015AE" w:rsidP="004015AE">
      <w:r>
        <w:t>Personal data is defined in Article 4 of the General Data Protection Regulation (GDPR) as:</w:t>
      </w:r>
    </w:p>
    <w:p w14:paraId="4D50DA09" w14:textId="77777777" w:rsidR="004015AE" w:rsidRDefault="004015AE" w:rsidP="004015AE">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1C95706" w14:textId="77777777" w:rsidR="004015AE" w:rsidRDefault="004015AE" w:rsidP="004015AE">
      <w:r>
        <w:t>Section 38(2A) of the Act provides that personal data is exempt from disclosure where disclosure would contravene any of the data protection principles set out at Article 5(1) of the GDPR which states that:</w:t>
      </w:r>
    </w:p>
    <w:p w14:paraId="141C4D29" w14:textId="77777777" w:rsidR="004015AE" w:rsidRDefault="004015AE" w:rsidP="004015AE">
      <w:r>
        <w:t>‘Personal data shall be processed lawfully, fairly and in a transparent manner in relation to the data subject’.</w:t>
      </w:r>
    </w:p>
    <w:p w14:paraId="1CC8D86A" w14:textId="77777777" w:rsidR="004015AE" w:rsidRDefault="004015AE" w:rsidP="004015AE">
      <w:r>
        <w:t>Article 6 of the GDPR goes on to state that processing shall be lawful only if certain conditions are met. The only potentially applicable condition is Article 6(1)(f) which states:</w:t>
      </w:r>
    </w:p>
    <w:p w14:paraId="60232F06" w14:textId="77777777" w:rsidR="004015AE" w:rsidRDefault="004015AE" w:rsidP="004015AE">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40CFF530" w14:textId="77777777" w:rsidR="004015AE" w:rsidRPr="00776E5F" w:rsidRDefault="004015AE" w:rsidP="004015AE">
      <w:pPr>
        <w:rPr>
          <w:color w:val="FF0000"/>
        </w:rPr>
      </w:pPr>
      <w:r>
        <w:t>Whilst I accept that you may have a legitimate interest with regards the disclosure of this information</w:t>
      </w:r>
      <w:r w:rsidRPr="00D66D98">
        <w:t>, I do not agree that disclosure could be considered necessary in the circumstances.</w:t>
      </w:r>
    </w:p>
    <w:p w14:paraId="04FDFD85" w14:textId="77777777" w:rsidR="004015AE" w:rsidRDefault="004015AE" w:rsidP="004015AE">
      <w:r>
        <w:t>Notwithstanding, I am further of the view that your interests are overridden by the interests or fundamental rights and freedoms of the data subjects.</w:t>
      </w:r>
    </w:p>
    <w:p w14:paraId="00261F2A" w14:textId="30A7473A" w:rsidR="004015AE" w:rsidRDefault="004015AE" w:rsidP="004015AE">
      <w:r>
        <w:t>On that basis, it is considered that disclosure of the information sought would be unlawful.</w:t>
      </w:r>
    </w:p>
    <w:p w14:paraId="4753B4C9" w14:textId="414B8864" w:rsidR="00D557F0" w:rsidRDefault="00D557F0" w:rsidP="009D2AA5">
      <w:pPr>
        <w:tabs>
          <w:tab w:val="left" w:pos="5400"/>
        </w:tabs>
      </w:pPr>
      <w:r>
        <w:lastRenderedPageBreak/>
        <w:t xml:space="preserve">If you require this information in the future, please submit a new FOI request which will be considered accordingly.  </w:t>
      </w:r>
    </w:p>
    <w:p w14:paraId="297E505B" w14:textId="77777777" w:rsidR="00231783" w:rsidRPr="00B11A55" w:rsidRDefault="00231783"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72EC13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317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1AA71D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317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BAB77E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317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90833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317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489D5B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317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17F872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E317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D2459"/>
    <w:multiLevelType w:val="multilevel"/>
    <w:tmpl w:val="5C7EA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108116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66BA"/>
    <w:rsid w:val="00090F3B"/>
    <w:rsid w:val="000E2F19"/>
    <w:rsid w:val="000E43FF"/>
    <w:rsid w:val="000E6526"/>
    <w:rsid w:val="000E6559"/>
    <w:rsid w:val="00141533"/>
    <w:rsid w:val="00167528"/>
    <w:rsid w:val="00184727"/>
    <w:rsid w:val="00195CC4"/>
    <w:rsid w:val="001D79FA"/>
    <w:rsid w:val="001F2261"/>
    <w:rsid w:val="00207326"/>
    <w:rsid w:val="00231783"/>
    <w:rsid w:val="00253DF6"/>
    <w:rsid w:val="00255F1E"/>
    <w:rsid w:val="00260912"/>
    <w:rsid w:val="00260FBC"/>
    <w:rsid w:val="002B341F"/>
    <w:rsid w:val="0036503B"/>
    <w:rsid w:val="003725BE"/>
    <w:rsid w:val="00376A4A"/>
    <w:rsid w:val="00381234"/>
    <w:rsid w:val="003D6D03"/>
    <w:rsid w:val="003E12CA"/>
    <w:rsid w:val="004010DC"/>
    <w:rsid w:val="004015AE"/>
    <w:rsid w:val="00407E7F"/>
    <w:rsid w:val="004165BD"/>
    <w:rsid w:val="004341F0"/>
    <w:rsid w:val="00456324"/>
    <w:rsid w:val="00473DC8"/>
    <w:rsid w:val="00475460"/>
    <w:rsid w:val="00490317"/>
    <w:rsid w:val="00491644"/>
    <w:rsid w:val="00496A08"/>
    <w:rsid w:val="004E1605"/>
    <w:rsid w:val="004F653C"/>
    <w:rsid w:val="005066D9"/>
    <w:rsid w:val="00540A52"/>
    <w:rsid w:val="00557306"/>
    <w:rsid w:val="006029D9"/>
    <w:rsid w:val="0060390B"/>
    <w:rsid w:val="00645CFA"/>
    <w:rsid w:val="00685219"/>
    <w:rsid w:val="006D5799"/>
    <w:rsid w:val="006E3174"/>
    <w:rsid w:val="007440EA"/>
    <w:rsid w:val="00750D83"/>
    <w:rsid w:val="00785DBC"/>
    <w:rsid w:val="00793DD5"/>
    <w:rsid w:val="007D55F6"/>
    <w:rsid w:val="007F490F"/>
    <w:rsid w:val="00820A8E"/>
    <w:rsid w:val="00831766"/>
    <w:rsid w:val="0086779C"/>
    <w:rsid w:val="00874BFD"/>
    <w:rsid w:val="008964EF"/>
    <w:rsid w:val="008E2B8D"/>
    <w:rsid w:val="00915E01"/>
    <w:rsid w:val="0093207F"/>
    <w:rsid w:val="009631A4"/>
    <w:rsid w:val="00977296"/>
    <w:rsid w:val="0099061B"/>
    <w:rsid w:val="00993797"/>
    <w:rsid w:val="009A79B6"/>
    <w:rsid w:val="009B2208"/>
    <w:rsid w:val="009D2AA5"/>
    <w:rsid w:val="00A25E93"/>
    <w:rsid w:val="00A320FF"/>
    <w:rsid w:val="00A70AC0"/>
    <w:rsid w:val="00A84EA9"/>
    <w:rsid w:val="00AC443C"/>
    <w:rsid w:val="00B033D6"/>
    <w:rsid w:val="00B11A55"/>
    <w:rsid w:val="00B17211"/>
    <w:rsid w:val="00B461B2"/>
    <w:rsid w:val="00B654B6"/>
    <w:rsid w:val="00B71B3C"/>
    <w:rsid w:val="00BC17A7"/>
    <w:rsid w:val="00BC389E"/>
    <w:rsid w:val="00BD0588"/>
    <w:rsid w:val="00BD4BA3"/>
    <w:rsid w:val="00BE1888"/>
    <w:rsid w:val="00BF6B81"/>
    <w:rsid w:val="00C077A8"/>
    <w:rsid w:val="00C14FF4"/>
    <w:rsid w:val="00C1679F"/>
    <w:rsid w:val="00C606A2"/>
    <w:rsid w:val="00C63872"/>
    <w:rsid w:val="00C84948"/>
    <w:rsid w:val="00C94ED8"/>
    <w:rsid w:val="00CB2B97"/>
    <w:rsid w:val="00CE09FA"/>
    <w:rsid w:val="00CF1111"/>
    <w:rsid w:val="00D05706"/>
    <w:rsid w:val="00D27DC5"/>
    <w:rsid w:val="00D47E36"/>
    <w:rsid w:val="00D557F0"/>
    <w:rsid w:val="00E55D79"/>
    <w:rsid w:val="00EE2373"/>
    <w:rsid w:val="00EF0FBB"/>
    <w:rsid w:val="00EF4761"/>
    <w:rsid w:val="00F06A50"/>
    <w:rsid w:val="00F20734"/>
    <w:rsid w:val="00F320C7"/>
    <w:rsid w:val="00F975F0"/>
    <w:rsid w:val="00FB0C6D"/>
    <w:rsid w:val="00FC2DA7"/>
    <w:rsid w:val="00FE2470"/>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7541">
      <w:bodyDiv w:val="1"/>
      <w:marLeft w:val="0"/>
      <w:marRight w:val="0"/>
      <w:marTop w:val="0"/>
      <w:marBottom w:val="0"/>
      <w:divBdr>
        <w:top w:val="none" w:sz="0" w:space="0" w:color="auto"/>
        <w:left w:val="none" w:sz="0" w:space="0" w:color="auto"/>
        <w:bottom w:val="none" w:sz="0" w:space="0" w:color="auto"/>
        <w:right w:val="none" w:sz="0" w:space="0" w:color="auto"/>
      </w:divBdr>
    </w:div>
    <w:div w:id="209277108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McNair, Jane-2</cp:lastModifiedBy>
  <cp:revision>2</cp:revision>
  <dcterms:created xsi:type="dcterms:W3CDTF">2026-01-16T11:21:00Z</dcterms:created>
  <dcterms:modified xsi:type="dcterms:W3CDTF">2026-01-16T11:21:00Z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