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09477D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827BA">
              <w:t>2671</w:t>
            </w:r>
          </w:p>
          <w:p w14:paraId="34BDABA6" w14:textId="5DFD1AF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63E49">
              <w:t>30</w:t>
            </w:r>
            <w:r w:rsidR="00763E49" w:rsidRPr="00763E49">
              <w:rPr>
                <w:vertAlign w:val="superscript"/>
              </w:rPr>
              <w:t>th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29BF9D8" w14:textId="44D9D1BB" w:rsidR="00C827BA" w:rsidRDefault="00C827BA" w:rsidP="00C827BA">
      <w:pPr>
        <w:pStyle w:val="Heading2"/>
      </w:pPr>
      <w:r w:rsidRPr="00C827BA">
        <w:t>I wish to submit a Freedom of Information request regarding the percentage pay increases awarded to Police Officers and Police Staff over the past ten years.</w:t>
      </w:r>
    </w:p>
    <w:p w14:paraId="7FFB796D" w14:textId="325474B9" w:rsidR="00E555D5" w:rsidRDefault="00E555D5" w:rsidP="00E555D5">
      <w:r>
        <w:t xml:space="preserve">The table </w:t>
      </w:r>
      <w:r w:rsidR="008863BC">
        <w:t xml:space="preserve">below </w:t>
      </w:r>
      <w:r>
        <w:t xml:space="preserve">details the percentage pay increases awarded </w:t>
      </w:r>
      <w:r w:rsidR="008863BC">
        <w:t>to officers and staff</w:t>
      </w:r>
      <w:r>
        <w:t xml:space="preserve"> over the past ten years (2015-2026), inclusive. </w:t>
      </w:r>
    </w:p>
    <w:p w14:paraId="61F2F43E" w14:textId="77777777" w:rsidR="00717A08" w:rsidRPr="00C827BA" w:rsidRDefault="00717A08" w:rsidP="00E555D5"/>
    <w:p w14:paraId="5556B5EC" w14:textId="273D53A7" w:rsidR="00467E58" w:rsidRPr="00467E58" w:rsidRDefault="00C827BA" w:rsidP="00425B5A">
      <w:pPr>
        <w:pStyle w:val="Heading2"/>
      </w:pPr>
      <w:r w:rsidRPr="00C827BA">
        <w:t>Additionally, I would be grateful if you could confirm whether there is any formal or informal agreement in place that governs the relationship between Police Officer and Police Staff pay.</w:t>
      </w:r>
    </w:p>
    <w:p w14:paraId="0DFBE88A" w14:textId="525FACF6" w:rsidR="00467E58" w:rsidRPr="00467E58" w:rsidRDefault="00467E58" w:rsidP="00467E58">
      <w:pPr>
        <w:tabs>
          <w:tab w:val="left" w:pos="5400"/>
        </w:tabs>
      </w:pPr>
      <w:r w:rsidRPr="00467E58">
        <w:t xml:space="preserve">The </w:t>
      </w:r>
      <w:hyperlink r:id="rId11" w:history="1">
        <w:r w:rsidR="00B871DE">
          <w:rPr>
            <w:rStyle w:val="Hyperlink"/>
          </w:rPr>
          <w:t xml:space="preserve">2025/26 Public Sector Pay Policy </w:t>
        </w:r>
      </w:hyperlink>
      <w:r w:rsidRPr="00467E58">
        <w:t>sets out the framework for pay increases for staff pay remits and all public appointments</w:t>
      </w:r>
      <w:r w:rsidR="00B871DE">
        <w:t>,</w:t>
      </w:r>
      <w:r w:rsidRPr="00467E58">
        <w:t xml:space="preserve"> including Chairs and Members to Scottish Public Bodies.</w:t>
      </w:r>
      <w:r w:rsidR="00B871DE">
        <w:t xml:space="preserve">  It</w:t>
      </w:r>
      <w:r w:rsidRPr="00467E58">
        <w:t xml:space="preserve"> applies to public sector employers with settlement dates in the year between 1 April 2025 and 31 March 2026 (inclusive).</w:t>
      </w:r>
    </w:p>
    <w:p w14:paraId="201D584B" w14:textId="77D018FB" w:rsidR="00425B5A" w:rsidRDefault="00467E58" w:rsidP="00467E58">
      <w:pPr>
        <w:tabs>
          <w:tab w:val="left" w:pos="5400"/>
        </w:tabs>
      </w:pPr>
      <w:r w:rsidRPr="00467E58">
        <w:t>The pay metrics set out apply to all public sector workforces across Scotland</w:t>
      </w:r>
      <w:r w:rsidR="00B871DE">
        <w:t>,</w:t>
      </w:r>
      <w:r w:rsidRPr="00467E58">
        <w:t xml:space="preserve"> including NHS Scotland, firefighters and police officers, teachers, and further education workers. </w:t>
      </w:r>
    </w:p>
    <w:p w14:paraId="77AA581E" w14:textId="78E93FBE" w:rsidR="00467E58" w:rsidRPr="00467E58" w:rsidRDefault="00467E58" w:rsidP="00467E58">
      <w:pPr>
        <w:tabs>
          <w:tab w:val="left" w:pos="5400"/>
        </w:tabs>
      </w:pPr>
      <w:r w:rsidRPr="00467E58">
        <w:t>The Policy applies to core Scottish Government (except senior civil servants, for whom pay is a reserved matter) and 71 public bodies including non-departmental public bodies, public corporations and agencies. A full list of public bodies to which this policy applies is available on</w:t>
      </w:r>
      <w:r w:rsidR="008863BC">
        <w:t xml:space="preserve">line: </w:t>
      </w:r>
      <w:hyperlink r:id="rId12" w:history="1">
        <w:r w:rsidR="00425B5A">
          <w:rPr>
            <w:rStyle w:val="Hyperlink"/>
          </w:rPr>
          <w:t xml:space="preserve">Public Sector Pay </w:t>
        </w:r>
      </w:hyperlink>
    </w:p>
    <w:p w14:paraId="5D036903" w14:textId="2FB8CA40" w:rsidR="00467E58" w:rsidRPr="00467E58" w:rsidRDefault="00467E58" w:rsidP="00467E58">
      <w:pPr>
        <w:tabs>
          <w:tab w:val="left" w:pos="5400"/>
        </w:tabs>
      </w:pPr>
      <w:r w:rsidRPr="00467E58">
        <w:t>I</w:t>
      </w:r>
      <w:r w:rsidR="00425B5A">
        <w:t>n this instance, i</w:t>
      </w:r>
      <w:r w:rsidRPr="00467E58">
        <w:t>t is important to note however that the negotiation machinery/</w:t>
      </w:r>
      <w:r w:rsidR="00425B5A">
        <w:t xml:space="preserve"> </w:t>
      </w:r>
      <w:r w:rsidRPr="00467E58">
        <w:t>process is different for police officers and police staff.</w:t>
      </w:r>
    </w:p>
    <w:p w14:paraId="270312CB" w14:textId="77777777" w:rsidR="00B871DE" w:rsidRDefault="00B871DE" w:rsidP="009D2AA5"/>
    <w:p w14:paraId="34BDABBE" w14:textId="4733BDBF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p w14:paraId="27E79C0F" w14:textId="77777777" w:rsidR="00467E58" w:rsidRDefault="00467E58" w:rsidP="00793DD5"/>
    <w:p w14:paraId="60C8E229" w14:textId="77777777" w:rsidR="00467E58" w:rsidRDefault="00467E58" w:rsidP="00793DD5"/>
    <w:p w14:paraId="31788661" w14:textId="77777777" w:rsidR="00467E58" w:rsidRDefault="00467E58" w:rsidP="00793DD5"/>
    <w:p w14:paraId="4E24E1E4" w14:textId="77777777" w:rsidR="00467E58" w:rsidRDefault="00467E58" w:rsidP="00793DD5"/>
    <w:p w14:paraId="690A189F" w14:textId="77777777" w:rsidR="00467E58" w:rsidRDefault="00467E58" w:rsidP="00793DD5"/>
    <w:p w14:paraId="3EAF8C46" w14:textId="77777777" w:rsidR="00467E58" w:rsidRDefault="00467E58" w:rsidP="00793DD5"/>
    <w:p w14:paraId="2C3197D5" w14:textId="77777777" w:rsidR="00467E58" w:rsidRDefault="00467E58" w:rsidP="00793DD5"/>
    <w:p w14:paraId="13EB0518" w14:textId="77777777" w:rsidR="00467E58" w:rsidRDefault="00467E58" w:rsidP="00793DD5"/>
    <w:p w14:paraId="3D0412E3" w14:textId="77777777" w:rsidR="00467E58" w:rsidRDefault="00467E58" w:rsidP="00793DD5"/>
    <w:p w14:paraId="47D446E7" w14:textId="77777777" w:rsidR="00467E58" w:rsidRDefault="00467E58" w:rsidP="00793DD5"/>
    <w:p w14:paraId="5E35BE2C" w14:textId="77777777" w:rsidR="00467E58" w:rsidRDefault="00467E58" w:rsidP="00793DD5"/>
    <w:p w14:paraId="3AC0EE29" w14:textId="77777777" w:rsidR="00467E58" w:rsidRDefault="00467E58" w:rsidP="00793DD5">
      <w:pPr>
        <w:sectPr w:rsidR="00467E58" w:rsidSect="007F490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9214"/>
      </w:tblGrid>
      <w:tr w:rsidR="00467E58" w14:paraId="65B3455D" w14:textId="77777777" w:rsidTr="00DA4898">
        <w:trPr>
          <w:cantSplit/>
          <w:trHeight w:val="20"/>
          <w:tblHeader/>
        </w:trPr>
        <w:tc>
          <w:tcPr>
            <w:tcW w:w="851" w:type="dxa"/>
            <w:shd w:val="clear" w:color="auto" w:fill="D9D9D9" w:themeFill="background1" w:themeFillShade="D9"/>
          </w:tcPr>
          <w:p w14:paraId="105493BC" w14:textId="33D4438B" w:rsidR="00467E58" w:rsidRPr="00AE6842" w:rsidRDefault="00467E58" w:rsidP="008863BC">
            <w:pPr>
              <w:spacing w:line="240" w:lineRule="auto"/>
              <w:jc w:val="center"/>
              <w:rPr>
                <w:b/>
                <w:bCs/>
              </w:rPr>
            </w:pPr>
            <w:r w:rsidRPr="00AE6842">
              <w:rPr>
                <w:b/>
                <w:bCs/>
              </w:rPr>
              <w:lastRenderedPageBreak/>
              <w:t>Year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7B44354" w14:textId="241C45AF" w:rsidR="00467E58" w:rsidRPr="00AE6842" w:rsidRDefault="00467E58" w:rsidP="008863BC">
            <w:pPr>
              <w:spacing w:line="240" w:lineRule="auto"/>
              <w:jc w:val="center"/>
              <w:rPr>
                <w:b/>
                <w:bCs/>
              </w:rPr>
            </w:pPr>
            <w:r w:rsidRPr="00AE6842">
              <w:rPr>
                <w:b/>
                <w:bCs/>
              </w:rPr>
              <w:t>Police Officer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7987B18C" w14:textId="6BAA0FF5" w:rsidR="00467E58" w:rsidRPr="00AE6842" w:rsidRDefault="00467E58" w:rsidP="008863BC">
            <w:pPr>
              <w:spacing w:line="240" w:lineRule="auto"/>
              <w:jc w:val="center"/>
              <w:rPr>
                <w:b/>
                <w:bCs/>
              </w:rPr>
            </w:pPr>
            <w:r w:rsidRPr="00AE6842">
              <w:rPr>
                <w:b/>
                <w:bCs/>
              </w:rPr>
              <w:t>Police Staff</w:t>
            </w:r>
          </w:p>
        </w:tc>
      </w:tr>
      <w:tr w:rsidR="00AE6842" w14:paraId="685E9AAD" w14:textId="77777777" w:rsidTr="00DA4898">
        <w:trPr>
          <w:cantSplit/>
          <w:trHeight w:val="20"/>
        </w:trPr>
        <w:tc>
          <w:tcPr>
            <w:tcW w:w="851" w:type="dxa"/>
          </w:tcPr>
          <w:p w14:paraId="2978E437" w14:textId="4DF940A1" w:rsidR="00AE6842" w:rsidRDefault="00AE6842" w:rsidP="008863BC">
            <w:pPr>
              <w:spacing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</w:tcPr>
          <w:p w14:paraId="1DD7ED3F" w14:textId="79E5C870" w:rsidR="00AE6842" w:rsidRDefault="00AE6842" w:rsidP="00400BF3">
            <w:pPr>
              <w:spacing w:line="240" w:lineRule="auto"/>
            </w:pPr>
            <w:r>
              <w:t>With effect from 1 September 2015:</w:t>
            </w:r>
            <w:r w:rsidR="00400BF3">
              <w:t xml:space="preserve"> </w:t>
            </w:r>
            <w:r>
              <w:t>1% for all ranks</w:t>
            </w:r>
          </w:p>
        </w:tc>
        <w:tc>
          <w:tcPr>
            <w:tcW w:w="9214" w:type="dxa"/>
          </w:tcPr>
          <w:p w14:paraId="7FB54680" w14:textId="21B4E880" w:rsidR="00AE6842" w:rsidRDefault="00AE6842" w:rsidP="00400BF3">
            <w:pPr>
              <w:spacing w:line="240" w:lineRule="auto"/>
            </w:pPr>
            <w:r>
              <w:t>With effect from 1 September 2015:</w:t>
            </w:r>
            <w:r w:rsidR="00400BF3">
              <w:t xml:space="preserve"> </w:t>
            </w:r>
            <w:r>
              <w:t>1% on all points</w:t>
            </w:r>
          </w:p>
        </w:tc>
      </w:tr>
      <w:tr w:rsidR="00AE6842" w14:paraId="0427F2C4" w14:textId="77777777" w:rsidTr="00DA4898">
        <w:trPr>
          <w:cantSplit/>
          <w:trHeight w:val="20"/>
        </w:trPr>
        <w:tc>
          <w:tcPr>
            <w:tcW w:w="851" w:type="dxa"/>
          </w:tcPr>
          <w:p w14:paraId="1060DA8F" w14:textId="74B08F7F" w:rsidR="00AE6842" w:rsidRDefault="00AE6842" w:rsidP="008863BC">
            <w:pPr>
              <w:spacing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</w:tcPr>
          <w:p w14:paraId="6EAD4F27" w14:textId="51E7ADD9" w:rsidR="00AE6842" w:rsidRDefault="00AE6842" w:rsidP="00400BF3">
            <w:pPr>
              <w:spacing w:line="240" w:lineRule="auto"/>
            </w:pPr>
            <w:r>
              <w:t>With effect from 1 September 2016:</w:t>
            </w:r>
            <w:r w:rsidR="00400BF3">
              <w:t xml:space="preserve"> </w:t>
            </w:r>
            <w:r>
              <w:t>1% for all ranks</w:t>
            </w:r>
          </w:p>
        </w:tc>
        <w:tc>
          <w:tcPr>
            <w:tcW w:w="9214" w:type="dxa"/>
          </w:tcPr>
          <w:p w14:paraId="09C275A5" w14:textId="517A681C" w:rsidR="00AE6842" w:rsidRDefault="00AE6842" w:rsidP="00400BF3">
            <w:pPr>
              <w:spacing w:line="240" w:lineRule="auto"/>
            </w:pPr>
            <w:r>
              <w:t>With effect from 1 September 2016:</w:t>
            </w:r>
            <w:r w:rsidR="00400BF3">
              <w:t xml:space="preserve"> </w:t>
            </w:r>
            <w:r>
              <w:t>1% on all points</w:t>
            </w:r>
          </w:p>
        </w:tc>
      </w:tr>
      <w:tr w:rsidR="00AE6842" w14:paraId="212BCC75" w14:textId="77777777" w:rsidTr="00DA4898">
        <w:trPr>
          <w:cantSplit/>
          <w:trHeight w:val="20"/>
        </w:trPr>
        <w:tc>
          <w:tcPr>
            <w:tcW w:w="851" w:type="dxa"/>
          </w:tcPr>
          <w:p w14:paraId="0B99090C" w14:textId="3760DD72" w:rsidR="00AE6842" w:rsidRDefault="00AE6842" w:rsidP="008863BC">
            <w:pPr>
              <w:spacing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</w:tcPr>
          <w:p w14:paraId="08FCBB8C" w14:textId="6CFBB917" w:rsidR="00AE6842" w:rsidRDefault="00AE6842" w:rsidP="00400BF3">
            <w:pPr>
              <w:spacing w:line="240" w:lineRule="auto"/>
            </w:pPr>
            <w:r>
              <w:t>With effect from 1 September 2017:</w:t>
            </w:r>
            <w:r w:rsidR="00400BF3">
              <w:t xml:space="preserve"> </w:t>
            </w:r>
            <w:r>
              <w:t xml:space="preserve">1% for all ranks </w:t>
            </w:r>
          </w:p>
        </w:tc>
        <w:tc>
          <w:tcPr>
            <w:tcW w:w="9214" w:type="dxa"/>
          </w:tcPr>
          <w:p w14:paraId="27259B0C" w14:textId="77777777" w:rsidR="00AE6842" w:rsidRDefault="00AE6842" w:rsidP="008863BC">
            <w:pPr>
              <w:spacing w:line="240" w:lineRule="auto"/>
            </w:pPr>
            <w:r>
              <w:t>With effect from 1 September 2017:</w:t>
            </w:r>
          </w:p>
          <w:p w14:paraId="68B9E3E3" w14:textId="5FF8D4D5" w:rsidR="00AE6842" w:rsidRDefault="00AE6842" w:rsidP="008863BC">
            <w:pPr>
              <w:pStyle w:val="ListParagraph"/>
              <w:numPr>
                <w:ilvl w:val="0"/>
                <w:numId w:val="20"/>
              </w:numPr>
              <w:spacing w:before="0" w:after="160" w:line="240" w:lineRule="auto"/>
            </w:pPr>
            <w:r>
              <w:t xml:space="preserve">Staff earning below £22,000 in base pay </w:t>
            </w:r>
            <w:r w:rsidR="008863BC">
              <w:t>-</w:t>
            </w:r>
            <w:r>
              <w:t xml:space="preserve"> 4% </w:t>
            </w:r>
          </w:p>
          <w:p w14:paraId="3E687513" w14:textId="6809E756" w:rsidR="00AE6842" w:rsidRDefault="00AE6842" w:rsidP="008863BC">
            <w:pPr>
              <w:pStyle w:val="ListParagraph"/>
              <w:numPr>
                <w:ilvl w:val="0"/>
                <w:numId w:val="20"/>
              </w:numPr>
              <w:spacing w:before="0" w:after="160" w:line="240" w:lineRule="auto"/>
            </w:pPr>
            <w:r>
              <w:t xml:space="preserve">Staff earning between £22,000 and £36,500 in base pay </w:t>
            </w:r>
            <w:r w:rsidR="008863BC">
              <w:t xml:space="preserve">- </w:t>
            </w:r>
            <w:r>
              <w:t xml:space="preserve">3% </w:t>
            </w:r>
          </w:p>
          <w:p w14:paraId="02841663" w14:textId="5EFCC706" w:rsidR="00AE6842" w:rsidRDefault="00AE6842" w:rsidP="008863BC">
            <w:pPr>
              <w:pStyle w:val="ListParagraph"/>
              <w:numPr>
                <w:ilvl w:val="0"/>
                <w:numId w:val="20"/>
              </w:numPr>
              <w:spacing w:before="0" w:after="160" w:line="240" w:lineRule="auto"/>
            </w:pPr>
            <w:r>
              <w:t xml:space="preserve">Staff earning between £36,500 and £80,000 in base pay </w:t>
            </w:r>
            <w:r w:rsidR="008863BC">
              <w:t>-</w:t>
            </w:r>
            <w:r>
              <w:t xml:space="preserve"> 2.3% </w:t>
            </w:r>
          </w:p>
          <w:p w14:paraId="62B3A773" w14:textId="226C29E4" w:rsidR="00AE6842" w:rsidRDefault="00AE6842" w:rsidP="008863BC">
            <w:pPr>
              <w:pStyle w:val="ListParagraph"/>
              <w:numPr>
                <w:ilvl w:val="0"/>
                <w:numId w:val="20"/>
              </w:numPr>
              <w:spacing w:before="0" w:after="160" w:line="240" w:lineRule="auto"/>
            </w:pPr>
            <w:r>
              <w:t xml:space="preserve">Staff earning above £80,000 in base pay </w:t>
            </w:r>
            <w:r w:rsidR="008863BC">
              <w:t>- £1,600</w:t>
            </w:r>
            <w:r>
              <w:t xml:space="preserve"> </w:t>
            </w:r>
          </w:p>
        </w:tc>
      </w:tr>
      <w:tr w:rsidR="00AE6842" w14:paraId="19910DFE" w14:textId="77777777" w:rsidTr="00DA4898">
        <w:trPr>
          <w:cantSplit/>
          <w:trHeight w:val="20"/>
        </w:trPr>
        <w:tc>
          <w:tcPr>
            <w:tcW w:w="851" w:type="dxa"/>
          </w:tcPr>
          <w:p w14:paraId="284F6AA3" w14:textId="49B35CDA" w:rsidR="00AE6842" w:rsidRDefault="00AE6842" w:rsidP="008863BC">
            <w:pPr>
              <w:spacing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</w:tcPr>
          <w:p w14:paraId="032F257F" w14:textId="77777777" w:rsidR="00AE6842" w:rsidRDefault="00AE6842" w:rsidP="008863BC">
            <w:pPr>
              <w:spacing w:line="240" w:lineRule="auto"/>
            </w:pPr>
            <w:r>
              <w:t>With effect from 1 September 2018:</w:t>
            </w:r>
          </w:p>
          <w:p w14:paraId="1036BED0" w14:textId="72BF57D6" w:rsidR="00AE6842" w:rsidRDefault="00AE6842" w:rsidP="008863BC">
            <w:pPr>
              <w:pStyle w:val="ListParagraph"/>
              <w:numPr>
                <w:ilvl w:val="0"/>
                <w:numId w:val="10"/>
              </w:numPr>
              <w:spacing w:before="0" w:after="160" w:line="240" w:lineRule="auto"/>
            </w:pPr>
            <w:r>
              <w:t>6.5% for federated and superintending ranks</w:t>
            </w:r>
          </w:p>
          <w:p w14:paraId="09BAC9A8" w14:textId="60D2C0AE" w:rsidR="00AE6842" w:rsidRDefault="00AE6842" w:rsidP="008863BC">
            <w:pPr>
              <w:pStyle w:val="ListParagraph"/>
              <w:numPr>
                <w:ilvl w:val="0"/>
                <w:numId w:val="10"/>
              </w:numPr>
              <w:spacing w:before="0" w:after="160" w:line="240" w:lineRule="auto"/>
            </w:pPr>
            <w:r>
              <w:t>£4,133 increase for senior officers</w:t>
            </w:r>
          </w:p>
        </w:tc>
        <w:tc>
          <w:tcPr>
            <w:tcW w:w="9214" w:type="dxa"/>
            <w:shd w:val="clear" w:color="auto" w:fill="F2F2F2" w:themeFill="background1" w:themeFillShade="F2"/>
          </w:tcPr>
          <w:p w14:paraId="5DD6EEB9" w14:textId="0828E664" w:rsidR="00AE6842" w:rsidRDefault="00647FAF" w:rsidP="008863BC">
            <w:pPr>
              <w:spacing w:line="240" w:lineRule="auto"/>
            </w:pPr>
            <w:r w:rsidRPr="00647FAF">
              <w:t>19-month pay settlement</w:t>
            </w:r>
          </w:p>
        </w:tc>
      </w:tr>
      <w:tr w:rsidR="00AE6842" w14:paraId="575AEBB8" w14:textId="77777777" w:rsidTr="00DA4898">
        <w:trPr>
          <w:cantSplit/>
          <w:trHeight w:val="20"/>
        </w:trPr>
        <w:tc>
          <w:tcPr>
            <w:tcW w:w="851" w:type="dxa"/>
          </w:tcPr>
          <w:p w14:paraId="6CD29A7E" w14:textId="13468851" w:rsidR="00AE6842" w:rsidRDefault="00AE6842" w:rsidP="008863B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667DD014" w14:textId="74D53CEE" w:rsidR="00AE6842" w:rsidRDefault="00AE6842" w:rsidP="008863BC">
            <w:pPr>
              <w:spacing w:line="240" w:lineRule="auto"/>
            </w:pPr>
            <w:r>
              <w:t>31-month pay settlement</w:t>
            </w:r>
          </w:p>
        </w:tc>
        <w:tc>
          <w:tcPr>
            <w:tcW w:w="9214" w:type="dxa"/>
          </w:tcPr>
          <w:p w14:paraId="51A8B30A" w14:textId="7D0FE363" w:rsidR="00647FAF" w:rsidRDefault="00647FAF" w:rsidP="008863BC">
            <w:pPr>
              <w:spacing w:line="240" w:lineRule="auto"/>
            </w:pPr>
            <w:r w:rsidRPr="00647FAF">
              <w:t>With effect from 1 April 2019:</w:t>
            </w:r>
          </w:p>
          <w:p w14:paraId="1605C665" w14:textId="56BD86AC" w:rsidR="00400BF3" w:rsidRDefault="00400BF3" w:rsidP="00400BF3">
            <w:pPr>
              <w:pStyle w:val="ListParagraph"/>
              <w:numPr>
                <w:ilvl w:val="0"/>
                <w:numId w:val="22"/>
              </w:numPr>
              <w:spacing w:before="0" w:after="160" w:line="240" w:lineRule="auto"/>
            </w:pPr>
            <w:r>
              <w:t xml:space="preserve">Staff earning below £80,000 in base pay – 3.25% </w:t>
            </w:r>
          </w:p>
          <w:p w14:paraId="03A4764C" w14:textId="26930F51" w:rsidR="00AE6842" w:rsidRDefault="00400BF3" w:rsidP="00400BF3">
            <w:pPr>
              <w:pStyle w:val="ListParagraph"/>
              <w:numPr>
                <w:ilvl w:val="0"/>
                <w:numId w:val="22"/>
              </w:numPr>
              <w:spacing w:before="0" w:after="160" w:line="240" w:lineRule="auto"/>
            </w:pPr>
            <w:r>
              <w:t>Staff earning above £80,000 in base pay - £1,600 increase</w:t>
            </w:r>
          </w:p>
        </w:tc>
      </w:tr>
      <w:tr w:rsidR="00AE6842" w14:paraId="0B69168A" w14:textId="77777777" w:rsidTr="00DA4898">
        <w:trPr>
          <w:cantSplit/>
          <w:trHeight w:val="20"/>
        </w:trPr>
        <w:tc>
          <w:tcPr>
            <w:tcW w:w="851" w:type="dxa"/>
          </w:tcPr>
          <w:p w14:paraId="5611CED4" w14:textId="6E7B02C8" w:rsidR="00AE6842" w:rsidRDefault="00AE6842" w:rsidP="008863BC">
            <w:pPr>
              <w:spacing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043884D1" w14:textId="338F7949" w:rsidR="00AE6842" w:rsidRDefault="00AE6842" w:rsidP="008863BC">
            <w:pPr>
              <w:spacing w:line="240" w:lineRule="auto"/>
            </w:pPr>
            <w:r>
              <w:t>31-month pay settlement</w:t>
            </w:r>
          </w:p>
        </w:tc>
        <w:tc>
          <w:tcPr>
            <w:tcW w:w="9214" w:type="dxa"/>
          </w:tcPr>
          <w:p w14:paraId="645A887D" w14:textId="77777777" w:rsidR="00647FAF" w:rsidRDefault="00647FAF" w:rsidP="008863BC">
            <w:pPr>
              <w:spacing w:line="240" w:lineRule="auto"/>
            </w:pPr>
            <w:r>
              <w:t>With effect from 1 April 2020:</w:t>
            </w:r>
          </w:p>
          <w:p w14:paraId="4D27E5D1" w14:textId="77777777" w:rsidR="00400BF3" w:rsidRDefault="00647FAF" w:rsidP="00400BF3">
            <w:pPr>
              <w:pStyle w:val="ListParagraph"/>
              <w:numPr>
                <w:ilvl w:val="0"/>
                <w:numId w:val="22"/>
              </w:numPr>
              <w:spacing w:before="0" w:after="160" w:line="240" w:lineRule="auto"/>
            </w:pPr>
            <w:r>
              <w:t xml:space="preserve">Staff earning below £80,000 in base pay </w:t>
            </w:r>
            <w:r w:rsidR="008863BC">
              <w:t xml:space="preserve">- </w:t>
            </w:r>
            <w:r>
              <w:t xml:space="preserve">3% </w:t>
            </w:r>
          </w:p>
          <w:p w14:paraId="074C0BB0" w14:textId="22951A8A" w:rsidR="00AE6842" w:rsidRDefault="00647FAF" w:rsidP="00400BF3">
            <w:pPr>
              <w:pStyle w:val="ListParagraph"/>
              <w:numPr>
                <w:ilvl w:val="0"/>
                <w:numId w:val="22"/>
              </w:numPr>
              <w:spacing w:before="0" w:after="160" w:line="240" w:lineRule="auto"/>
            </w:pPr>
            <w:r>
              <w:t xml:space="preserve">Staff earning above £80,000 </w:t>
            </w:r>
            <w:r w:rsidR="008863BC">
              <w:t xml:space="preserve">in base pay - </w:t>
            </w:r>
            <w:r>
              <w:t xml:space="preserve">£1,600 </w:t>
            </w:r>
            <w:r w:rsidR="00400BF3">
              <w:t>increase</w:t>
            </w:r>
            <w:r>
              <w:t xml:space="preserve"> </w:t>
            </w:r>
          </w:p>
        </w:tc>
      </w:tr>
      <w:tr w:rsidR="00AE6842" w14:paraId="16534289" w14:textId="77777777" w:rsidTr="00DA4898">
        <w:trPr>
          <w:cantSplit/>
          <w:trHeight w:val="20"/>
        </w:trPr>
        <w:tc>
          <w:tcPr>
            <w:tcW w:w="851" w:type="dxa"/>
          </w:tcPr>
          <w:p w14:paraId="59925711" w14:textId="6BDD1D7D" w:rsidR="00AE6842" w:rsidRDefault="00AE6842" w:rsidP="008863BC">
            <w:pPr>
              <w:spacing w:line="240" w:lineRule="auto"/>
              <w:jc w:val="center"/>
            </w:pPr>
            <w:r>
              <w:lastRenderedPageBreak/>
              <w:t>2021</w:t>
            </w:r>
          </w:p>
        </w:tc>
        <w:tc>
          <w:tcPr>
            <w:tcW w:w="5812" w:type="dxa"/>
          </w:tcPr>
          <w:p w14:paraId="71D2A761" w14:textId="00A9A25D" w:rsidR="00AE6842" w:rsidRDefault="00AE6842" w:rsidP="00400BF3">
            <w:pPr>
              <w:spacing w:line="240" w:lineRule="auto"/>
            </w:pPr>
            <w:r>
              <w:t>With effect from 1 April 2021:</w:t>
            </w:r>
            <w:r w:rsidR="00763E49">
              <w:t xml:space="preserve"> </w:t>
            </w:r>
            <w:r>
              <w:t>£700 increase on all pay points for all ranks</w:t>
            </w:r>
          </w:p>
          <w:p w14:paraId="5E230416" w14:textId="498B4AAA" w:rsidR="00AE6842" w:rsidRDefault="00647FAF" w:rsidP="008863BC">
            <w:pPr>
              <w:spacing w:line="240" w:lineRule="auto"/>
            </w:pPr>
            <w:r>
              <w:t>A n</w:t>
            </w:r>
            <w:r w:rsidR="00AE6842" w:rsidRPr="00AE6842">
              <w:t>on-consolidated payment of £250 to all officers serving within the Police Service of Scotland on 28 October 2021</w:t>
            </w:r>
          </w:p>
        </w:tc>
        <w:tc>
          <w:tcPr>
            <w:tcW w:w="9214" w:type="dxa"/>
          </w:tcPr>
          <w:p w14:paraId="5C500F9F" w14:textId="77777777" w:rsidR="00647FAF" w:rsidRDefault="00647FAF" w:rsidP="008863BC">
            <w:pPr>
              <w:spacing w:line="240" w:lineRule="auto"/>
            </w:pPr>
            <w:r>
              <w:t>With effect from 1 April 2021:</w:t>
            </w:r>
          </w:p>
          <w:p w14:paraId="3EE4EE7C" w14:textId="6F9DE0B0" w:rsidR="00647FAF" w:rsidRDefault="00647FAF" w:rsidP="008863BC">
            <w:pPr>
              <w:pStyle w:val="ListParagraph"/>
              <w:numPr>
                <w:ilvl w:val="0"/>
                <w:numId w:val="23"/>
              </w:numPr>
              <w:spacing w:before="0" w:after="160" w:line="240" w:lineRule="auto"/>
            </w:pPr>
            <w:r>
              <w:t>£800 consolidated underpin for all earning &lt; £25k</w:t>
            </w:r>
          </w:p>
          <w:p w14:paraId="0BBDDF93" w14:textId="10BD3E1C" w:rsidR="00647FAF" w:rsidRDefault="00647FAF" w:rsidP="008863BC">
            <w:pPr>
              <w:pStyle w:val="ListParagraph"/>
              <w:numPr>
                <w:ilvl w:val="0"/>
                <w:numId w:val="23"/>
              </w:numPr>
              <w:spacing w:before="0" w:after="160" w:line="240" w:lineRule="auto"/>
            </w:pPr>
            <w:r>
              <w:t>2% for those earning between £25k and £40k</w:t>
            </w:r>
          </w:p>
          <w:p w14:paraId="06C7B776" w14:textId="0FAE1076" w:rsidR="00647FAF" w:rsidRDefault="00647FAF" w:rsidP="008863BC">
            <w:pPr>
              <w:pStyle w:val="ListParagraph"/>
              <w:numPr>
                <w:ilvl w:val="0"/>
                <w:numId w:val="23"/>
              </w:numPr>
              <w:spacing w:before="0" w:after="160" w:line="240" w:lineRule="auto"/>
            </w:pPr>
            <w:r>
              <w:t>1% for those earning between £40k and £80k</w:t>
            </w:r>
          </w:p>
          <w:p w14:paraId="4A8F7C6B" w14:textId="77777777" w:rsidR="00647FAF" w:rsidRDefault="00647FAF" w:rsidP="008863BC">
            <w:pPr>
              <w:pStyle w:val="ListParagraph"/>
              <w:numPr>
                <w:ilvl w:val="0"/>
                <w:numId w:val="23"/>
              </w:numPr>
              <w:spacing w:before="0" w:after="160" w:line="240" w:lineRule="auto"/>
            </w:pPr>
            <w:r>
              <w:t>A cap of £800 added to salary points for those earning over £80k</w:t>
            </w:r>
          </w:p>
          <w:p w14:paraId="3F5D5D0F" w14:textId="7855BDC2" w:rsidR="00647FAF" w:rsidRDefault="00647FAF" w:rsidP="008863BC">
            <w:pPr>
              <w:pStyle w:val="ListParagraph"/>
              <w:numPr>
                <w:ilvl w:val="0"/>
                <w:numId w:val="23"/>
              </w:numPr>
              <w:spacing w:before="0" w:after="160" w:line="240" w:lineRule="auto"/>
            </w:pPr>
            <w:r>
              <w:t>A Threshold fix for 2nd point in Grade 7 of 2%.</w:t>
            </w:r>
          </w:p>
          <w:p w14:paraId="0060A2D4" w14:textId="7FBC318C" w:rsidR="00AE6842" w:rsidRDefault="00647FAF" w:rsidP="008863BC">
            <w:pPr>
              <w:spacing w:line="240" w:lineRule="auto"/>
            </w:pPr>
            <w:r w:rsidRPr="00647FAF">
              <w:t>A non-consolidated payment of £250 per employee</w:t>
            </w:r>
          </w:p>
        </w:tc>
      </w:tr>
      <w:tr w:rsidR="00AE6842" w14:paraId="54B5F885" w14:textId="77777777" w:rsidTr="00DA4898">
        <w:trPr>
          <w:cantSplit/>
          <w:trHeight w:val="20"/>
        </w:trPr>
        <w:tc>
          <w:tcPr>
            <w:tcW w:w="851" w:type="dxa"/>
          </w:tcPr>
          <w:p w14:paraId="132C38FF" w14:textId="6052F214" w:rsidR="00AE6842" w:rsidRDefault="00AE6842" w:rsidP="008863BC">
            <w:pPr>
              <w:spacing w:line="240" w:lineRule="auto"/>
              <w:jc w:val="center"/>
            </w:pPr>
            <w:r>
              <w:t>2022</w:t>
            </w:r>
          </w:p>
        </w:tc>
        <w:tc>
          <w:tcPr>
            <w:tcW w:w="5812" w:type="dxa"/>
          </w:tcPr>
          <w:p w14:paraId="22934B76" w14:textId="7879E549" w:rsidR="00AE6842" w:rsidRDefault="00AE6842" w:rsidP="00400BF3">
            <w:pPr>
              <w:spacing w:line="240" w:lineRule="auto"/>
            </w:pPr>
            <w:r>
              <w:t>With effect from 1 April 2022:</w:t>
            </w:r>
            <w:r w:rsidR="00400BF3">
              <w:t xml:space="preserve"> </w:t>
            </w:r>
            <w:r>
              <w:t>5% for all ranks</w:t>
            </w:r>
          </w:p>
        </w:tc>
        <w:tc>
          <w:tcPr>
            <w:tcW w:w="9214" w:type="dxa"/>
          </w:tcPr>
          <w:p w14:paraId="07C2BC14" w14:textId="5D42A6A1" w:rsidR="00AE6842" w:rsidRDefault="00647FAF" w:rsidP="00400BF3">
            <w:pPr>
              <w:spacing w:line="240" w:lineRule="auto"/>
            </w:pPr>
            <w:r>
              <w:t>With effect from 1 April 2022:</w:t>
            </w:r>
            <w:r w:rsidR="00400BF3">
              <w:t xml:space="preserve"> </w:t>
            </w:r>
            <w:r>
              <w:t xml:space="preserve">5% </w:t>
            </w:r>
            <w:r w:rsidR="00400BF3">
              <w:t>on</w:t>
            </w:r>
            <w:r>
              <w:t xml:space="preserve"> all points</w:t>
            </w:r>
          </w:p>
        </w:tc>
      </w:tr>
      <w:tr w:rsidR="00AE6842" w14:paraId="6301E630" w14:textId="77777777" w:rsidTr="00DA4898">
        <w:trPr>
          <w:cantSplit/>
          <w:trHeight w:val="20"/>
        </w:trPr>
        <w:tc>
          <w:tcPr>
            <w:tcW w:w="851" w:type="dxa"/>
          </w:tcPr>
          <w:p w14:paraId="640BFB6D" w14:textId="60E48D48" w:rsidR="00AE6842" w:rsidRDefault="00AE6842" w:rsidP="008863BC">
            <w:pPr>
              <w:spacing w:line="240" w:lineRule="auto"/>
              <w:jc w:val="center"/>
            </w:pPr>
            <w:r>
              <w:t>2023</w:t>
            </w:r>
          </w:p>
        </w:tc>
        <w:tc>
          <w:tcPr>
            <w:tcW w:w="5812" w:type="dxa"/>
          </w:tcPr>
          <w:p w14:paraId="3AB98121" w14:textId="36EEE027" w:rsidR="00AE6842" w:rsidRDefault="00AE6842" w:rsidP="00400BF3">
            <w:pPr>
              <w:spacing w:line="240" w:lineRule="auto"/>
            </w:pPr>
            <w:r>
              <w:t>With effect from 1 April 2023:</w:t>
            </w:r>
            <w:r w:rsidR="00400BF3">
              <w:t xml:space="preserve"> </w:t>
            </w:r>
            <w:r>
              <w:t>7% for all ranks</w:t>
            </w:r>
          </w:p>
        </w:tc>
        <w:tc>
          <w:tcPr>
            <w:tcW w:w="9214" w:type="dxa"/>
          </w:tcPr>
          <w:p w14:paraId="6FCECA9F" w14:textId="77777777" w:rsidR="00647FAF" w:rsidRDefault="00647FAF" w:rsidP="008863BC">
            <w:pPr>
              <w:spacing w:line="240" w:lineRule="auto"/>
            </w:pPr>
            <w:r>
              <w:t>With effect from 1 April 2023:</w:t>
            </w:r>
          </w:p>
          <w:p w14:paraId="36C11586" w14:textId="66DD39AB" w:rsidR="00647FAF" w:rsidRDefault="00647FAF" w:rsidP="008863BC">
            <w:pPr>
              <w:pStyle w:val="ListParagraph"/>
              <w:numPr>
                <w:ilvl w:val="0"/>
                <w:numId w:val="25"/>
              </w:numPr>
              <w:spacing w:before="0" w:after="160" w:line="240" w:lineRule="auto"/>
            </w:pPr>
            <w:r>
              <w:t>£1,900 uplift for those earning up to</w:t>
            </w:r>
            <w:r w:rsidR="00400BF3">
              <w:t>/</w:t>
            </w:r>
            <w:r>
              <w:t xml:space="preserve"> including £26,783 (FTE) in base pay</w:t>
            </w:r>
          </w:p>
          <w:p w14:paraId="799BA47A" w14:textId="545CCF97" w:rsidR="00AE6842" w:rsidRDefault="00647FAF" w:rsidP="008863BC">
            <w:pPr>
              <w:pStyle w:val="ListParagraph"/>
              <w:numPr>
                <w:ilvl w:val="0"/>
                <w:numId w:val="25"/>
              </w:numPr>
              <w:spacing w:before="0" w:after="160" w:line="240" w:lineRule="auto"/>
            </w:pPr>
            <w:r>
              <w:t>7% for those earning on and above £27,256 (FTE)</w:t>
            </w:r>
          </w:p>
        </w:tc>
      </w:tr>
      <w:tr w:rsidR="00AE6842" w14:paraId="6F5FC8B2" w14:textId="77777777" w:rsidTr="00DA4898">
        <w:trPr>
          <w:cantSplit/>
          <w:trHeight w:val="20"/>
        </w:trPr>
        <w:tc>
          <w:tcPr>
            <w:tcW w:w="851" w:type="dxa"/>
          </w:tcPr>
          <w:p w14:paraId="5AE8A1AB" w14:textId="4411F00C" w:rsidR="00AE6842" w:rsidRDefault="00AE6842" w:rsidP="008863BC">
            <w:pPr>
              <w:spacing w:line="240" w:lineRule="auto"/>
              <w:jc w:val="center"/>
            </w:pPr>
            <w:r>
              <w:t>2024</w:t>
            </w:r>
          </w:p>
        </w:tc>
        <w:tc>
          <w:tcPr>
            <w:tcW w:w="5812" w:type="dxa"/>
          </w:tcPr>
          <w:p w14:paraId="298EFBFB" w14:textId="287D6AD4" w:rsidR="00AE6842" w:rsidRDefault="00AE6842" w:rsidP="00400BF3">
            <w:pPr>
              <w:spacing w:line="240" w:lineRule="auto"/>
            </w:pPr>
            <w:r>
              <w:t>With effect from 1 April 2024:</w:t>
            </w:r>
            <w:r w:rsidR="00400BF3">
              <w:t xml:space="preserve"> </w:t>
            </w:r>
            <w:r>
              <w:t>4.75% for all ranks</w:t>
            </w:r>
          </w:p>
        </w:tc>
        <w:tc>
          <w:tcPr>
            <w:tcW w:w="9214" w:type="dxa"/>
          </w:tcPr>
          <w:p w14:paraId="11981B24" w14:textId="77777777" w:rsidR="00647FAF" w:rsidRPr="00647FAF" w:rsidRDefault="00647FAF" w:rsidP="008863BC">
            <w:pPr>
              <w:spacing w:line="240" w:lineRule="auto"/>
            </w:pPr>
            <w:r w:rsidRPr="00647FAF">
              <w:t>With effect from 1 April 2024:</w:t>
            </w:r>
          </w:p>
          <w:p w14:paraId="0ADB0810" w14:textId="3A554525" w:rsidR="008863BC" w:rsidRDefault="00647FAF" w:rsidP="008863BC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 w:rsidRPr="00647FAF">
              <w:t>Grade 1</w:t>
            </w:r>
            <w:r w:rsidR="00F539E8">
              <w:t xml:space="preserve"> – r</w:t>
            </w:r>
            <w:r w:rsidRPr="00647FAF">
              <w:t>educe increments through removal of SCP 1 and SCP 2 to create a two point pay scale</w:t>
            </w:r>
            <w:r w:rsidR="008863BC">
              <w:t xml:space="preserve">.  </w:t>
            </w:r>
            <w:r w:rsidRPr="00647FAF">
              <w:t>The first scale point set at £27,373</w:t>
            </w:r>
            <w:r w:rsidR="008863BC">
              <w:t>, the</w:t>
            </w:r>
            <w:r w:rsidRPr="00647FAF">
              <w:t xml:space="preserve"> second </w:t>
            </w:r>
            <w:r w:rsidR="008863BC">
              <w:t xml:space="preserve">at </w:t>
            </w:r>
            <w:r w:rsidRPr="00647FAF">
              <w:t>£28,057</w:t>
            </w:r>
          </w:p>
          <w:p w14:paraId="7898D27B" w14:textId="053470F3" w:rsidR="00647FAF" w:rsidRDefault="00647FAF" w:rsidP="008863BC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Grade 2</w:t>
            </w:r>
            <w:r w:rsidR="00F539E8">
              <w:t xml:space="preserve"> – r</w:t>
            </w:r>
            <w:r>
              <w:t xml:space="preserve">educe increments </w:t>
            </w:r>
            <w:r w:rsidR="008863BC">
              <w:t>t</w:t>
            </w:r>
            <w:r>
              <w:t>hrough removal of SCP 5 to create a three point pay scale</w:t>
            </w:r>
            <w:r w:rsidR="008863BC">
              <w:t xml:space="preserve">.  </w:t>
            </w:r>
            <w:r w:rsidR="009305C1">
              <w:t>F</w:t>
            </w:r>
            <w:r>
              <w:t>irst scale point £28,197</w:t>
            </w:r>
            <w:r w:rsidR="008863BC">
              <w:t xml:space="preserve">, </w:t>
            </w:r>
            <w:r>
              <w:t>second at £28,902</w:t>
            </w:r>
            <w:r w:rsidR="008863BC">
              <w:t xml:space="preserve">, </w:t>
            </w:r>
            <w:r>
              <w:t>third at £29,625</w:t>
            </w:r>
          </w:p>
          <w:p w14:paraId="0F49187E" w14:textId="0AFD0A74" w:rsidR="00F539E8" w:rsidRDefault="00F539E8" w:rsidP="008863BC">
            <w:pPr>
              <w:pStyle w:val="ListParagraph"/>
              <w:numPr>
                <w:ilvl w:val="0"/>
                <w:numId w:val="30"/>
              </w:numPr>
              <w:spacing w:line="240" w:lineRule="auto"/>
            </w:pPr>
            <w:r>
              <w:t>Grade 3 – minimum uplift ranging from £1,415 (bottom) to £1,524 (top):</w:t>
            </w:r>
          </w:p>
          <w:p w14:paraId="023D6288" w14:textId="77777777" w:rsidR="00F539E8" w:rsidRDefault="00F539E8" w:rsidP="008863BC">
            <w:pPr>
              <w:pStyle w:val="ListParagraph"/>
              <w:numPr>
                <w:ilvl w:val="0"/>
                <w:numId w:val="31"/>
              </w:numPr>
              <w:spacing w:line="240" w:lineRule="auto"/>
            </w:pPr>
            <w:r>
              <w:t>The first scale point of Grade 3 will be set at £29,711</w:t>
            </w:r>
          </w:p>
          <w:p w14:paraId="07F9BD32" w14:textId="77777777" w:rsidR="00F539E8" w:rsidRDefault="00F539E8" w:rsidP="008863BC">
            <w:pPr>
              <w:pStyle w:val="ListParagraph"/>
              <w:numPr>
                <w:ilvl w:val="0"/>
                <w:numId w:val="31"/>
              </w:numPr>
              <w:spacing w:line="240" w:lineRule="auto"/>
            </w:pPr>
            <w:r>
              <w:t>The second scale point of Grade 3 will be set at £30,117</w:t>
            </w:r>
          </w:p>
          <w:p w14:paraId="12DBED14" w14:textId="77777777" w:rsidR="00F539E8" w:rsidRDefault="00F539E8" w:rsidP="008863BC">
            <w:pPr>
              <w:pStyle w:val="ListParagraph"/>
              <w:numPr>
                <w:ilvl w:val="0"/>
                <w:numId w:val="31"/>
              </w:numPr>
              <w:spacing w:line="240" w:lineRule="auto"/>
            </w:pPr>
            <w:r>
              <w:t>The third scale point of Grade 3 will be set at £30,622</w:t>
            </w:r>
          </w:p>
          <w:p w14:paraId="200AF344" w14:textId="1A22CE6F" w:rsidR="00F539E8" w:rsidRDefault="00F539E8" w:rsidP="008863BC">
            <w:pPr>
              <w:pStyle w:val="ListParagraph"/>
              <w:numPr>
                <w:ilvl w:val="0"/>
                <w:numId w:val="31"/>
              </w:numPr>
              <w:spacing w:line="240" w:lineRule="auto"/>
            </w:pPr>
            <w:r>
              <w:t>The fourth scale point of Grade 3 will be set at £32,000</w:t>
            </w:r>
          </w:p>
          <w:p w14:paraId="6D65A45F" w14:textId="5983353B" w:rsidR="00AE6842" w:rsidRDefault="008863BC" w:rsidP="008863BC">
            <w:pPr>
              <w:pStyle w:val="ListParagraph"/>
              <w:numPr>
                <w:ilvl w:val="0"/>
                <w:numId w:val="30"/>
              </w:numPr>
              <w:spacing w:line="240" w:lineRule="auto"/>
            </w:pPr>
            <w:r w:rsidRPr="00F539E8">
              <w:t>Changes above Grade 3</w:t>
            </w:r>
            <w:r>
              <w:t xml:space="preserve"> – a</w:t>
            </w:r>
            <w:r w:rsidRPr="00F539E8">
              <w:t xml:space="preserve"> 4.75% increase to all grades and pay points and an additional £76 added to SCP 13 to maintain an appropriate pay gap between the top of Grade 3 and the bottom of Grade 4 with SCP 13 being set at £32,160</w:t>
            </w:r>
          </w:p>
        </w:tc>
      </w:tr>
      <w:tr w:rsidR="00400BF3" w14:paraId="5DF3BA82" w14:textId="77777777" w:rsidTr="00DA4898">
        <w:trPr>
          <w:cantSplit/>
          <w:trHeight w:val="20"/>
        </w:trPr>
        <w:tc>
          <w:tcPr>
            <w:tcW w:w="851" w:type="dxa"/>
          </w:tcPr>
          <w:p w14:paraId="48A33BFD" w14:textId="5688200D" w:rsidR="00400BF3" w:rsidRDefault="00400BF3" w:rsidP="00400BF3">
            <w:pPr>
              <w:spacing w:line="240" w:lineRule="auto"/>
              <w:jc w:val="center"/>
            </w:pPr>
            <w:r>
              <w:t>2025</w:t>
            </w:r>
          </w:p>
        </w:tc>
        <w:tc>
          <w:tcPr>
            <w:tcW w:w="5812" w:type="dxa"/>
          </w:tcPr>
          <w:p w14:paraId="39414555" w14:textId="0F306078" w:rsidR="00400BF3" w:rsidRDefault="00400BF3" w:rsidP="00400BF3">
            <w:pPr>
              <w:spacing w:line="240" w:lineRule="auto"/>
            </w:pPr>
            <w:r>
              <w:t>With effect from 1 April 2025: 4% for all ranks</w:t>
            </w:r>
          </w:p>
        </w:tc>
        <w:tc>
          <w:tcPr>
            <w:tcW w:w="9214" w:type="dxa"/>
          </w:tcPr>
          <w:p w14:paraId="180DA15A" w14:textId="0539821D" w:rsidR="00400BF3" w:rsidRDefault="00400BF3" w:rsidP="00400BF3">
            <w:pPr>
              <w:spacing w:line="240" w:lineRule="auto"/>
            </w:pPr>
            <w:r>
              <w:t>With effect from 1 April 2025:</w:t>
            </w:r>
            <w:r w:rsidR="00763E49">
              <w:t xml:space="preserve"> </w:t>
            </w:r>
            <w:r>
              <w:t xml:space="preserve">4% increase on all salary points </w:t>
            </w:r>
          </w:p>
        </w:tc>
      </w:tr>
      <w:tr w:rsidR="00400BF3" w14:paraId="5647234D" w14:textId="77777777" w:rsidTr="00DA4898">
        <w:trPr>
          <w:cantSplit/>
          <w:trHeight w:val="20"/>
        </w:trPr>
        <w:tc>
          <w:tcPr>
            <w:tcW w:w="851" w:type="dxa"/>
          </w:tcPr>
          <w:p w14:paraId="6A46EBA2" w14:textId="2B36016C" w:rsidR="00400BF3" w:rsidRDefault="00400BF3" w:rsidP="00400BF3">
            <w:pPr>
              <w:spacing w:line="240" w:lineRule="auto"/>
              <w:jc w:val="center"/>
            </w:pPr>
            <w:r>
              <w:lastRenderedPageBreak/>
              <w:t>2026</w:t>
            </w:r>
          </w:p>
        </w:tc>
        <w:tc>
          <w:tcPr>
            <w:tcW w:w="5812" w:type="dxa"/>
          </w:tcPr>
          <w:p w14:paraId="3DCAA0F6" w14:textId="77AB491C" w:rsidR="00400BF3" w:rsidRDefault="00400BF3" w:rsidP="00400BF3">
            <w:pPr>
              <w:spacing w:line="240" w:lineRule="auto"/>
            </w:pPr>
            <w:r>
              <w:t xml:space="preserve">With effect from 1 April 2026: 3.5% for all ranks </w:t>
            </w:r>
          </w:p>
        </w:tc>
        <w:tc>
          <w:tcPr>
            <w:tcW w:w="9214" w:type="dxa"/>
          </w:tcPr>
          <w:p w14:paraId="218DC18E" w14:textId="07C9C470" w:rsidR="00400BF3" w:rsidRDefault="00400BF3" w:rsidP="00400BF3">
            <w:pPr>
              <w:spacing w:line="240" w:lineRule="auto"/>
            </w:pPr>
            <w:r>
              <w:t>With effect from 1 April 2026:</w:t>
            </w:r>
            <w:r w:rsidR="00763E49">
              <w:t xml:space="preserve"> </w:t>
            </w:r>
            <w:r>
              <w:t xml:space="preserve">3.5% increase on all salary points </w:t>
            </w:r>
          </w:p>
        </w:tc>
      </w:tr>
    </w:tbl>
    <w:p w14:paraId="0F628305" w14:textId="7ACEE8E5" w:rsidR="00467E58" w:rsidRDefault="00467E58" w:rsidP="00793DD5"/>
    <w:sectPr w:rsidR="00467E58" w:rsidSect="00DA4898">
      <w:pgSz w:w="16838" w:h="11906" w:orient="landscape"/>
      <w:pgMar w:top="720" w:right="720" w:bottom="720" w:left="720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10D303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67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DC040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67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ECBD97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67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E9951E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67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3A9E1F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67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3F8A8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67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013"/>
    <w:multiLevelType w:val="hybridMultilevel"/>
    <w:tmpl w:val="92BCA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66890"/>
    <w:multiLevelType w:val="hybridMultilevel"/>
    <w:tmpl w:val="1082B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A7CB2"/>
    <w:multiLevelType w:val="hybridMultilevel"/>
    <w:tmpl w:val="F9363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207D1"/>
    <w:multiLevelType w:val="hybridMultilevel"/>
    <w:tmpl w:val="1BC47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AA4C25"/>
    <w:multiLevelType w:val="hybridMultilevel"/>
    <w:tmpl w:val="53986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D459A5"/>
    <w:multiLevelType w:val="hybridMultilevel"/>
    <w:tmpl w:val="AE2A2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840B1"/>
    <w:multiLevelType w:val="hybridMultilevel"/>
    <w:tmpl w:val="32623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BD34AD"/>
    <w:multiLevelType w:val="hybridMultilevel"/>
    <w:tmpl w:val="0C0A3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1E6C27"/>
    <w:multiLevelType w:val="hybridMultilevel"/>
    <w:tmpl w:val="8DAA5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85301A"/>
    <w:multiLevelType w:val="hybridMultilevel"/>
    <w:tmpl w:val="07AC9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901C88"/>
    <w:multiLevelType w:val="hybridMultilevel"/>
    <w:tmpl w:val="83641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CA129F"/>
    <w:multiLevelType w:val="hybridMultilevel"/>
    <w:tmpl w:val="F3EA1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C129FF"/>
    <w:multiLevelType w:val="hybridMultilevel"/>
    <w:tmpl w:val="D2860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C3E99"/>
    <w:multiLevelType w:val="hybridMultilevel"/>
    <w:tmpl w:val="2834C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79724F"/>
    <w:multiLevelType w:val="hybridMultilevel"/>
    <w:tmpl w:val="3FDA1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33FCF"/>
    <w:multiLevelType w:val="hybridMultilevel"/>
    <w:tmpl w:val="53E61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524D46"/>
    <w:multiLevelType w:val="hybridMultilevel"/>
    <w:tmpl w:val="621065D2"/>
    <w:lvl w:ilvl="0" w:tplc="E9CA6F06">
      <w:start w:val="5"/>
      <w:numFmt w:val="bullet"/>
      <w:lvlText w:val="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12F27"/>
    <w:multiLevelType w:val="hybridMultilevel"/>
    <w:tmpl w:val="4F644430"/>
    <w:lvl w:ilvl="0" w:tplc="5CF20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92B65"/>
    <w:multiLevelType w:val="hybridMultilevel"/>
    <w:tmpl w:val="0DEA07AA"/>
    <w:lvl w:ilvl="0" w:tplc="5CF20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C029B"/>
    <w:multiLevelType w:val="hybridMultilevel"/>
    <w:tmpl w:val="2B8AD60E"/>
    <w:lvl w:ilvl="0" w:tplc="5CF20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75C"/>
    <w:multiLevelType w:val="hybridMultilevel"/>
    <w:tmpl w:val="125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955BA"/>
    <w:multiLevelType w:val="hybridMultilevel"/>
    <w:tmpl w:val="01B85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186AA3"/>
    <w:multiLevelType w:val="hybridMultilevel"/>
    <w:tmpl w:val="83BA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E91094"/>
    <w:multiLevelType w:val="hybridMultilevel"/>
    <w:tmpl w:val="F48AF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CD1FDC"/>
    <w:multiLevelType w:val="hybridMultilevel"/>
    <w:tmpl w:val="058AB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053869"/>
    <w:multiLevelType w:val="hybridMultilevel"/>
    <w:tmpl w:val="38B03F70"/>
    <w:lvl w:ilvl="0" w:tplc="C31EDF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E0B29"/>
    <w:multiLevelType w:val="hybridMultilevel"/>
    <w:tmpl w:val="BDAAA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543D3C"/>
    <w:multiLevelType w:val="hybridMultilevel"/>
    <w:tmpl w:val="D772E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77366F"/>
    <w:multiLevelType w:val="hybridMultilevel"/>
    <w:tmpl w:val="1A823986"/>
    <w:lvl w:ilvl="0" w:tplc="5CF20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E050AF"/>
    <w:multiLevelType w:val="hybridMultilevel"/>
    <w:tmpl w:val="FAE6F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38746">
    <w:abstractNumId w:val="29"/>
  </w:num>
  <w:num w:numId="2" w16cid:durableId="530723178">
    <w:abstractNumId w:val="25"/>
  </w:num>
  <w:num w:numId="3" w16cid:durableId="250748811">
    <w:abstractNumId w:val="20"/>
  </w:num>
  <w:num w:numId="4" w16cid:durableId="107631019">
    <w:abstractNumId w:val="28"/>
  </w:num>
  <w:num w:numId="5" w16cid:durableId="1266494897">
    <w:abstractNumId w:val="7"/>
  </w:num>
  <w:num w:numId="6" w16cid:durableId="584456407">
    <w:abstractNumId w:val="10"/>
  </w:num>
  <w:num w:numId="7" w16cid:durableId="1854032581">
    <w:abstractNumId w:val="5"/>
  </w:num>
  <w:num w:numId="8" w16cid:durableId="1301225855">
    <w:abstractNumId w:val="15"/>
  </w:num>
  <w:num w:numId="9" w16cid:durableId="570579303">
    <w:abstractNumId w:val="28"/>
  </w:num>
  <w:num w:numId="10" w16cid:durableId="1404914290">
    <w:abstractNumId w:val="8"/>
  </w:num>
  <w:num w:numId="11" w16cid:durableId="1818571035">
    <w:abstractNumId w:val="3"/>
  </w:num>
  <w:num w:numId="12" w16cid:durableId="2095276197">
    <w:abstractNumId w:val="22"/>
  </w:num>
  <w:num w:numId="13" w16cid:durableId="663779304">
    <w:abstractNumId w:val="21"/>
  </w:num>
  <w:num w:numId="14" w16cid:durableId="1120875327">
    <w:abstractNumId w:val="4"/>
  </w:num>
  <w:num w:numId="15" w16cid:durableId="579825617">
    <w:abstractNumId w:val="27"/>
  </w:num>
  <w:num w:numId="16" w16cid:durableId="1887830980">
    <w:abstractNumId w:val="9"/>
  </w:num>
  <w:num w:numId="17" w16cid:durableId="1318612993">
    <w:abstractNumId w:val="16"/>
  </w:num>
  <w:num w:numId="18" w16cid:durableId="1065032316">
    <w:abstractNumId w:val="12"/>
  </w:num>
  <w:num w:numId="19" w16cid:durableId="668406840">
    <w:abstractNumId w:val="26"/>
  </w:num>
  <w:num w:numId="20" w16cid:durableId="879785057">
    <w:abstractNumId w:val="1"/>
  </w:num>
  <w:num w:numId="21" w16cid:durableId="2065828196">
    <w:abstractNumId w:val="2"/>
  </w:num>
  <w:num w:numId="22" w16cid:durableId="16322320">
    <w:abstractNumId w:val="11"/>
  </w:num>
  <w:num w:numId="23" w16cid:durableId="168444642">
    <w:abstractNumId w:val="6"/>
  </w:num>
  <w:num w:numId="24" w16cid:durableId="526794017">
    <w:abstractNumId w:val="24"/>
  </w:num>
  <w:num w:numId="25" w16cid:durableId="95562547">
    <w:abstractNumId w:val="30"/>
  </w:num>
  <w:num w:numId="26" w16cid:durableId="797407992">
    <w:abstractNumId w:val="19"/>
  </w:num>
  <w:num w:numId="27" w16cid:durableId="1301611457">
    <w:abstractNumId w:val="14"/>
  </w:num>
  <w:num w:numId="28" w16cid:durableId="657802364">
    <w:abstractNumId w:val="23"/>
  </w:num>
  <w:num w:numId="29" w16cid:durableId="912739264">
    <w:abstractNumId w:val="18"/>
  </w:num>
  <w:num w:numId="30" w16cid:durableId="2137985609">
    <w:abstractNumId w:val="13"/>
  </w:num>
  <w:num w:numId="31" w16cid:durableId="673413199">
    <w:abstractNumId w:val="17"/>
  </w:num>
  <w:num w:numId="32" w16cid:durableId="89424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67C5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20815"/>
    <w:rsid w:val="00253DF6"/>
    <w:rsid w:val="00255F1E"/>
    <w:rsid w:val="00260FBC"/>
    <w:rsid w:val="0036503B"/>
    <w:rsid w:val="00376A4A"/>
    <w:rsid w:val="00381234"/>
    <w:rsid w:val="003D6D03"/>
    <w:rsid w:val="003E12CA"/>
    <w:rsid w:val="00400BF3"/>
    <w:rsid w:val="004010DC"/>
    <w:rsid w:val="00425B5A"/>
    <w:rsid w:val="004341F0"/>
    <w:rsid w:val="00456324"/>
    <w:rsid w:val="00467E58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47FAF"/>
    <w:rsid w:val="006811D2"/>
    <w:rsid w:val="00685219"/>
    <w:rsid w:val="006D5799"/>
    <w:rsid w:val="00717A08"/>
    <w:rsid w:val="007440EA"/>
    <w:rsid w:val="00750D83"/>
    <w:rsid w:val="00763E49"/>
    <w:rsid w:val="00785DBC"/>
    <w:rsid w:val="00793DD5"/>
    <w:rsid w:val="007D55F6"/>
    <w:rsid w:val="007F490F"/>
    <w:rsid w:val="00815563"/>
    <w:rsid w:val="0086779C"/>
    <w:rsid w:val="00874BFD"/>
    <w:rsid w:val="008863BC"/>
    <w:rsid w:val="008964EF"/>
    <w:rsid w:val="00915E01"/>
    <w:rsid w:val="009305C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AE6842"/>
    <w:rsid w:val="00B033D6"/>
    <w:rsid w:val="00B11A55"/>
    <w:rsid w:val="00B17211"/>
    <w:rsid w:val="00B461B2"/>
    <w:rsid w:val="00B654B6"/>
    <w:rsid w:val="00B71B3C"/>
    <w:rsid w:val="00B871DE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675F4"/>
    <w:rsid w:val="00C827BA"/>
    <w:rsid w:val="00C84948"/>
    <w:rsid w:val="00C94ED8"/>
    <w:rsid w:val="00CE09FA"/>
    <w:rsid w:val="00CF1111"/>
    <w:rsid w:val="00D05706"/>
    <w:rsid w:val="00D13FCF"/>
    <w:rsid w:val="00D27DC5"/>
    <w:rsid w:val="00D47E36"/>
    <w:rsid w:val="00D512F1"/>
    <w:rsid w:val="00DA4898"/>
    <w:rsid w:val="00E555D5"/>
    <w:rsid w:val="00E55D79"/>
    <w:rsid w:val="00EE2373"/>
    <w:rsid w:val="00EF0FBB"/>
    <w:rsid w:val="00EF4761"/>
    <w:rsid w:val="00F539E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F3"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67E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5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gov.scot/publicsectorpa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binaries/content/documents/govscot/publications/advice-and-guidance/2024/12/scottish-budget-2025-2026-public-sector-pay-policy/documents/scottish-budget-2025-2026-public-sector-pay-policy/scottish-budget-2025-2026-public-sector-pay-policy/govscot%3Adocument/scottish-budget-2025-2026-public-sector-pay-policy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928</Words>
  <Characters>5294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2025-09-30T11:32:00Z</cp:lastPrinted>
  <dcterms:created xsi:type="dcterms:W3CDTF">2025-09-30T11:28:00Z</dcterms:created>
  <dcterms:modified xsi:type="dcterms:W3CDTF">2025-09-30T11:36:00Z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