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73263">
              <w:t>0330</w:t>
            </w:r>
          </w:p>
          <w:p w:rsidR="00B17211" w:rsidRDefault="00456324" w:rsidP="0047326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73263">
              <w:t>21 March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73263" w:rsidRPr="007D1918" w:rsidRDefault="00473263" w:rsidP="00473263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:rsidR="00473263" w:rsidRPr="00473263" w:rsidRDefault="00473263" w:rsidP="00473263">
      <w:pPr>
        <w:spacing w:before="0" w:after="0" w:line="240" w:lineRule="auto"/>
        <w:rPr>
          <w:rFonts w:eastAsia="Times New Roman"/>
          <w:b/>
        </w:rPr>
      </w:pPr>
      <w:r w:rsidRPr="00473263">
        <w:rPr>
          <w:rFonts w:eastAsia="Times New Roman"/>
          <w:b/>
        </w:rPr>
        <w:t>How many ‘critical personal incidents’ have Police Scotland attended in Orkney in 2020, 2021, 2022, and 2023?</w:t>
      </w:r>
    </w:p>
    <w:p w:rsidR="00473263" w:rsidRPr="00473263" w:rsidRDefault="00473263" w:rsidP="00473263">
      <w:pPr>
        <w:spacing w:before="0" w:after="0" w:line="240" w:lineRule="auto"/>
        <w:rPr>
          <w:rFonts w:eastAsia="Times New Roman"/>
          <w:b/>
        </w:rPr>
      </w:pPr>
      <w:r w:rsidRPr="00473263">
        <w:rPr>
          <w:rFonts w:eastAsia="Times New Roman"/>
          <w:b/>
        </w:rPr>
        <w:t>If possible, please advise how many police hours were spent attending these incidents.</w:t>
      </w:r>
    </w:p>
    <w:p w:rsidR="00473263" w:rsidRDefault="00473263" w:rsidP="00473263">
      <w:pPr>
        <w:rPr>
          <w:rFonts w:eastAsia="Times New Roman"/>
        </w:rPr>
      </w:pPr>
      <w:r w:rsidRPr="00473263">
        <w:t>We</w:t>
      </w:r>
      <w:r w:rsidRPr="00473263">
        <w:t xml:space="preserve"> require</w:t>
      </w:r>
      <w:r w:rsidRPr="00473263">
        <w:t>d</w:t>
      </w:r>
      <w:r w:rsidRPr="00473263">
        <w:t xml:space="preserve"> some additional clarification</w:t>
      </w:r>
      <w:r>
        <w:t xml:space="preserve"> - p</w:t>
      </w:r>
      <w:r w:rsidRPr="00473263">
        <w:t>lease could you define what you mean by ‘critical personal incident’</w:t>
      </w:r>
      <w:r>
        <w:t xml:space="preserve">. </w:t>
      </w:r>
      <w:r w:rsidRPr="00473263">
        <w:t xml:space="preserve"> You responded that by </w:t>
      </w:r>
      <w:r w:rsidRPr="00473263">
        <w:rPr>
          <w:rFonts w:eastAsia="Times New Roman"/>
        </w:rPr>
        <w:t xml:space="preserve">critical person incident </w:t>
      </w:r>
      <w:r>
        <w:rPr>
          <w:rFonts w:eastAsia="Times New Roman"/>
        </w:rPr>
        <w:t>you were</w:t>
      </w:r>
      <w:r w:rsidRPr="00473263">
        <w:rPr>
          <w:rFonts w:eastAsia="Times New Roman"/>
        </w:rPr>
        <w:t xml:space="preserve"> effectively meaning 'attempted suicide'</w:t>
      </w:r>
    </w:p>
    <w:p w:rsidR="00473263" w:rsidRPr="00473263" w:rsidRDefault="00473263" w:rsidP="00473263">
      <w:pPr>
        <w:rPr>
          <w:color w:val="1F497D"/>
        </w:rPr>
      </w:pPr>
      <w:r>
        <w:rPr>
          <w:rFonts w:eastAsia="Times New Roman"/>
        </w:rPr>
        <w:t xml:space="preserve">In response to your request, please find below a table which provides </w:t>
      </w:r>
      <w:r w:rsidRPr="00473263">
        <w:rPr>
          <w:rFonts w:eastAsia="Times New Roman"/>
        </w:rPr>
        <w:t>Attended Suicide, Attempt, Self-Harm Storm Incidents, Orkney Islands Local Authority</w:t>
      </w:r>
      <w:r>
        <w:rPr>
          <w:rFonts w:eastAsia="Times New Roman"/>
        </w:rPr>
        <w:t xml:space="preserve"> for the period 01 </w:t>
      </w:r>
      <w:r w:rsidRPr="00473263">
        <w:rPr>
          <w:rFonts w:eastAsia="Times New Roman"/>
        </w:rPr>
        <w:t>January 2020 - 28 February 2023 (</w:t>
      </w:r>
      <w:r>
        <w:rPr>
          <w:rFonts w:eastAsia="Times New Roman"/>
        </w:rPr>
        <w:t>c</w:t>
      </w:r>
      <w:r w:rsidRPr="00473263">
        <w:rPr>
          <w:rFonts w:eastAsia="Times New Roman"/>
        </w:rPr>
        <w:t xml:space="preserve">alendar </w:t>
      </w:r>
      <w:r>
        <w:rPr>
          <w:rFonts w:eastAsia="Times New Roman"/>
        </w:rPr>
        <w:t>y</w:t>
      </w:r>
      <w:r w:rsidRPr="00473263">
        <w:rPr>
          <w:rFonts w:eastAsia="Times New Roman"/>
        </w:rPr>
        <w:t>ears)</w:t>
      </w:r>
    </w:p>
    <w:p w:rsidR="00255F1E" w:rsidRDefault="00255F1E" w:rsidP="00793DD5">
      <w:pPr>
        <w:tabs>
          <w:tab w:val="left" w:pos="5400"/>
        </w:tabs>
      </w:pPr>
    </w:p>
    <w:tbl>
      <w:tblPr>
        <w:tblStyle w:val="TableGrid"/>
        <w:tblW w:w="949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  <w:gridCol w:w="1898"/>
        <w:gridCol w:w="1899"/>
        <w:gridCol w:w="1899"/>
      </w:tblGrid>
      <w:tr w:rsidR="00557306" w:rsidRPr="00557306" w:rsidTr="00557306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:rsidR="00557306" w:rsidRPr="00557306" w:rsidRDefault="00473263" w:rsidP="00D05706">
            <w:pPr>
              <w:rPr>
                <w:b/>
              </w:rPr>
            </w:pPr>
            <w:r>
              <w:rPr>
                <w:b/>
              </w:rPr>
              <w:t>STORM INCIDENTS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557306" w:rsidRPr="00557306" w:rsidRDefault="00473263" w:rsidP="00596AC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:rsidR="00557306" w:rsidRPr="00557306" w:rsidRDefault="00473263" w:rsidP="00596AC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557306" w:rsidRPr="00557306" w:rsidRDefault="00473263" w:rsidP="00596AC6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557306" w:rsidRPr="00557306" w:rsidRDefault="00473263" w:rsidP="00596AC6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557306" w:rsidTr="00557306">
        <w:tc>
          <w:tcPr>
            <w:tcW w:w="1898" w:type="dxa"/>
          </w:tcPr>
          <w:p w:rsidR="00557306" w:rsidRDefault="00473263" w:rsidP="00255F1E">
            <w:pPr>
              <w:tabs>
                <w:tab w:val="left" w:pos="5400"/>
              </w:tabs>
            </w:pPr>
            <w:r w:rsidRPr="00473263">
              <w:t>Suicide, Attempt, Self Harm</w:t>
            </w:r>
          </w:p>
        </w:tc>
        <w:tc>
          <w:tcPr>
            <w:tcW w:w="1899" w:type="dxa"/>
          </w:tcPr>
          <w:p w:rsidR="00557306" w:rsidRDefault="00473263" w:rsidP="00596AC6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1898" w:type="dxa"/>
          </w:tcPr>
          <w:p w:rsidR="00557306" w:rsidRDefault="00473263" w:rsidP="00596AC6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1899" w:type="dxa"/>
          </w:tcPr>
          <w:p w:rsidR="00557306" w:rsidRDefault="00473263" w:rsidP="00596AC6">
            <w:pPr>
              <w:tabs>
                <w:tab w:val="left" w:pos="5400"/>
              </w:tabs>
              <w:jc w:val="center"/>
            </w:pPr>
            <w:r>
              <w:t>20</w:t>
            </w:r>
          </w:p>
        </w:tc>
        <w:tc>
          <w:tcPr>
            <w:tcW w:w="1899" w:type="dxa"/>
          </w:tcPr>
          <w:p w:rsidR="00557306" w:rsidRDefault="00473263" w:rsidP="00596AC6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</w:tr>
    </w:tbl>
    <w:p w:rsidR="00255F1E" w:rsidRPr="00B11A55" w:rsidRDefault="00596AC6" w:rsidP="00793DD5">
      <w:pPr>
        <w:tabs>
          <w:tab w:val="left" w:pos="5400"/>
        </w:tabs>
      </w:pPr>
      <w:r w:rsidRPr="00596AC6">
        <w:t>All statistics are provisional and should be treated as management information. All data have been extracted from Police Scotland internal systems and are correct as at 16th March 2023</w:t>
      </w:r>
    </w:p>
    <w:p w:rsidR="00A320FF" w:rsidRPr="00B11A55" w:rsidRDefault="00596AC6" w:rsidP="003D6D03">
      <w:r>
        <w:t xml:space="preserve">Police officers will deal with any number of enquiries on a day to day basis and how many hours are spent on each type of incident is not recorded.  </w:t>
      </w:r>
      <w:r w:rsidRPr="00D23DF8">
        <w:t>As such, in terms of Section 17 of the Freedom of Information (Scotland) Act 2002, this represents a notice that the information requested is not held by Police Scotland</w:t>
      </w:r>
      <w:r>
        <w:t>.</w:t>
      </w:r>
      <w:bookmarkStart w:id="0" w:name="_GoBack"/>
      <w:bookmarkEnd w:id="0"/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AC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2400"/>
    <w:multiLevelType w:val="hybridMultilevel"/>
    <w:tmpl w:val="BE0C4AFA"/>
    <w:lvl w:ilvl="0" w:tplc="7684168E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3263"/>
    <w:rsid w:val="00475460"/>
    <w:rsid w:val="00490317"/>
    <w:rsid w:val="00491644"/>
    <w:rsid w:val="00496A08"/>
    <w:rsid w:val="004E1605"/>
    <w:rsid w:val="004F653C"/>
    <w:rsid w:val="00540A52"/>
    <w:rsid w:val="00557306"/>
    <w:rsid w:val="00596AC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400</Words>
  <Characters>2286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2023-03-21T10:15:00Z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