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A9AA10E" w:rsidR="00B17211" w:rsidRPr="00B17211" w:rsidRDefault="00B17211" w:rsidP="007F490F">
            <w:r w:rsidRPr="007F490F">
              <w:rPr>
                <w:rStyle w:val="Heading2Char"/>
              </w:rPr>
              <w:t>Our reference:</w:t>
            </w:r>
            <w:r>
              <w:t xml:space="preserve">  FOI 2</w:t>
            </w:r>
            <w:r w:rsidR="00EF0FBB">
              <w:t>5</w:t>
            </w:r>
            <w:r>
              <w:t>-</w:t>
            </w:r>
            <w:r w:rsidR="00290C88">
              <w:t>0278</w:t>
            </w:r>
          </w:p>
          <w:p w14:paraId="34BDABA6" w14:textId="37BD8029" w:rsidR="00B17211" w:rsidRDefault="00456324" w:rsidP="00EE2373">
            <w:r w:rsidRPr="007F490F">
              <w:rPr>
                <w:rStyle w:val="Heading2Char"/>
              </w:rPr>
              <w:t>Respon</w:t>
            </w:r>
            <w:r w:rsidR="007D55F6">
              <w:rPr>
                <w:rStyle w:val="Heading2Char"/>
              </w:rPr>
              <w:t>ded to:</w:t>
            </w:r>
            <w:r w:rsidR="007F490F">
              <w:t xml:space="preserve">  </w:t>
            </w:r>
            <w:r w:rsidR="00785383">
              <w:t>07</w:t>
            </w:r>
            <w:r w:rsidR="00290C88">
              <w:t xml:space="preserve"> April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05D4DB0" w14:textId="77777777" w:rsidR="00290C88" w:rsidRPr="00290C88" w:rsidRDefault="00290C88" w:rsidP="00290C88">
      <w:pPr>
        <w:pStyle w:val="Heading2"/>
      </w:pPr>
      <w:r w:rsidRPr="00290C88">
        <w:t>1. How many registered sex offenders are currently missing and/or wanted in Scotland and where are they?</w:t>
      </w:r>
    </w:p>
    <w:p w14:paraId="3A6A4A6D" w14:textId="77777777" w:rsidR="0009103D" w:rsidRDefault="0009103D" w:rsidP="0009103D">
      <w:r>
        <w:t>The information sought is held by Police Scotland, but I am refusing to provide it in terms of s</w:t>
      </w:r>
      <w:r w:rsidRPr="00453F0A">
        <w:t>ection 16</w:t>
      </w:r>
      <w:r>
        <w:t>(1) of the Act on the basis that the section 25(1) exemption applies:</w:t>
      </w:r>
    </w:p>
    <w:p w14:paraId="1AB617A9" w14:textId="77777777" w:rsidR="0009103D" w:rsidRDefault="0009103D" w:rsidP="0009103D">
      <w:r>
        <w:t>“Information which the applicant can reasonably obtain other than by requesting it […] is exempt information”.</w:t>
      </w:r>
    </w:p>
    <w:p w14:paraId="56B65CA0" w14:textId="77777777" w:rsidR="0009103D" w:rsidRDefault="0009103D" w:rsidP="0009103D">
      <w:r>
        <w:t>The information sought is publicly available:</w:t>
      </w:r>
    </w:p>
    <w:p w14:paraId="067A31BB" w14:textId="2EF1279C" w:rsidR="00290C88" w:rsidRDefault="0009103D" w:rsidP="00290C88">
      <w:pPr>
        <w:pStyle w:val="Heading2"/>
        <w:rPr>
          <w:b w:val="0"/>
          <w:bCs/>
        </w:rPr>
      </w:pPr>
      <w:hyperlink r:id="rId11" w:history="1">
        <w:r w:rsidRPr="0009103D">
          <w:rPr>
            <w:rStyle w:val="Hyperlink"/>
            <w:b w:val="0"/>
            <w:bCs/>
          </w:rPr>
          <w:t>Registered Sex Offender (RSO) Numbers - Police Scotland</w:t>
        </w:r>
      </w:hyperlink>
    </w:p>
    <w:p w14:paraId="19F60CB2" w14:textId="77777777" w:rsidR="004F6F71" w:rsidRPr="004F6F71" w:rsidRDefault="004F6F71" w:rsidP="004F6F71"/>
    <w:p w14:paraId="18D28FC7" w14:textId="77777777" w:rsidR="00290C88" w:rsidRDefault="00290C88" w:rsidP="00290C88">
      <w:pPr>
        <w:pStyle w:val="Heading2"/>
      </w:pPr>
      <w:r w:rsidRPr="00290C88">
        <w:t>2. How much has Police Scotland spent on new police stations/upgrading police stations in each of the last three years, with a breakdown per year and what the money was spent on?</w:t>
      </w:r>
    </w:p>
    <w:p w14:paraId="1E91602E" w14:textId="11DD56EB" w:rsidR="006D641C" w:rsidRDefault="006D641C" w:rsidP="006D641C">
      <w:r>
        <w:t xml:space="preserve">In response to this question, please see the table below. </w:t>
      </w:r>
    </w:p>
    <w:p w14:paraId="3372292B" w14:textId="0CEC43A7" w:rsidR="006D641C" w:rsidRPr="006D641C" w:rsidRDefault="006D641C" w:rsidP="006D641C">
      <w:r>
        <w:t xml:space="preserve">Please note the caveats at the bottom of the table. </w:t>
      </w:r>
    </w:p>
    <w:tbl>
      <w:tblPr>
        <w:tblStyle w:val="TableGrid"/>
        <w:tblW w:w="9864" w:type="dxa"/>
        <w:tblLook w:val="04A0" w:firstRow="1" w:lastRow="0" w:firstColumn="1" w:lastColumn="0" w:noHBand="0" w:noVBand="1"/>
        <w:tblCaption w:val="Total spend on Police Stations, broken by year."/>
        <w:tblDescription w:val="Total spend on Police Stations, broken by year."/>
      </w:tblPr>
      <w:tblGrid>
        <w:gridCol w:w="2161"/>
        <w:gridCol w:w="1925"/>
        <w:gridCol w:w="1926"/>
        <w:gridCol w:w="1926"/>
        <w:gridCol w:w="1926"/>
      </w:tblGrid>
      <w:tr w:rsidR="003C5FC0" w:rsidRPr="007270C8" w14:paraId="7614ED3E" w14:textId="77777777" w:rsidTr="009B3D98">
        <w:trPr>
          <w:tblHeader/>
        </w:trPr>
        <w:tc>
          <w:tcPr>
            <w:tcW w:w="2161" w:type="dxa"/>
            <w:shd w:val="clear" w:color="auto" w:fill="D9D9D9" w:themeFill="background1" w:themeFillShade="D9"/>
          </w:tcPr>
          <w:p w14:paraId="4017E2EC" w14:textId="230B44D8" w:rsidR="003C5FC0" w:rsidRPr="007270C8" w:rsidRDefault="003C5FC0" w:rsidP="007270C8">
            <w:pPr>
              <w:spacing w:line="240" w:lineRule="auto"/>
              <w:rPr>
                <w:b/>
                <w:bCs/>
              </w:rPr>
            </w:pPr>
            <w:r w:rsidRPr="007270C8">
              <w:rPr>
                <w:b/>
                <w:bCs/>
              </w:rPr>
              <w:t>Year</w:t>
            </w:r>
          </w:p>
        </w:tc>
        <w:tc>
          <w:tcPr>
            <w:tcW w:w="1925" w:type="dxa"/>
            <w:shd w:val="clear" w:color="auto" w:fill="D9D9D9" w:themeFill="background1" w:themeFillShade="D9"/>
          </w:tcPr>
          <w:p w14:paraId="6F6960EE" w14:textId="766D8718" w:rsidR="003C5FC0" w:rsidRPr="007270C8" w:rsidRDefault="003C5FC0" w:rsidP="007270C8">
            <w:pPr>
              <w:spacing w:line="240" w:lineRule="auto"/>
              <w:rPr>
                <w:b/>
                <w:bCs/>
              </w:rPr>
            </w:pPr>
            <w:r w:rsidRPr="007270C8">
              <w:rPr>
                <w:b/>
                <w:bCs/>
              </w:rPr>
              <w:t>2021/2022</w:t>
            </w:r>
          </w:p>
        </w:tc>
        <w:tc>
          <w:tcPr>
            <w:tcW w:w="1926" w:type="dxa"/>
            <w:shd w:val="clear" w:color="auto" w:fill="D9D9D9" w:themeFill="background1" w:themeFillShade="D9"/>
          </w:tcPr>
          <w:p w14:paraId="38B88B90" w14:textId="643DCA88" w:rsidR="003C5FC0" w:rsidRPr="007270C8" w:rsidRDefault="003C5FC0" w:rsidP="007270C8">
            <w:pPr>
              <w:spacing w:line="240" w:lineRule="auto"/>
              <w:rPr>
                <w:b/>
                <w:bCs/>
              </w:rPr>
            </w:pPr>
            <w:r w:rsidRPr="007270C8">
              <w:rPr>
                <w:b/>
                <w:bCs/>
              </w:rPr>
              <w:t>2022/2023</w:t>
            </w:r>
          </w:p>
        </w:tc>
        <w:tc>
          <w:tcPr>
            <w:tcW w:w="1926" w:type="dxa"/>
            <w:shd w:val="clear" w:color="auto" w:fill="D9D9D9" w:themeFill="background1" w:themeFillShade="D9"/>
          </w:tcPr>
          <w:p w14:paraId="1ACEEBF5" w14:textId="0ABC1C60" w:rsidR="003C5FC0" w:rsidRPr="007270C8" w:rsidRDefault="003C5FC0" w:rsidP="007270C8">
            <w:pPr>
              <w:spacing w:line="240" w:lineRule="auto"/>
              <w:rPr>
                <w:b/>
                <w:bCs/>
              </w:rPr>
            </w:pPr>
            <w:r w:rsidRPr="007270C8">
              <w:rPr>
                <w:b/>
                <w:bCs/>
              </w:rPr>
              <w:t>2023/2024</w:t>
            </w:r>
          </w:p>
        </w:tc>
        <w:tc>
          <w:tcPr>
            <w:tcW w:w="1926" w:type="dxa"/>
            <w:shd w:val="clear" w:color="auto" w:fill="D9D9D9" w:themeFill="background1" w:themeFillShade="D9"/>
          </w:tcPr>
          <w:p w14:paraId="0F3EC4EA" w14:textId="656975D1" w:rsidR="003C5FC0" w:rsidRPr="007270C8" w:rsidRDefault="003C5FC0" w:rsidP="007270C8">
            <w:pPr>
              <w:spacing w:line="240" w:lineRule="auto"/>
              <w:rPr>
                <w:b/>
                <w:bCs/>
              </w:rPr>
            </w:pPr>
            <w:r w:rsidRPr="007270C8">
              <w:rPr>
                <w:b/>
                <w:bCs/>
              </w:rPr>
              <w:t>Grand Total</w:t>
            </w:r>
          </w:p>
        </w:tc>
      </w:tr>
      <w:tr w:rsidR="003C5FC0" w:rsidRPr="007270C8" w14:paraId="08077531" w14:textId="77777777" w:rsidTr="003C5FC0">
        <w:tc>
          <w:tcPr>
            <w:tcW w:w="2161" w:type="dxa"/>
          </w:tcPr>
          <w:p w14:paraId="1BDE521F" w14:textId="19C2EDF6" w:rsidR="003C5FC0" w:rsidRPr="007270C8" w:rsidRDefault="003C5FC0" w:rsidP="007270C8">
            <w:pPr>
              <w:spacing w:line="240" w:lineRule="auto"/>
            </w:pPr>
            <w:r w:rsidRPr="007270C8">
              <w:t>Criminal Justice Remodelling</w:t>
            </w:r>
          </w:p>
        </w:tc>
        <w:tc>
          <w:tcPr>
            <w:tcW w:w="1925" w:type="dxa"/>
          </w:tcPr>
          <w:p w14:paraId="3B0126A2" w14:textId="0DD77403" w:rsidR="003C5FC0" w:rsidRPr="007270C8" w:rsidRDefault="003C5FC0" w:rsidP="007270C8">
            <w:pPr>
              <w:spacing w:line="240" w:lineRule="auto"/>
            </w:pPr>
            <w:r w:rsidRPr="007270C8">
              <w:t>£1,505,486.07</w:t>
            </w:r>
          </w:p>
        </w:tc>
        <w:tc>
          <w:tcPr>
            <w:tcW w:w="1926" w:type="dxa"/>
          </w:tcPr>
          <w:p w14:paraId="3633F79C" w14:textId="1BCFD9D7" w:rsidR="003C5FC0" w:rsidRPr="007270C8" w:rsidRDefault="003C5FC0" w:rsidP="007270C8">
            <w:pPr>
              <w:spacing w:line="240" w:lineRule="auto"/>
            </w:pPr>
            <w:r w:rsidRPr="007270C8">
              <w:t>£763,277.78</w:t>
            </w:r>
          </w:p>
        </w:tc>
        <w:tc>
          <w:tcPr>
            <w:tcW w:w="1926" w:type="dxa"/>
          </w:tcPr>
          <w:p w14:paraId="02AEDE96" w14:textId="7A86C6AC" w:rsidR="003C5FC0" w:rsidRPr="007270C8" w:rsidRDefault="003C5FC0" w:rsidP="007270C8">
            <w:pPr>
              <w:spacing w:line="240" w:lineRule="auto"/>
            </w:pPr>
            <w:r w:rsidRPr="007270C8">
              <w:t>£329,985.05</w:t>
            </w:r>
          </w:p>
        </w:tc>
        <w:tc>
          <w:tcPr>
            <w:tcW w:w="1926" w:type="dxa"/>
          </w:tcPr>
          <w:p w14:paraId="099DDBD7" w14:textId="799A616D" w:rsidR="003C5FC0" w:rsidRPr="007270C8" w:rsidRDefault="003C5FC0" w:rsidP="007270C8">
            <w:pPr>
              <w:spacing w:line="240" w:lineRule="auto"/>
              <w:rPr>
                <w:b/>
                <w:bCs/>
              </w:rPr>
            </w:pPr>
            <w:r w:rsidRPr="007270C8">
              <w:rPr>
                <w:b/>
                <w:bCs/>
              </w:rPr>
              <w:t>£2,598,748.90</w:t>
            </w:r>
          </w:p>
        </w:tc>
      </w:tr>
      <w:tr w:rsidR="003C5FC0" w:rsidRPr="007270C8" w14:paraId="4FB9039D" w14:textId="77777777" w:rsidTr="003C5FC0">
        <w:tc>
          <w:tcPr>
            <w:tcW w:w="2161" w:type="dxa"/>
          </w:tcPr>
          <w:p w14:paraId="2127981C" w14:textId="1474AAD7" w:rsidR="003C5FC0" w:rsidRPr="007270C8" w:rsidRDefault="003C5FC0" w:rsidP="007270C8">
            <w:pPr>
              <w:spacing w:line="240" w:lineRule="auto"/>
            </w:pPr>
            <w:r w:rsidRPr="007270C8">
              <w:t>Electric Vehicle Infrastructure</w:t>
            </w:r>
          </w:p>
        </w:tc>
        <w:tc>
          <w:tcPr>
            <w:tcW w:w="1925" w:type="dxa"/>
          </w:tcPr>
          <w:p w14:paraId="0703210D" w14:textId="5F64889C" w:rsidR="003C5FC0" w:rsidRPr="007270C8" w:rsidRDefault="003C5FC0" w:rsidP="007270C8">
            <w:pPr>
              <w:spacing w:line="240" w:lineRule="auto"/>
            </w:pPr>
            <w:r w:rsidRPr="007270C8">
              <w:t>£3,097,870.58</w:t>
            </w:r>
          </w:p>
        </w:tc>
        <w:tc>
          <w:tcPr>
            <w:tcW w:w="1926" w:type="dxa"/>
          </w:tcPr>
          <w:p w14:paraId="1E17A91F" w14:textId="7B1D3068" w:rsidR="003C5FC0" w:rsidRPr="007270C8" w:rsidRDefault="003C5FC0" w:rsidP="007270C8">
            <w:pPr>
              <w:spacing w:line="240" w:lineRule="auto"/>
            </w:pPr>
            <w:r w:rsidRPr="007270C8">
              <w:t>£3,027,277.52</w:t>
            </w:r>
          </w:p>
        </w:tc>
        <w:tc>
          <w:tcPr>
            <w:tcW w:w="1926" w:type="dxa"/>
          </w:tcPr>
          <w:p w14:paraId="0CBFC2FC" w14:textId="242B5F12" w:rsidR="003C5FC0" w:rsidRPr="007270C8" w:rsidRDefault="003C5FC0" w:rsidP="007270C8">
            <w:pPr>
              <w:spacing w:line="240" w:lineRule="auto"/>
              <w:rPr>
                <w:color w:val="000000"/>
                <w:lang w:eastAsia="en-GB"/>
              </w:rPr>
            </w:pPr>
            <w:r w:rsidRPr="007270C8">
              <w:rPr>
                <w:color w:val="000000"/>
                <w:lang w:eastAsia="en-GB"/>
              </w:rPr>
              <w:t>£2,641,630.34</w:t>
            </w:r>
          </w:p>
        </w:tc>
        <w:tc>
          <w:tcPr>
            <w:tcW w:w="1926" w:type="dxa"/>
          </w:tcPr>
          <w:p w14:paraId="33A80448" w14:textId="478BFB65" w:rsidR="003C5FC0" w:rsidRPr="007270C8" w:rsidRDefault="003C5FC0" w:rsidP="007270C8">
            <w:pPr>
              <w:spacing w:line="240" w:lineRule="auto"/>
              <w:jc w:val="center"/>
              <w:rPr>
                <w:b/>
                <w:bCs/>
              </w:rPr>
            </w:pPr>
            <w:r w:rsidRPr="007270C8">
              <w:rPr>
                <w:b/>
                <w:bCs/>
              </w:rPr>
              <w:t>£8,766,778.44</w:t>
            </w:r>
          </w:p>
        </w:tc>
      </w:tr>
      <w:tr w:rsidR="003C5FC0" w:rsidRPr="007270C8" w14:paraId="3DD46623" w14:textId="77777777" w:rsidTr="003C5FC0">
        <w:tc>
          <w:tcPr>
            <w:tcW w:w="2161" w:type="dxa"/>
          </w:tcPr>
          <w:p w14:paraId="07CC867D" w14:textId="05C8D68A" w:rsidR="003C5FC0" w:rsidRPr="007270C8" w:rsidRDefault="003C5FC0" w:rsidP="007270C8">
            <w:pPr>
              <w:spacing w:line="240" w:lineRule="auto"/>
            </w:pPr>
            <w:r w:rsidRPr="007270C8">
              <w:t>Fabric &amp; Internal Upgrade</w:t>
            </w:r>
          </w:p>
        </w:tc>
        <w:tc>
          <w:tcPr>
            <w:tcW w:w="1925" w:type="dxa"/>
          </w:tcPr>
          <w:p w14:paraId="4C5024D4" w14:textId="69ADFEEE" w:rsidR="003C5FC0" w:rsidRPr="007270C8" w:rsidRDefault="003C5FC0" w:rsidP="007270C8">
            <w:pPr>
              <w:spacing w:line="240" w:lineRule="auto"/>
            </w:pPr>
            <w:r w:rsidRPr="007270C8">
              <w:t>£8,734,621.10</w:t>
            </w:r>
          </w:p>
        </w:tc>
        <w:tc>
          <w:tcPr>
            <w:tcW w:w="1926" w:type="dxa"/>
          </w:tcPr>
          <w:p w14:paraId="490975D5" w14:textId="7BF94A02" w:rsidR="003C5FC0" w:rsidRPr="007270C8" w:rsidRDefault="003C5FC0" w:rsidP="007270C8">
            <w:pPr>
              <w:spacing w:line="240" w:lineRule="auto"/>
            </w:pPr>
            <w:r w:rsidRPr="007270C8">
              <w:t>£4,013,933.16</w:t>
            </w:r>
          </w:p>
          <w:p w14:paraId="39A1B46E" w14:textId="77777777" w:rsidR="003C5FC0" w:rsidRPr="007270C8" w:rsidRDefault="003C5FC0" w:rsidP="007270C8">
            <w:pPr>
              <w:spacing w:line="240" w:lineRule="auto"/>
              <w:ind w:firstLine="720"/>
            </w:pPr>
          </w:p>
        </w:tc>
        <w:tc>
          <w:tcPr>
            <w:tcW w:w="1926" w:type="dxa"/>
          </w:tcPr>
          <w:p w14:paraId="0B93AA85" w14:textId="4447AC46" w:rsidR="003C5FC0" w:rsidRPr="007270C8" w:rsidRDefault="003C5FC0" w:rsidP="007270C8">
            <w:pPr>
              <w:spacing w:line="240" w:lineRule="auto"/>
            </w:pPr>
            <w:r w:rsidRPr="007270C8">
              <w:t>£4,029,671.21</w:t>
            </w:r>
          </w:p>
        </w:tc>
        <w:tc>
          <w:tcPr>
            <w:tcW w:w="1926" w:type="dxa"/>
          </w:tcPr>
          <w:p w14:paraId="3B015987" w14:textId="21C91431" w:rsidR="003C5FC0" w:rsidRPr="007270C8" w:rsidRDefault="003C5FC0" w:rsidP="007270C8">
            <w:pPr>
              <w:spacing w:line="240" w:lineRule="auto"/>
              <w:rPr>
                <w:b/>
                <w:bCs/>
              </w:rPr>
            </w:pPr>
            <w:r w:rsidRPr="007270C8">
              <w:rPr>
                <w:b/>
                <w:bCs/>
              </w:rPr>
              <w:t>£16,778,225.47</w:t>
            </w:r>
          </w:p>
        </w:tc>
      </w:tr>
      <w:tr w:rsidR="003C5FC0" w:rsidRPr="007270C8" w14:paraId="5BF57797" w14:textId="77777777" w:rsidTr="003C5FC0">
        <w:tc>
          <w:tcPr>
            <w:tcW w:w="2161" w:type="dxa"/>
          </w:tcPr>
          <w:p w14:paraId="185F1B3E" w14:textId="52AABA6D" w:rsidR="003C5FC0" w:rsidRPr="007270C8" w:rsidRDefault="003C5FC0" w:rsidP="007270C8">
            <w:pPr>
              <w:spacing w:line="240" w:lineRule="auto"/>
            </w:pPr>
            <w:r w:rsidRPr="007270C8">
              <w:t>Health and Safety</w:t>
            </w:r>
          </w:p>
        </w:tc>
        <w:tc>
          <w:tcPr>
            <w:tcW w:w="1925" w:type="dxa"/>
          </w:tcPr>
          <w:p w14:paraId="13A4DACA" w14:textId="40D9E500" w:rsidR="003C5FC0" w:rsidRPr="007270C8" w:rsidRDefault="00105606" w:rsidP="007270C8">
            <w:pPr>
              <w:spacing w:line="240" w:lineRule="auto"/>
            </w:pPr>
            <w:r w:rsidRPr="007270C8">
              <w:t>£0.00</w:t>
            </w:r>
          </w:p>
        </w:tc>
        <w:tc>
          <w:tcPr>
            <w:tcW w:w="1926" w:type="dxa"/>
          </w:tcPr>
          <w:p w14:paraId="366A32E0" w14:textId="085AE279" w:rsidR="003C5FC0" w:rsidRPr="007270C8" w:rsidRDefault="003C5FC0" w:rsidP="007270C8">
            <w:pPr>
              <w:spacing w:line="240" w:lineRule="auto"/>
            </w:pPr>
            <w:r w:rsidRPr="007270C8">
              <w:t>£711,446.13</w:t>
            </w:r>
          </w:p>
        </w:tc>
        <w:tc>
          <w:tcPr>
            <w:tcW w:w="1926" w:type="dxa"/>
          </w:tcPr>
          <w:p w14:paraId="232E9DC2" w14:textId="4D7E4E46" w:rsidR="003C5FC0" w:rsidRPr="007270C8" w:rsidRDefault="003C5FC0" w:rsidP="007270C8">
            <w:pPr>
              <w:spacing w:line="240" w:lineRule="auto"/>
            </w:pPr>
            <w:r w:rsidRPr="007270C8">
              <w:t>£127,764.44</w:t>
            </w:r>
          </w:p>
        </w:tc>
        <w:tc>
          <w:tcPr>
            <w:tcW w:w="1926" w:type="dxa"/>
          </w:tcPr>
          <w:p w14:paraId="4E66E1E9" w14:textId="35FCF20A" w:rsidR="003C5FC0" w:rsidRPr="007270C8" w:rsidRDefault="003C5FC0" w:rsidP="007270C8">
            <w:pPr>
              <w:spacing w:line="240" w:lineRule="auto"/>
              <w:rPr>
                <w:b/>
                <w:bCs/>
              </w:rPr>
            </w:pPr>
            <w:r w:rsidRPr="007270C8">
              <w:rPr>
                <w:b/>
                <w:bCs/>
              </w:rPr>
              <w:t>£839,210.57</w:t>
            </w:r>
          </w:p>
        </w:tc>
      </w:tr>
      <w:tr w:rsidR="003C5FC0" w:rsidRPr="007270C8" w14:paraId="304D1310" w14:textId="77777777" w:rsidTr="003C5FC0">
        <w:tc>
          <w:tcPr>
            <w:tcW w:w="2161" w:type="dxa"/>
          </w:tcPr>
          <w:p w14:paraId="72F9D4C9" w14:textId="2235A460" w:rsidR="003C5FC0" w:rsidRPr="007270C8" w:rsidRDefault="003C5FC0" w:rsidP="007270C8">
            <w:pPr>
              <w:spacing w:line="240" w:lineRule="auto"/>
            </w:pPr>
            <w:r w:rsidRPr="007270C8">
              <w:t>Lighting Upgrade</w:t>
            </w:r>
          </w:p>
        </w:tc>
        <w:tc>
          <w:tcPr>
            <w:tcW w:w="1925" w:type="dxa"/>
          </w:tcPr>
          <w:p w14:paraId="756529AA" w14:textId="11BC0942" w:rsidR="003C5FC0" w:rsidRPr="007270C8" w:rsidRDefault="003C5FC0" w:rsidP="007270C8">
            <w:pPr>
              <w:spacing w:line="240" w:lineRule="auto"/>
            </w:pPr>
            <w:r w:rsidRPr="007270C8">
              <w:t>£134,680.95</w:t>
            </w:r>
          </w:p>
        </w:tc>
        <w:tc>
          <w:tcPr>
            <w:tcW w:w="1926" w:type="dxa"/>
          </w:tcPr>
          <w:p w14:paraId="44FC4855" w14:textId="4D4122A6" w:rsidR="003C5FC0" w:rsidRPr="007270C8" w:rsidRDefault="003C5FC0" w:rsidP="007270C8">
            <w:pPr>
              <w:spacing w:line="240" w:lineRule="auto"/>
            </w:pPr>
            <w:r w:rsidRPr="007270C8">
              <w:t>£278,736.35</w:t>
            </w:r>
          </w:p>
        </w:tc>
        <w:tc>
          <w:tcPr>
            <w:tcW w:w="1926" w:type="dxa"/>
          </w:tcPr>
          <w:p w14:paraId="1D6FBC2C" w14:textId="6D169D69" w:rsidR="003C5FC0" w:rsidRPr="007270C8" w:rsidRDefault="003C5FC0" w:rsidP="007270C8">
            <w:pPr>
              <w:spacing w:line="240" w:lineRule="auto"/>
            </w:pPr>
            <w:r w:rsidRPr="007270C8">
              <w:t>£2,641,630.</w:t>
            </w:r>
          </w:p>
        </w:tc>
        <w:tc>
          <w:tcPr>
            <w:tcW w:w="1926" w:type="dxa"/>
          </w:tcPr>
          <w:p w14:paraId="6292AEE9" w14:textId="014C56D6" w:rsidR="003C5FC0" w:rsidRPr="007270C8" w:rsidRDefault="003C5FC0" w:rsidP="007270C8">
            <w:pPr>
              <w:spacing w:line="240" w:lineRule="auto"/>
              <w:rPr>
                <w:b/>
                <w:bCs/>
              </w:rPr>
            </w:pPr>
            <w:r w:rsidRPr="007270C8">
              <w:rPr>
                <w:b/>
                <w:bCs/>
              </w:rPr>
              <w:t>£8,766,778.44</w:t>
            </w:r>
          </w:p>
        </w:tc>
      </w:tr>
      <w:tr w:rsidR="003C5FC0" w:rsidRPr="007270C8" w14:paraId="13DE7105" w14:textId="77777777" w:rsidTr="003C5FC0">
        <w:tc>
          <w:tcPr>
            <w:tcW w:w="2161" w:type="dxa"/>
          </w:tcPr>
          <w:p w14:paraId="17E10E4D" w14:textId="5CE384DF" w:rsidR="003C5FC0" w:rsidRPr="007270C8" w:rsidRDefault="003C5FC0" w:rsidP="007270C8">
            <w:pPr>
              <w:spacing w:line="240" w:lineRule="auto"/>
            </w:pPr>
            <w:r w:rsidRPr="007270C8">
              <w:lastRenderedPageBreak/>
              <w:t>Mechanical and Electrical</w:t>
            </w:r>
          </w:p>
        </w:tc>
        <w:tc>
          <w:tcPr>
            <w:tcW w:w="1925" w:type="dxa"/>
          </w:tcPr>
          <w:p w14:paraId="2FEE705F" w14:textId="7037C81B" w:rsidR="003C5FC0" w:rsidRPr="007270C8" w:rsidRDefault="003C5FC0" w:rsidP="007270C8">
            <w:pPr>
              <w:spacing w:line="240" w:lineRule="auto"/>
            </w:pPr>
            <w:r w:rsidRPr="007270C8">
              <w:t>£880,982.26</w:t>
            </w:r>
          </w:p>
        </w:tc>
        <w:tc>
          <w:tcPr>
            <w:tcW w:w="1926" w:type="dxa"/>
          </w:tcPr>
          <w:p w14:paraId="6959C287" w14:textId="73956503" w:rsidR="003C5FC0" w:rsidRPr="007270C8" w:rsidRDefault="003C5FC0" w:rsidP="007270C8">
            <w:pPr>
              <w:spacing w:line="240" w:lineRule="auto"/>
            </w:pPr>
            <w:r w:rsidRPr="007270C8">
              <w:t>£2,606,229.82</w:t>
            </w:r>
          </w:p>
        </w:tc>
        <w:tc>
          <w:tcPr>
            <w:tcW w:w="1926" w:type="dxa"/>
          </w:tcPr>
          <w:p w14:paraId="3388A2F7" w14:textId="2D625050" w:rsidR="003C5FC0" w:rsidRPr="007270C8" w:rsidRDefault="003C5FC0" w:rsidP="007270C8">
            <w:pPr>
              <w:spacing w:line="240" w:lineRule="auto"/>
            </w:pPr>
            <w:r w:rsidRPr="007270C8">
              <w:t>£4,570,378.92</w:t>
            </w:r>
          </w:p>
        </w:tc>
        <w:tc>
          <w:tcPr>
            <w:tcW w:w="1926" w:type="dxa"/>
          </w:tcPr>
          <w:p w14:paraId="1BE0A31E" w14:textId="44592ED8" w:rsidR="003C5FC0" w:rsidRPr="007270C8" w:rsidRDefault="003C5FC0" w:rsidP="007270C8">
            <w:pPr>
              <w:spacing w:line="240" w:lineRule="auto"/>
              <w:rPr>
                <w:b/>
                <w:bCs/>
              </w:rPr>
            </w:pPr>
            <w:r w:rsidRPr="007270C8">
              <w:rPr>
                <w:b/>
                <w:bCs/>
              </w:rPr>
              <w:t>£8,057,591.00</w:t>
            </w:r>
          </w:p>
        </w:tc>
      </w:tr>
      <w:tr w:rsidR="003C5FC0" w:rsidRPr="007270C8" w14:paraId="1B4DE261" w14:textId="77777777" w:rsidTr="003C5FC0">
        <w:tc>
          <w:tcPr>
            <w:tcW w:w="2161" w:type="dxa"/>
          </w:tcPr>
          <w:p w14:paraId="57A28C5B" w14:textId="40B80DB3" w:rsidR="003C5FC0" w:rsidRPr="007270C8" w:rsidRDefault="003C5FC0" w:rsidP="007270C8">
            <w:pPr>
              <w:spacing w:line="240" w:lineRule="auto"/>
            </w:pPr>
            <w:r w:rsidRPr="007270C8">
              <w:t>New Leased Building</w:t>
            </w:r>
          </w:p>
        </w:tc>
        <w:tc>
          <w:tcPr>
            <w:tcW w:w="1925" w:type="dxa"/>
          </w:tcPr>
          <w:p w14:paraId="11EF5A19" w14:textId="29C66A44" w:rsidR="003C5FC0" w:rsidRPr="007270C8" w:rsidRDefault="003C5FC0" w:rsidP="007270C8">
            <w:pPr>
              <w:spacing w:line="240" w:lineRule="auto"/>
            </w:pPr>
            <w:r w:rsidRPr="007270C8">
              <w:t>£30,002.97</w:t>
            </w:r>
          </w:p>
        </w:tc>
        <w:tc>
          <w:tcPr>
            <w:tcW w:w="1926" w:type="dxa"/>
          </w:tcPr>
          <w:p w14:paraId="26603F29" w14:textId="3BCF1590" w:rsidR="003C5FC0" w:rsidRPr="007270C8" w:rsidRDefault="003C5FC0" w:rsidP="007270C8">
            <w:pPr>
              <w:spacing w:line="240" w:lineRule="auto"/>
            </w:pPr>
            <w:r w:rsidRPr="007270C8">
              <w:t>£2,063,500.37</w:t>
            </w:r>
          </w:p>
        </w:tc>
        <w:tc>
          <w:tcPr>
            <w:tcW w:w="1926" w:type="dxa"/>
          </w:tcPr>
          <w:p w14:paraId="5563C5B6" w14:textId="5A1CF17C" w:rsidR="003C5FC0" w:rsidRPr="007270C8" w:rsidRDefault="003C5FC0" w:rsidP="007270C8">
            <w:pPr>
              <w:spacing w:line="240" w:lineRule="auto"/>
            </w:pPr>
            <w:r w:rsidRPr="007270C8">
              <w:t>£1,066,749.95</w:t>
            </w:r>
          </w:p>
        </w:tc>
        <w:tc>
          <w:tcPr>
            <w:tcW w:w="1926" w:type="dxa"/>
          </w:tcPr>
          <w:p w14:paraId="6FA4AB56" w14:textId="4B899AD5" w:rsidR="003C5FC0" w:rsidRPr="007270C8" w:rsidRDefault="003C5FC0" w:rsidP="007270C8">
            <w:pPr>
              <w:spacing w:line="240" w:lineRule="auto"/>
              <w:rPr>
                <w:b/>
                <w:bCs/>
              </w:rPr>
            </w:pPr>
            <w:r w:rsidRPr="007270C8">
              <w:rPr>
                <w:b/>
                <w:bCs/>
              </w:rPr>
              <w:t>£3,160,253.29</w:t>
            </w:r>
          </w:p>
        </w:tc>
      </w:tr>
      <w:tr w:rsidR="003C5FC0" w:rsidRPr="007270C8" w14:paraId="575CE640" w14:textId="77777777" w:rsidTr="003C5FC0">
        <w:tc>
          <w:tcPr>
            <w:tcW w:w="2161" w:type="dxa"/>
          </w:tcPr>
          <w:p w14:paraId="15F25884" w14:textId="4B6DAD6E" w:rsidR="003C5FC0" w:rsidRPr="007270C8" w:rsidRDefault="003C5FC0" w:rsidP="007270C8">
            <w:pPr>
              <w:spacing w:line="240" w:lineRule="auto"/>
            </w:pPr>
            <w:r w:rsidRPr="007270C8">
              <w:t>Operational Support Resurfacing</w:t>
            </w:r>
          </w:p>
        </w:tc>
        <w:tc>
          <w:tcPr>
            <w:tcW w:w="1925" w:type="dxa"/>
          </w:tcPr>
          <w:p w14:paraId="0D3A790D" w14:textId="6B0532FD" w:rsidR="003C5FC0" w:rsidRPr="007270C8" w:rsidRDefault="00105606" w:rsidP="007270C8">
            <w:pPr>
              <w:spacing w:line="240" w:lineRule="auto"/>
            </w:pPr>
            <w:r w:rsidRPr="007270C8">
              <w:t>£0.00</w:t>
            </w:r>
          </w:p>
        </w:tc>
        <w:tc>
          <w:tcPr>
            <w:tcW w:w="1926" w:type="dxa"/>
          </w:tcPr>
          <w:p w14:paraId="1742AAF0" w14:textId="3AA34BAA" w:rsidR="003C5FC0" w:rsidRPr="007270C8" w:rsidRDefault="003C5FC0" w:rsidP="007270C8">
            <w:pPr>
              <w:spacing w:line="240" w:lineRule="auto"/>
            </w:pPr>
            <w:r w:rsidRPr="007270C8">
              <w:t>£177,623.96</w:t>
            </w:r>
          </w:p>
        </w:tc>
        <w:tc>
          <w:tcPr>
            <w:tcW w:w="1926" w:type="dxa"/>
          </w:tcPr>
          <w:p w14:paraId="73A46A0A" w14:textId="751BE8B1" w:rsidR="003C5FC0" w:rsidRPr="007270C8" w:rsidRDefault="00105606" w:rsidP="007270C8">
            <w:pPr>
              <w:spacing w:line="240" w:lineRule="auto"/>
            </w:pPr>
            <w:r w:rsidRPr="007270C8">
              <w:t>£0.00</w:t>
            </w:r>
          </w:p>
        </w:tc>
        <w:tc>
          <w:tcPr>
            <w:tcW w:w="1926" w:type="dxa"/>
          </w:tcPr>
          <w:p w14:paraId="0584EBF6" w14:textId="16915F67" w:rsidR="003C5FC0" w:rsidRPr="007270C8" w:rsidRDefault="003C5FC0" w:rsidP="007270C8">
            <w:pPr>
              <w:spacing w:line="240" w:lineRule="auto"/>
              <w:rPr>
                <w:b/>
                <w:bCs/>
              </w:rPr>
            </w:pPr>
            <w:r w:rsidRPr="007270C8">
              <w:rPr>
                <w:b/>
                <w:bCs/>
              </w:rPr>
              <w:t>£177,623.96</w:t>
            </w:r>
          </w:p>
        </w:tc>
      </w:tr>
      <w:tr w:rsidR="003C5FC0" w:rsidRPr="007270C8" w14:paraId="679DE091" w14:textId="77777777" w:rsidTr="003C5FC0">
        <w:tc>
          <w:tcPr>
            <w:tcW w:w="2161" w:type="dxa"/>
          </w:tcPr>
          <w:p w14:paraId="21FA13B2" w14:textId="74D30B2A" w:rsidR="003C5FC0" w:rsidRPr="007270C8" w:rsidRDefault="003C5FC0" w:rsidP="007270C8">
            <w:pPr>
              <w:spacing w:line="240" w:lineRule="auto"/>
            </w:pPr>
            <w:r w:rsidRPr="007270C8">
              <w:t>Road Infrastructure</w:t>
            </w:r>
          </w:p>
        </w:tc>
        <w:tc>
          <w:tcPr>
            <w:tcW w:w="1925" w:type="dxa"/>
          </w:tcPr>
          <w:p w14:paraId="11D26377" w14:textId="57E9154C" w:rsidR="003C5FC0" w:rsidRPr="007270C8" w:rsidRDefault="00105606" w:rsidP="007270C8">
            <w:pPr>
              <w:spacing w:line="240" w:lineRule="auto"/>
            </w:pPr>
            <w:r w:rsidRPr="007270C8">
              <w:t>£0.00</w:t>
            </w:r>
          </w:p>
        </w:tc>
        <w:tc>
          <w:tcPr>
            <w:tcW w:w="1926" w:type="dxa"/>
          </w:tcPr>
          <w:p w14:paraId="4F3E90DD" w14:textId="7ECF0222" w:rsidR="003C5FC0" w:rsidRPr="007270C8" w:rsidRDefault="003C5FC0" w:rsidP="007270C8">
            <w:pPr>
              <w:spacing w:line="240" w:lineRule="auto"/>
            </w:pPr>
            <w:r w:rsidRPr="007270C8">
              <w:t>£203,647.30</w:t>
            </w:r>
          </w:p>
        </w:tc>
        <w:tc>
          <w:tcPr>
            <w:tcW w:w="1926" w:type="dxa"/>
          </w:tcPr>
          <w:p w14:paraId="2E4856D0" w14:textId="7C0976E5" w:rsidR="003C5FC0" w:rsidRPr="007270C8" w:rsidRDefault="000D7DA5" w:rsidP="007270C8">
            <w:pPr>
              <w:spacing w:line="240" w:lineRule="auto"/>
            </w:pPr>
            <w:r w:rsidRPr="007270C8">
              <w:t>£44,263.84</w:t>
            </w:r>
          </w:p>
        </w:tc>
        <w:tc>
          <w:tcPr>
            <w:tcW w:w="1926" w:type="dxa"/>
          </w:tcPr>
          <w:p w14:paraId="28372BF3" w14:textId="0D08BDE4" w:rsidR="003C5FC0" w:rsidRPr="007270C8" w:rsidRDefault="003C5FC0" w:rsidP="007270C8">
            <w:pPr>
              <w:spacing w:line="240" w:lineRule="auto"/>
              <w:rPr>
                <w:b/>
                <w:bCs/>
              </w:rPr>
            </w:pPr>
            <w:r w:rsidRPr="007270C8">
              <w:rPr>
                <w:b/>
                <w:bCs/>
              </w:rPr>
              <w:t>£247,911.14</w:t>
            </w:r>
          </w:p>
        </w:tc>
      </w:tr>
      <w:tr w:rsidR="003C5FC0" w:rsidRPr="007270C8" w14:paraId="209B10ED" w14:textId="77777777" w:rsidTr="003C5FC0">
        <w:tc>
          <w:tcPr>
            <w:tcW w:w="2161" w:type="dxa"/>
          </w:tcPr>
          <w:p w14:paraId="2EBD0BF8" w14:textId="78882C89" w:rsidR="003C5FC0" w:rsidRPr="007270C8" w:rsidRDefault="003C5FC0" w:rsidP="007270C8">
            <w:pPr>
              <w:spacing w:line="240" w:lineRule="auto"/>
            </w:pPr>
            <w:r w:rsidRPr="007270C8">
              <w:t>Roofing</w:t>
            </w:r>
          </w:p>
        </w:tc>
        <w:tc>
          <w:tcPr>
            <w:tcW w:w="1925" w:type="dxa"/>
          </w:tcPr>
          <w:p w14:paraId="2580F526" w14:textId="275337D4" w:rsidR="003C5FC0" w:rsidRPr="007270C8" w:rsidRDefault="003C5FC0" w:rsidP="007270C8">
            <w:pPr>
              <w:spacing w:line="240" w:lineRule="auto"/>
            </w:pPr>
            <w:r w:rsidRPr="007270C8">
              <w:t>£739,709.74</w:t>
            </w:r>
          </w:p>
        </w:tc>
        <w:tc>
          <w:tcPr>
            <w:tcW w:w="1926" w:type="dxa"/>
          </w:tcPr>
          <w:p w14:paraId="5F49744A" w14:textId="0BCDB583" w:rsidR="003C5FC0" w:rsidRPr="007270C8" w:rsidRDefault="003C5FC0" w:rsidP="007270C8">
            <w:pPr>
              <w:spacing w:line="240" w:lineRule="auto"/>
            </w:pPr>
            <w:r w:rsidRPr="007270C8">
              <w:t>£754,812.30</w:t>
            </w:r>
          </w:p>
        </w:tc>
        <w:tc>
          <w:tcPr>
            <w:tcW w:w="1926" w:type="dxa"/>
          </w:tcPr>
          <w:p w14:paraId="1FFF31A5" w14:textId="60F2517D" w:rsidR="003C5FC0" w:rsidRPr="007270C8" w:rsidRDefault="003C5FC0" w:rsidP="007270C8">
            <w:pPr>
              <w:spacing w:line="240" w:lineRule="auto"/>
            </w:pPr>
            <w:r w:rsidRPr="007270C8">
              <w:t>£520,857.65</w:t>
            </w:r>
          </w:p>
        </w:tc>
        <w:tc>
          <w:tcPr>
            <w:tcW w:w="1926" w:type="dxa"/>
          </w:tcPr>
          <w:p w14:paraId="1C205CF6" w14:textId="663FE98F" w:rsidR="003C5FC0" w:rsidRPr="007270C8" w:rsidRDefault="00C0018F" w:rsidP="007270C8">
            <w:pPr>
              <w:spacing w:line="240" w:lineRule="auto"/>
              <w:rPr>
                <w:b/>
                <w:bCs/>
              </w:rPr>
            </w:pPr>
            <w:r w:rsidRPr="007270C8">
              <w:rPr>
                <w:b/>
                <w:bCs/>
              </w:rPr>
              <w:t>£2,015,379.69</w:t>
            </w:r>
          </w:p>
        </w:tc>
      </w:tr>
      <w:tr w:rsidR="003C5FC0" w:rsidRPr="007270C8" w14:paraId="21A2B2F0" w14:textId="77777777" w:rsidTr="003C5FC0">
        <w:tc>
          <w:tcPr>
            <w:tcW w:w="2161" w:type="dxa"/>
          </w:tcPr>
          <w:p w14:paraId="77E5197A" w14:textId="528F4EC0" w:rsidR="003C5FC0" w:rsidRPr="007270C8" w:rsidRDefault="003C5FC0" w:rsidP="007270C8">
            <w:pPr>
              <w:spacing w:line="240" w:lineRule="auto"/>
            </w:pPr>
            <w:r w:rsidRPr="007270C8">
              <w:t>Security</w:t>
            </w:r>
          </w:p>
        </w:tc>
        <w:tc>
          <w:tcPr>
            <w:tcW w:w="1925" w:type="dxa"/>
          </w:tcPr>
          <w:p w14:paraId="2B0F652B" w14:textId="0EC7E7B1" w:rsidR="003C5FC0" w:rsidRPr="007270C8" w:rsidRDefault="003C5FC0" w:rsidP="007270C8">
            <w:pPr>
              <w:spacing w:line="240" w:lineRule="auto"/>
            </w:pPr>
            <w:r w:rsidRPr="007270C8">
              <w:t>£805,055.25</w:t>
            </w:r>
          </w:p>
        </w:tc>
        <w:tc>
          <w:tcPr>
            <w:tcW w:w="1926" w:type="dxa"/>
          </w:tcPr>
          <w:p w14:paraId="08A8E23D" w14:textId="0133359E" w:rsidR="003C5FC0" w:rsidRPr="007270C8" w:rsidRDefault="003C5FC0" w:rsidP="007270C8">
            <w:pPr>
              <w:spacing w:line="240" w:lineRule="auto"/>
            </w:pPr>
            <w:r w:rsidRPr="007270C8">
              <w:t>£270,679.70</w:t>
            </w:r>
          </w:p>
        </w:tc>
        <w:tc>
          <w:tcPr>
            <w:tcW w:w="1926" w:type="dxa"/>
          </w:tcPr>
          <w:p w14:paraId="51FBF9CD" w14:textId="41F974D6" w:rsidR="003C5FC0" w:rsidRPr="007270C8" w:rsidRDefault="00C0018F" w:rsidP="007270C8">
            <w:pPr>
              <w:spacing w:line="240" w:lineRule="auto"/>
            </w:pPr>
            <w:r w:rsidRPr="007270C8">
              <w:t>£916,570.91</w:t>
            </w:r>
          </w:p>
        </w:tc>
        <w:tc>
          <w:tcPr>
            <w:tcW w:w="1926" w:type="dxa"/>
          </w:tcPr>
          <w:p w14:paraId="4AAB1DCA" w14:textId="12FEA34C" w:rsidR="003C5FC0" w:rsidRPr="007270C8" w:rsidRDefault="00C0018F" w:rsidP="007270C8">
            <w:pPr>
              <w:spacing w:line="240" w:lineRule="auto"/>
              <w:rPr>
                <w:b/>
                <w:bCs/>
              </w:rPr>
            </w:pPr>
            <w:r w:rsidRPr="007270C8">
              <w:rPr>
                <w:b/>
                <w:bCs/>
              </w:rPr>
              <w:t>£1,992,305.86</w:t>
            </w:r>
          </w:p>
        </w:tc>
      </w:tr>
      <w:tr w:rsidR="003C5FC0" w:rsidRPr="007270C8" w14:paraId="2F981BE7" w14:textId="77777777" w:rsidTr="003C5FC0">
        <w:tc>
          <w:tcPr>
            <w:tcW w:w="2161" w:type="dxa"/>
          </w:tcPr>
          <w:p w14:paraId="79B771E2" w14:textId="3E24C13F" w:rsidR="003C5FC0" w:rsidRPr="007270C8" w:rsidRDefault="003C5FC0" w:rsidP="007270C8">
            <w:pPr>
              <w:spacing w:line="240" w:lineRule="auto"/>
            </w:pPr>
            <w:r w:rsidRPr="007270C8">
              <w:rPr>
                <w:b/>
                <w:bCs/>
              </w:rPr>
              <w:t>Grand Total</w:t>
            </w:r>
          </w:p>
        </w:tc>
        <w:tc>
          <w:tcPr>
            <w:tcW w:w="1925" w:type="dxa"/>
          </w:tcPr>
          <w:p w14:paraId="0D98DCFF" w14:textId="3C1C8613" w:rsidR="003C5FC0" w:rsidRPr="007270C8" w:rsidRDefault="003C5FC0" w:rsidP="007270C8">
            <w:pPr>
              <w:spacing w:line="240" w:lineRule="auto"/>
            </w:pPr>
            <w:r w:rsidRPr="007270C8">
              <w:rPr>
                <w:b/>
                <w:bCs/>
              </w:rPr>
              <w:t>£15,928,408.92</w:t>
            </w:r>
          </w:p>
        </w:tc>
        <w:tc>
          <w:tcPr>
            <w:tcW w:w="1926" w:type="dxa"/>
          </w:tcPr>
          <w:p w14:paraId="3C62D9B6" w14:textId="6F6C7F40" w:rsidR="003C5FC0" w:rsidRPr="007270C8" w:rsidRDefault="003C5FC0" w:rsidP="007270C8">
            <w:pPr>
              <w:spacing w:line="240" w:lineRule="auto"/>
            </w:pPr>
            <w:r w:rsidRPr="007270C8">
              <w:rPr>
                <w:b/>
                <w:bCs/>
              </w:rPr>
              <w:t>£14,871,164.39</w:t>
            </w:r>
          </w:p>
        </w:tc>
        <w:tc>
          <w:tcPr>
            <w:tcW w:w="1926" w:type="dxa"/>
          </w:tcPr>
          <w:p w14:paraId="3746E200" w14:textId="30FF55EB" w:rsidR="003C5FC0" w:rsidRPr="007270C8" w:rsidRDefault="00C0018F" w:rsidP="007270C8">
            <w:pPr>
              <w:spacing w:line="240" w:lineRule="auto"/>
              <w:jc w:val="center"/>
              <w:rPr>
                <w:b/>
                <w:bCs/>
                <w:color w:val="000000"/>
                <w:lang w:eastAsia="en-GB"/>
              </w:rPr>
            </w:pPr>
            <w:r w:rsidRPr="007270C8">
              <w:rPr>
                <w:b/>
                <w:bCs/>
                <w:color w:val="000000"/>
                <w:lang w:eastAsia="en-GB"/>
              </w:rPr>
              <w:t>£17,042,440.68</w:t>
            </w:r>
          </w:p>
        </w:tc>
        <w:tc>
          <w:tcPr>
            <w:tcW w:w="1926" w:type="dxa"/>
          </w:tcPr>
          <w:p w14:paraId="3558ED65" w14:textId="2C788029" w:rsidR="003C5FC0" w:rsidRPr="007270C8" w:rsidRDefault="00C0018F" w:rsidP="007270C8">
            <w:pPr>
              <w:spacing w:line="240" w:lineRule="auto"/>
              <w:jc w:val="center"/>
            </w:pPr>
            <w:r w:rsidRPr="007270C8">
              <w:rPr>
                <w:b/>
                <w:bCs/>
              </w:rPr>
              <w:t>£47,842,013.99</w:t>
            </w:r>
          </w:p>
        </w:tc>
      </w:tr>
    </w:tbl>
    <w:p w14:paraId="1ED3CBDC" w14:textId="6B864533" w:rsidR="00320941" w:rsidRDefault="00320941" w:rsidP="00320941">
      <w:pPr>
        <w:numPr>
          <w:ilvl w:val="0"/>
          <w:numId w:val="2"/>
        </w:numPr>
      </w:pPr>
      <w:r w:rsidRPr="00320941">
        <w:t>Due to the open wording of the question, this includes all information related to police buildings</w:t>
      </w:r>
      <w:r w:rsidR="007270C8">
        <w:t>,</w:t>
      </w:r>
      <w:r w:rsidRPr="00320941">
        <w:t xml:space="preserve"> with the exception of police houses</w:t>
      </w:r>
    </w:p>
    <w:p w14:paraId="343A81ED" w14:textId="3A8F2EB3" w:rsidR="00320941" w:rsidRDefault="00320941" w:rsidP="00320941">
      <w:pPr>
        <w:numPr>
          <w:ilvl w:val="0"/>
          <w:numId w:val="2"/>
        </w:numPr>
      </w:pPr>
      <w:r w:rsidRPr="00320941">
        <w:t xml:space="preserve">The </w:t>
      </w:r>
      <w:r w:rsidR="007270C8" w:rsidRPr="00320941">
        <w:t>fit-out</w:t>
      </w:r>
      <w:r w:rsidRPr="00320941">
        <w:t xml:space="preserve"> costs of new buildings are included</w:t>
      </w:r>
      <w:r w:rsidR="007270C8">
        <w:t>,</w:t>
      </w:r>
      <w:r w:rsidRPr="00320941">
        <w:t xml:space="preserve"> however the IFRS16 capitalisation of leases has not been incorporated</w:t>
      </w:r>
    </w:p>
    <w:p w14:paraId="0B22C260" w14:textId="28C20DB3" w:rsidR="006D641C" w:rsidRPr="006D641C" w:rsidRDefault="00320941" w:rsidP="00CD1E07">
      <w:pPr>
        <w:numPr>
          <w:ilvl w:val="0"/>
          <w:numId w:val="2"/>
        </w:numPr>
      </w:pPr>
      <w:r>
        <w:t>Data is correct at 18/02/2025.</w:t>
      </w:r>
    </w:p>
    <w:p w14:paraId="60E28BA6" w14:textId="77777777" w:rsidR="00290C88" w:rsidRPr="00290C88" w:rsidRDefault="00290C88" w:rsidP="00290C88">
      <w:pPr>
        <w:pStyle w:val="Heading2"/>
      </w:pPr>
    </w:p>
    <w:p w14:paraId="6E144EA5" w14:textId="77777777" w:rsidR="00290C88" w:rsidRPr="00290C88" w:rsidRDefault="00290C88" w:rsidP="00290C88">
      <w:pPr>
        <w:pStyle w:val="Heading2"/>
      </w:pPr>
      <w:r w:rsidRPr="00290C88">
        <w:t>3. How many XL Bully attacks have been reported in the last three years, with a breakdown per year? </w:t>
      </w:r>
    </w:p>
    <w:p w14:paraId="0BC80860" w14:textId="77777777" w:rsidR="004F6F71" w:rsidRDefault="004F6F71" w:rsidP="004F6F71">
      <w:pPr>
        <w:tabs>
          <w:tab w:val="left" w:pos="5400"/>
        </w:tabs>
      </w:pPr>
      <w:r>
        <w:t>Unfortunately, I estimate that it would cost well in excess of the current FOI cost threshold of £600 to process your request.  I am therefore refusing to provide the information sought in terms of section 12(1) of the Act - Excessive Cost of Compliance.</w:t>
      </w:r>
    </w:p>
    <w:p w14:paraId="13F5FA9B" w14:textId="6F65AC6C" w:rsidR="004F6F71" w:rsidRDefault="004F6F71" w:rsidP="004F6F71">
      <w:r>
        <w:t>By way of explanation, crimes involving dogs are recorded under Dangerous Dog crime classifications.  To establish the breed of dog involved, all relevant crime reports would have to be individually examined.  As such, this is an exercise which would exceed the cost limit set out in the Fees Regulations.</w:t>
      </w:r>
    </w:p>
    <w:p w14:paraId="5E9BDAD5" w14:textId="77777777" w:rsidR="004F6F71" w:rsidRDefault="004F6F71" w:rsidP="004F6F71">
      <w:r>
        <w:t xml:space="preserve">To be of assistance, data relating to all Dangerous Dog offences is available online - </w:t>
      </w:r>
      <w:hyperlink r:id="rId12" w:history="1">
        <w:r>
          <w:rPr>
            <w:rStyle w:val="Hyperlink"/>
          </w:rPr>
          <w:t>Crime data - Police Scotland</w:t>
        </w:r>
      </w:hyperlink>
      <w:r>
        <w:t xml:space="preserve"> </w:t>
      </w:r>
    </w:p>
    <w:p w14:paraId="7EB86597" w14:textId="77777777" w:rsidR="006D641C" w:rsidRDefault="006D641C" w:rsidP="00793DD5"/>
    <w:p w14:paraId="34BDABBE" w14:textId="40BBC66F"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96838"/>
    <w:multiLevelType w:val="hybridMultilevel"/>
    <w:tmpl w:val="FF10B5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5881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17D2"/>
    <w:rsid w:val="0003799F"/>
    <w:rsid w:val="00090F3B"/>
    <w:rsid w:val="0009103D"/>
    <w:rsid w:val="000D7DA5"/>
    <w:rsid w:val="000E2F19"/>
    <w:rsid w:val="000E6526"/>
    <w:rsid w:val="00105606"/>
    <w:rsid w:val="00141533"/>
    <w:rsid w:val="00151DD0"/>
    <w:rsid w:val="00167528"/>
    <w:rsid w:val="00195CC4"/>
    <w:rsid w:val="00207326"/>
    <w:rsid w:val="00253DF6"/>
    <w:rsid w:val="00255F1E"/>
    <w:rsid w:val="00270475"/>
    <w:rsid w:val="00290C88"/>
    <w:rsid w:val="002F5274"/>
    <w:rsid w:val="00320941"/>
    <w:rsid w:val="0036503B"/>
    <w:rsid w:val="00376A4A"/>
    <w:rsid w:val="003C5FC0"/>
    <w:rsid w:val="003D6D03"/>
    <w:rsid w:val="003E12CA"/>
    <w:rsid w:val="004010DC"/>
    <w:rsid w:val="004341F0"/>
    <w:rsid w:val="00456324"/>
    <w:rsid w:val="00475460"/>
    <w:rsid w:val="00490317"/>
    <w:rsid w:val="00491644"/>
    <w:rsid w:val="00496A08"/>
    <w:rsid w:val="004E1605"/>
    <w:rsid w:val="004F653C"/>
    <w:rsid w:val="004F6F71"/>
    <w:rsid w:val="00540A52"/>
    <w:rsid w:val="00557306"/>
    <w:rsid w:val="005E2EB5"/>
    <w:rsid w:val="00645CFA"/>
    <w:rsid w:val="00685219"/>
    <w:rsid w:val="006D5799"/>
    <w:rsid w:val="006D641C"/>
    <w:rsid w:val="007270C8"/>
    <w:rsid w:val="007440EA"/>
    <w:rsid w:val="00750D83"/>
    <w:rsid w:val="00785383"/>
    <w:rsid w:val="00785DBC"/>
    <w:rsid w:val="00793DD5"/>
    <w:rsid w:val="007D55F6"/>
    <w:rsid w:val="007F490F"/>
    <w:rsid w:val="0086779C"/>
    <w:rsid w:val="00874BFD"/>
    <w:rsid w:val="008964EF"/>
    <w:rsid w:val="00915E01"/>
    <w:rsid w:val="009631A4"/>
    <w:rsid w:val="00977296"/>
    <w:rsid w:val="009B3D98"/>
    <w:rsid w:val="00A25E93"/>
    <w:rsid w:val="00A320FF"/>
    <w:rsid w:val="00A70AC0"/>
    <w:rsid w:val="00A84EA9"/>
    <w:rsid w:val="00AC443C"/>
    <w:rsid w:val="00B033D6"/>
    <w:rsid w:val="00B11A55"/>
    <w:rsid w:val="00B17211"/>
    <w:rsid w:val="00B461B2"/>
    <w:rsid w:val="00B654B6"/>
    <w:rsid w:val="00B674AA"/>
    <w:rsid w:val="00B71B3C"/>
    <w:rsid w:val="00BC389E"/>
    <w:rsid w:val="00BE1888"/>
    <w:rsid w:val="00BE42F7"/>
    <w:rsid w:val="00BF6B81"/>
    <w:rsid w:val="00C0018F"/>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91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218">
      <w:bodyDiv w:val="1"/>
      <w:marLeft w:val="0"/>
      <w:marRight w:val="0"/>
      <w:marTop w:val="0"/>
      <w:marBottom w:val="0"/>
      <w:divBdr>
        <w:top w:val="none" w:sz="0" w:space="0" w:color="auto"/>
        <w:left w:val="none" w:sz="0" w:space="0" w:color="auto"/>
        <w:bottom w:val="none" w:sz="0" w:space="0" w:color="auto"/>
        <w:right w:val="none" w:sz="0" w:space="0" w:color="auto"/>
      </w:divBdr>
    </w:div>
    <w:div w:id="239142711">
      <w:bodyDiv w:val="1"/>
      <w:marLeft w:val="0"/>
      <w:marRight w:val="0"/>
      <w:marTop w:val="0"/>
      <w:marBottom w:val="0"/>
      <w:divBdr>
        <w:top w:val="none" w:sz="0" w:space="0" w:color="auto"/>
        <w:left w:val="none" w:sz="0" w:space="0" w:color="auto"/>
        <w:bottom w:val="none" w:sz="0" w:space="0" w:color="auto"/>
        <w:right w:val="none" w:sz="0" w:space="0" w:color="auto"/>
      </w:divBdr>
    </w:div>
    <w:div w:id="315112754">
      <w:bodyDiv w:val="1"/>
      <w:marLeft w:val="0"/>
      <w:marRight w:val="0"/>
      <w:marTop w:val="0"/>
      <w:marBottom w:val="0"/>
      <w:divBdr>
        <w:top w:val="none" w:sz="0" w:space="0" w:color="auto"/>
        <w:left w:val="none" w:sz="0" w:space="0" w:color="auto"/>
        <w:bottom w:val="none" w:sz="0" w:space="0" w:color="auto"/>
        <w:right w:val="none" w:sz="0" w:space="0" w:color="auto"/>
      </w:divBdr>
    </w:div>
    <w:div w:id="616529220">
      <w:bodyDiv w:val="1"/>
      <w:marLeft w:val="0"/>
      <w:marRight w:val="0"/>
      <w:marTop w:val="0"/>
      <w:marBottom w:val="0"/>
      <w:divBdr>
        <w:top w:val="none" w:sz="0" w:space="0" w:color="auto"/>
        <w:left w:val="none" w:sz="0" w:space="0" w:color="auto"/>
        <w:bottom w:val="none" w:sz="0" w:space="0" w:color="auto"/>
        <w:right w:val="none" w:sz="0" w:space="0" w:color="auto"/>
      </w:divBdr>
    </w:div>
    <w:div w:id="722367023">
      <w:bodyDiv w:val="1"/>
      <w:marLeft w:val="0"/>
      <w:marRight w:val="0"/>
      <w:marTop w:val="0"/>
      <w:marBottom w:val="0"/>
      <w:divBdr>
        <w:top w:val="none" w:sz="0" w:space="0" w:color="auto"/>
        <w:left w:val="none" w:sz="0" w:space="0" w:color="auto"/>
        <w:bottom w:val="none" w:sz="0" w:space="0" w:color="auto"/>
        <w:right w:val="none" w:sz="0" w:space="0" w:color="auto"/>
      </w:divBdr>
    </w:div>
    <w:div w:id="1210612218">
      <w:bodyDiv w:val="1"/>
      <w:marLeft w:val="0"/>
      <w:marRight w:val="0"/>
      <w:marTop w:val="0"/>
      <w:marBottom w:val="0"/>
      <w:divBdr>
        <w:top w:val="none" w:sz="0" w:space="0" w:color="auto"/>
        <w:left w:val="none" w:sz="0" w:space="0" w:color="auto"/>
        <w:bottom w:val="none" w:sz="0" w:space="0" w:color="auto"/>
        <w:right w:val="none" w:sz="0" w:space="0" w:color="auto"/>
      </w:divBdr>
    </w:div>
    <w:div w:id="1250381724">
      <w:bodyDiv w:val="1"/>
      <w:marLeft w:val="0"/>
      <w:marRight w:val="0"/>
      <w:marTop w:val="0"/>
      <w:marBottom w:val="0"/>
      <w:divBdr>
        <w:top w:val="none" w:sz="0" w:space="0" w:color="auto"/>
        <w:left w:val="none" w:sz="0" w:space="0" w:color="auto"/>
        <w:bottom w:val="none" w:sz="0" w:space="0" w:color="auto"/>
        <w:right w:val="none" w:sz="0" w:space="0" w:color="auto"/>
      </w:divBdr>
    </w:div>
    <w:div w:id="1662081910">
      <w:bodyDiv w:val="1"/>
      <w:marLeft w:val="0"/>
      <w:marRight w:val="0"/>
      <w:marTop w:val="0"/>
      <w:marBottom w:val="0"/>
      <w:divBdr>
        <w:top w:val="none" w:sz="0" w:space="0" w:color="auto"/>
        <w:left w:val="none" w:sz="0" w:space="0" w:color="auto"/>
        <w:bottom w:val="none" w:sz="0" w:space="0" w:color="auto"/>
        <w:right w:val="none" w:sz="0" w:space="0" w:color="auto"/>
      </w:divBdr>
    </w:div>
    <w:div w:id="17383578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2025-04-07T12:13:00Z</dcterms:created>
  <dcterms:modified xsi:type="dcterms:W3CDTF">2025-04-07T12:13:00Z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