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3E9F7D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953ADE">
              <w:t>2314</w:t>
            </w:r>
          </w:p>
          <w:p w14:paraId="2C2B5948" w14:textId="51F8425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47FF">
              <w:t>08 August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ED083BC" w:rsidR="008928AB" w:rsidRDefault="00953ADE" w:rsidP="00793DD5">
      <w:r>
        <w:t xml:space="preserve">In this instance, sections 38(1)(b) and 38(1)(2A) of the Act also would apply insofar as you have also requested </w:t>
      </w:r>
      <w:r w:rsidRPr="00EC6524">
        <w:rPr>
          <w:i/>
        </w:rPr>
        <w:t>third party</w:t>
      </w:r>
      <w:r>
        <w:t xml:space="preserve"> personal data, the disclosure of which would contravene the data protection principles set out in the Act.</w:t>
      </w:r>
    </w:p>
    <w:p w14:paraId="5344ABAE" w14:textId="77777777" w:rsidR="00953ADE" w:rsidRDefault="00953ADE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0E3DD1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DA948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B4261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1E72B8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D8877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0D28E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4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26963"/>
    <w:rsid w:val="00953ADE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82C69"/>
    <w:rsid w:val="00FC2DA7"/>
    <w:rsid w:val="00FD47F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2025-08-08T10:49:00Z</dcterms:created>
  <dcterms:modified xsi:type="dcterms:W3CDTF">2025-08-08T10:49:00Z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