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928EA9C" w:rsidR="00B17211" w:rsidRPr="00B17211" w:rsidRDefault="00B17211" w:rsidP="007F490F">
            <w:r w:rsidRPr="007F490F">
              <w:rPr>
                <w:rStyle w:val="Heading2Char"/>
              </w:rPr>
              <w:t>Our reference:</w:t>
            </w:r>
            <w:r>
              <w:t xml:space="preserve">  FOI 2</w:t>
            </w:r>
            <w:r w:rsidR="00B654B6">
              <w:t>4</w:t>
            </w:r>
            <w:r w:rsidR="00D30E7C">
              <w:t>-0872</w:t>
            </w:r>
          </w:p>
          <w:p w14:paraId="34BDABA6" w14:textId="45798C72" w:rsidR="00B17211" w:rsidRDefault="00456324" w:rsidP="00EE2373">
            <w:r w:rsidRPr="007F490F">
              <w:rPr>
                <w:rStyle w:val="Heading2Char"/>
              </w:rPr>
              <w:t>Respon</w:t>
            </w:r>
            <w:r w:rsidR="007D55F6">
              <w:rPr>
                <w:rStyle w:val="Heading2Char"/>
              </w:rPr>
              <w:t>ded to:</w:t>
            </w:r>
            <w:r w:rsidR="007F490F">
              <w:t xml:space="preserve">  </w:t>
            </w:r>
            <w:r w:rsidR="00751765">
              <w:t>18</w:t>
            </w:r>
            <w:bookmarkStart w:id="0" w:name="_GoBack"/>
            <w:bookmarkEnd w:id="0"/>
            <w:r w:rsidR="006D5799">
              <w:t xml:space="preserve"> </w:t>
            </w:r>
            <w:r w:rsidR="00D30E7C">
              <w:t>April</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0DF0EA4" w14:textId="42F26CEE" w:rsidR="00D30E7C" w:rsidRDefault="00D30E7C" w:rsidP="00D30E7C">
      <w:pPr>
        <w:pStyle w:val="Heading2"/>
        <w:rPr>
          <w:rFonts w:ascii="Verdana" w:hAnsi="Verdana"/>
          <w:sz w:val="18"/>
          <w:szCs w:val="18"/>
        </w:rPr>
      </w:pPr>
      <w:r>
        <w:t>We know that young men aged 18-30 are most likely to commit hate crime, particularly those from socially excluded communities who are heavily influenced by their peers.</w:t>
      </w:r>
    </w:p>
    <w:p w14:paraId="684180A5" w14:textId="77777777" w:rsidR="00D30E7C" w:rsidRDefault="00D30E7C" w:rsidP="00D30E7C">
      <w:pPr>
        <w:pStyle w:val="Heading2"/>
        <w:rPr>
          <w:szCs w:val="24"/>
        </w:rPr>
      </w:pPr>
      <w:r>
        <w:t xml:space="preserve">Please could you provide me with all the information Police Scotland collected that would have established that which is stated above. What studies/research etc was carried out and by whom? Please send me everything you have on this. </w:t>
      </w:r>
    </w:p>
    <w:p w14:paraId="27473E8F" w14:textId="71B1A516" w:rsidR="00D30E7C" w:rsidRDefault="00D30E7C" w:rsidP="00D30E7C">
      <w:r>
        <w:t xml:space="preserve">The campaign was informed by a rigorous research and insight process which considered in detail, crime statistics, academic research into hate crime and its causes, and the views of partners and stakeholders with the most knowledge of this crime type.  </w:t>
      </w:r>
    </w:p>
    <w:p w14:paraId="7337ABC5" w14:textId="72F43C90" w:rsidR="00D30E7C" w:rsidRDefault="00D30E7C" w:rsidP="00D30E7C">
      <w:r>
        <w:t>During the development of the hate crime campaign we engaged/consulted with colleagues in Police Scotland’s Partnerships, Preventions and Community Wellbeing Division and our diversity staff associations. We also engaged with a range of partners including: NHS Scotland, Scottish Prison Service, Retailers Against Crime, Public Health Scotland, I AM ME Scotland, Disability Equality Scotland and, LGBT Youth and Interfaith Scotland. The outcomes of these consultations was that we had broad support for our approach with constructive feedback on execution which we took on board.</w:t>
      </w:r>
    </w:p>
    <w:p w14:paraId="7EFED8E3" w14:textId="6A69781D" w:rsidR="00D30E7C" w:rsidRDefault="00D30E7C" w:rsidP="00D30E7C">
      <w:r>
        <w:t>The list of sources consulted to inform the campaign are as follows:</w:t>
      </w:r>
    </w:p>
    <w:p w14:paraId="1F8CCEA4" w14:textId="2BD5392C" w:rsidR="00D30E7C" w:rsidRDefault="00D30E7C" w:rsidP="00D30E7C">
      <w:pPr>
        <w:pStyle w:val="ListParagraph"/>
        <w:numPr>
          <w:ilvl w:val="0"/>
          <w:numId w:val="4"/>
        </w:numPr>
      </w:pPr>
      <w:r>
        <w:t>COPFS Hate Crime of Scotland 2021-22</w:t>
      </w:r>
    </w:p>
    <w:p w14:paraId="77E0310E" w14:textId="6061E2E0" w:rsidR="00D30E7C" w:rsidRDefault="00D30E7C" w:rsidP="00D30E7C">
      <w:pPr>
        <w:pStyle w:val="ListParagraph"/>
        <w:numPr>
          <w:ilvl w:val="0"/>
          <w:numId w:val="4"/>
        </w:numPr>
      </w:pPr>
      <w:r>
        <w:t>Psychosocial motivations of hate crimes, Franklin, University of Washington, American Psychological Association, 1998</w:t>
      </w:r>
    </w:p>
    <w:p w14:paraId="6EC6F13A" w14:textId="7F19C0CF" w:rsidR="00D30E7C" w:rsidRDefault="00D30E7C" w:rsidP="00D30E7C">
      <w:pPr>
        <w:pStyle w:val="ListParagraph"/>
        <w:numPr>
          <w:ilvl w:val="0"/>
          <w:numId w:val="4"/>
        </w:numPr>
      </w:pPr>
      <w:r>
        <w:t>Hate Crime Perpetrators: the Psychopath and the Perseverator, Logan, Violence and Gender 2018</w:t>
      </w:r>
    </w:p>
    <w:p w14:paraId="612123BF" w14:textId="196B7FA3" w:rsidR="00D30E7C" w:rsidRDefault="00D30E7C" w:rsidP="00D30E7C">
      <w:pPr>
        <w:pStyle w:val="ListParagraph"/>
        <w:numPr>
          <w:ilvl w:val="0"/>
          <w:numId w:val="4"/>
        </w:numPr>
      </w:pPr>
      <w:r>
        <w:t>Hate Crime, Levin and McDevitt, Encyclopaedia of Peace, Violence and Conflict, 2008</w:t>
      </w:r>
    </w:p>
    <w:p w14:paraId="4F6542F5" w14:textId="509BF61D" w:rsidR="00D30E7C" w:rsidRDefault="00D30E7C" w:rsidP="00D30E7C">
      <w:pPr>
        <w:pStyle w:val="ListParagraph"/>
        <w:numPr>
          <w:ilvl w:val="0"/>
          <w:numId w:val="4"/>
        </w:numPr>
      </w:pPr>
      <w:r>
        <w:lastRenderedPageBreak/>
        <w:t>Youth Hate Crimes: Identification, Prevention, and Intervention, Steinberg, American Psychiatry, 2003</w:t>
      </w:r>
    </w:p>
    <w:p w14:paraId="7AC69268" w14:textId="60509F1E" w:rsidR="00D30E7C" w:rsidRDefault="00D30E7C" w:rsidP="00D30E7C">
      <w:pPr>
        <w:pStyle w:val="ListParagraph"/>
        <w:numPr>
          <w:ilvl w:val="0"/>
          <w:numId w:val="4"/>
        </w:numPr>
      </w:pPr>
      <w:r>
        <w:t>What is a hate crime? Schweppe, Cogent Social Sciences, 2021</w:t>
      </w:r>
    </w:p>
    <w:p w14:paraId="2EEBA514" w14:textId="0D617C56" w:rsidR="00D30E7C" w:rsidRDefault="00D30E7C" w:rsidP="00D30E7C">
      <w:pPr>
        <w:pStyle w:val="ListParagraph"/>
        <w:numPr>
          <w:ilvl w:val="0"/>
          <w:numId w:val="4"/>
        </w:numPr>
      </w:pPr>
      <w:r>
        <w:t>Hate Crime: Causes, Motivations and Effective Interventions for Criminal Justice Social Work, Rania Hamad, CYCJ/Edinburgh City Council/University of Edinburgh, 2017</w:t>
      </w:r>
    </w:p>
    <w:p w14:paraId="2128CF80" w14:textId="20227232" w:rsidR="00D30E7C" w:rsidRDefault="00D30E7C" w:rsidP="00D30E7C">
      <w:pPr>
        <w:pStyle w:val="ListParagraph"/>
        <w:numPr>
          <w:ilvl w:val="0"/>
          <w:numId w:val="4"/>
        </w:numPr>
      </w:pPr>
      <w:r>
        <w:t>From Thrill to Defensive Hate Crimes: The Impact of September 11, 2001, Jack Levin, Northeastern University, Journal of Hate Studies, 2014-15</w:t>
      </w:r>
    </w:p>
    <w:p w14:paraId="35AD362C" w14:textId="30E818F0" w:rsidR="00D30E7C" w:rsidRDefault="00D30E7C" w:rsidP="00D30E7C">
      <w:pPr>
        <w:pStyle w:val="ListParagraph"/>
        <w:numPr>
          <w:ilvl w:val="0"/>
          <w:numId w:val="4"/>
        </w:numPr>
      </w:pPr>
      <w:r>
        <w:t>Working with people who commit hate crime, Rania Hamad, Iriss Insights, 2019</w:t>
      </w:r>
    </w:p>
    <w:p w14:paraId="5103F333" w14:textId="641E9A33" w:rsidR="00D30E7C" w:rsidRDefault="00D30E7C" w:rsidP="00D30E7C">
      <w:pPr>
        <w:pStyle w:val="ListParagraph"/>
        <w:numPr>
          <w:ilvl w:val="0"/>
          <w:numId w:val="4"/>
        </w:numPr>
      </w:pPr>
      <w:r>
        <w:t>A Comparative Analysis of Hate Crime Legislation A Report to the Hate Crime Legislation Review James Chalmers and Fiona Leverick University of Glasgow, July 2017</w:t>
      </w:r>
    </w:p>
    <w:p w14:paraId="1F95D4BB" w14:textId="604A7F20" w:rsidR="00D30E7C" w:rsidRDefault="00D30E7C" w:rsidP="00D30E7C">
      <w:pPr>
        <w:pStyle w:val="ListParagraph"/>
        <w:numPr>
          <w:ilvl w:val="0"/>
          <w:numId w:val="4"/>
        </w:numPr>
      </w:pPr>
      <w:r>
        <w:t>Hate crime: a global perspective, Iganski and Levin, 2015</w:t>
      </w:r>
    </w:p>
    <w:p w14:paraId="520EBE4F" w14:textId="46E90D14" w:rsidR="00D30E7C" w:rsidRDefault="00D30E7C" w:rsidP="00D30E7C">
      <w:pPr>
        <w:pStyle w:val="ListParagraph"/>
        <w:numPr>
          <w:ilvl w:val="0"/>
          <w:numId w:val="4"/>
        </w:numPr>
      </w:pPr>
      <w:r>
        <w:t>Understanding hate crimes, Nathan Hall, Routledge International Handbook on Hate Crime, 2015</w:t>
      </w:r>
    </w:p>
    <w:p w14:paraId="1AA7B544" w14:textId="4267F5D6" w:rsidR="00D30E7C" w:rsidRDefault="00D30E7C" w:rsidP="00D30E7C">
      <w:pPr>
        <w:pStyle w:val="ListParagraph"/>
        <w:numPr>
          <w:ilvl w:val="0"/>
          <w:numId w:val="4"/>
        </w:numPr>
      </w:pPr>
      <w:r>
        <w:t>Hate crime against people with disabilities, Chih, Routledge International Handbook on Hate Crime, 2015</w:t>
      </w:r>
    </w:p>
    <w:p w14:paraId="2EE1C001" w14:textId="6DB771DC" w:rsidR="00D30E7C" w:rsidRDefault="00D30E7C" w:rsidP="00D30E7C">
      <w:pPr>
        <w:pStyle w:val="ListParagraph"/>
        <w:numPr>
          <w:ilvl w:val="0"/>
          <w:numId w:val="4"/>
        </w:numPr>
      </w:pPr>
      <w:r>
        <w:t>Disability hostility, harassment and violence in the UK, Hamilton and Trickett, Routledge International Handbook on Hate Crime, 2015</w:t>
      </w:r>
    </w:p>
    <w:p w14:paraId="258FB916" w14:textId="6ED81F54" w:rsidR="00D30E7C" w:rsidRDefault="00D30E7C" w:rsidP="00D30E7C">
      <w:pPr>
        <w:pStyle w:val="ListParagraph"/>
        <w:numPr>
          <w:ilvl w:val="0"/>
          <w:numId w:val="4"/>
        </w:numPr>
      </w:pPr>
      <w:r>
        <w:t>The Social Distance Between Us, Darren McGarvey, Penguin, 2022</w:t>
      </w:r>
    </w:p>
    <w:p w14:paraId="789F06A9" w14:textId="2B6DA00F" w:rsidR="00D30E7C" w:rsidRDefault="00D30E7C" w:rsidP="00793DD5">
      <w:pPr>
        <w:pStyle w:val="ListParagraph"/>
        <w:numPr>
          <w:ilvl w:val="0"/>
          <w:numId w:val="4"/>
        </w:numPr>
      </w:pPr>
      <w:r>
        <w:t>An updated study into the characteristics of police recorded hate crime in Scotland, Scottish Government, Jan 23</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763977F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32C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EFCDBB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32C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709212A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32C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015DFBA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32C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4AE067D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32C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5BE9153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32C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1243D"/>
    <w:multiLevelType w:val="hybridMultilevel"/>
    <w:tmpl w:val="20944D4E"/>
    <w:lvl w:ilvl="0" w:tplc="4864B506">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FE2F9D"/>
    <w:multiLevelType w:val="hybridMultilevel"/>
    <w:tmpl w:val="404402CA"/>
    <w:lvl w:ilvl="0" w:tplc="9606C9A4">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5D4669"/>
    <w:multiLevelType w:val="hybridMultilevel"/>
    <w:tmpl w:val="DC5EAAC6"/>
    <w:lvl w:ilvl="0" w:tplc="1A605E40">
      <w:start w:val="1"/>
      <w:numFmt w:val="bullet"/>
      <w:lvlText w:val="•"/>
      <w:lvlJc w:val="left"/>
      <w:pPr>
        <w:tabs>
          <w:tab w:val="num" w:pos="720"/>
        </w:tabs>
        <w:ind w:left="720" w:hanging="360"/>
      </w:pPr>
      <w:rPr>
        <w:rFonts w:ascii="Arial" w:hAnsi="Arial" w:cs="Times New Roman" w:hint="default"/>
      </w:rPr>
    </w:lvl>
    <w:lvl w:ilvl="1" w:tplc="5BE0FD04">
      <w:start w:val="1"/>
      <w:numFmt w:val="bullet"/>
      <w:lvlText w:val="•"/>
      <w:lvlJc w:val="left"/>
      <w:pPr>
        <w:tabs>
          <w:tab w:val="num" w:pos="1440"/>
        </w:tabs>
        <w:ind w:left="1440" w:hanging="360"/>
      </w:pPr>
      <w:rPr>
        <w:rFonts w:ascii="Arial" w:hAnsi="Arial" w:cs="Times New Roman" w:hint="default"/>
      </w:rPr>
    </w:lvl>
    <w:lvl w:ilvl="2" w:tplc="244E0C02">
      <w:start w:val="1"/>
      <w:numFmt w:val="bullet"/>
      <w:lvlText w:val="•"/>
      <w:lvlJc w:val="left"/>
      <w:pPr>
        <w:tabs>
          <w:tab w:val="num" w:pos="2160"/>
        </w:tabs>
        <w:ind w:left="2160" w:hanging="360"/>
      </w:pPr>
      <w:rPr>
        <w:rFonts w:ascii="Arial" w:hAnsi="Arial" w:cs="Times New Roman" w:hint="default"/>
      </w:rPr>
    </w:lvl>
    <w:lvl w:ilvl="3" w:tplc="1B7825EC">
      <w:start w:val="1"/>
      <w:numFmt w:val="bullet"/>
      <w:lvlText w:val="•"/>
      <w:lvlJc w:val="left"/>
      <w:pPr>
        <w:tabs>
          <w:tab w:val="num" w:pos="2880"/>
        </w:tabs>
        <w:ind w:left="2880" w:hanging="360"/>
      </w:pPr>
      <w:rPr>
        <w:rFonts w:ascii="Arial" w:hAnsi="Arial" w:cs="Times New Roman" w:hint="default"/>
      </w:rPr>
    </w:lvl>
    <w:lvl w:ilvl="4" w:tplc="161461F4">
      <w:start w:val="1"/>
      <w:numFmt w:val="bullet"/>
      <w:lvlText w:val="•"/>
      <w:lvlJc w:val="left"/>
      <w:pPr>
        <w:tabs>
          <w:tab w:val="num" w:pos="3600"/>
        </w:tabs>
        <w:ind w:left="3600" w:hanging="360"/>
      </w:pPr>
      <w:rPr>
        <w:rFonts w:ascii="Arial" w:hAnsi="Arial" w:cs="Times New Roman" w:hint="default"/>
      </w:rPr>
    </w:lvl>
    <w:lvl w:ilvl="5" w:tplc="37007248">
      <w:start w:val="1"/>
      <w:numFmt w:val="bullet"/>
      <w:lvlText w:val="•"/>
      <w:lvlJc w:val="left"/>
      <w:pPr>
        <w:tabs>
          <w:tab w:val="num" w:pos="4320"/>
        </w:tabs>
        <w:ind w:left="4320" w:hanging="360"/>
      </w:pPr>
      <w:rPr>
        <w:rFonts w:ascii="Arial" w:hAnsi="Arial" w:cs="Times New Roman" w:hint="default"/>
      </w:rPr>
    </w:lvl>
    <w:lvl w:ilvl="6" w:tplc="B838C924">
      <w:start w:val="1"/>
      <w:numFmt w:val="bullet"/>
      <w:lvlText w:val="•"/>
      <w:lvlJc w:val="left"/>
      <w:pPr>
        <w:tabs>
          <w:tab w:val="num" w:pos="5040"/>
        </w:tabs>
        <w:ind w:left="5040" w:hanging="360"/>
      </w:pPr>
      <w:rPr>
        <w:rFonts w:ascii="Arial" w:hAnsi="Arial" w:cs="Times New Roman" w:hint="default"/>
      </w:rPr>
    </w:lvl>
    <w:lvl w:ilvl="7" w:tplc="DFDE089C">
      <w:start w:val="1"/>
      <w:numFmt w:val="bullet"/>
      <w:lvlText w:val="•"/>
      <w:lvlJc w:val="left"/>
      <w:pPr>
        <w:tabs>
          <w:tab w:val="num" w:pos="5760"/>
        </w:tabs>
        <w:ind w:left="5760" w:hanging="360"/>
      </w:pPr>
      <w:rPr>
        <w:rFonts w:ascii="Arial" w:hAnsi="Arial" w:cs="Times New Roman" w:hint="default"/>
      </w:rPr>
    </w:lvl>
    <w:lvl w:ilvl="8" w:tplc="BC2A24EA">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51765"/>
    <w:rsid w:val="00785DBC"/>
    <w:rsid w:val="00793DD5"/>
    <w:rsid w:val="007D55F6"/>
    <w:rsid w:val="007F490F"/>
    <w:rsid w:val="008032C4"/>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30E7C"/>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D30E7C"/>
    <w:pPr>
      <w:spacing w:before="100" w:beforeAutospacing="1" w:after="100" w:afterAutospacing="1"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377457">
      <w:bodyDiv w:val="1"/>
      <w:marLeft w:val="0"/>
      <w:marRight w:val="0"/>
      <w:marTop w:val="0"/>
      <w:marBottom w:val="0"/>
      <w:divBdr>
        <w:top w:val="none" w:sz="0" w:space="0" w:color="auto"/>
        <w:left w:val="none" w:sz="0" w:space="0" w:color="auto"/>
        <w:bottom w:val="none" w:sz="0" w:space="0" w:color="auto"/>
        <w:right w:val="none" w:sz="0" w:space="0" w:color="auto"/>
      </w:divBdr>
    </w:div>
    <w:div w:id="209658733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purl.org/dc/terms/"/>
    <ds:schemaRef ds:uri="http://schemas.openxmlformats.org/package/2006/metadata/core-properties"/>
    <ds:schemaRef ds:uri="0e32d40b-a8f5-4c24-a46b-b72b5f0b9b52"/>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639</Words>
  <Characters>3643</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2024-04-18T09:04:00Z</cp:lastPrinted>
  <dcterms:created xsi:type="dcterms:W3CDTF">2023-12-08T11:52:00Z</dcterms:created>
  <dcterms:modified xsi:type="dcterms:W3CDTF">2024-04-18T09:05:00Z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