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18D541" w:rsidR="00B17211" w:rsidRPr="00B17211" w:rsidRDefault="00B17211" w:rsidP="007F490F">
            <w:r w:rsidRPr="007F490F">
              <w:rPr>
                <w:rStyle w:val="Heading2Char"/>
              </w:rPr>
              <w:t>Our reference:</w:t>
            </w:r>
            <w:r>
              <w:t xml:space="preserve">  FOI 2</w:t>
            </w:r>
            <w:r w:rsidR="00B654B6">
              <w:t>4</w:t>
            </w:r>
            <w:r>
              <w:t>-</w:t>
            </w:r>
            <w:r w:rsidR="00110D2F">
              <w:t>0493</w:t>
            </w:r>
          </w:p>
          <w:p w14:paraId="34BDABA6" w14:textId="7070873B" w:rsidR="00B17211" w:rsidRDefault="00456324" w:rsidP="00EE2373">
            <w:r w:rsidRPr="007F490F">
              <w:rPr>
                <w:rStyle w:val="Heading2Char"/>
              </w:rPr>
              <w:t>Respon</w:t>
            </w:r>
            <w:r w:rsidR="007D55F6">
              <w:rPr>
                <w:rStyle w:val="Heading2Char"/>
              </w:rPr>
              <w:t>ded to:</w:t>
            </w:r>
            <w:r w:rsidR="007F490F">
              <w:t xml:space="preserve">  </w:t>
            </w:r>
            <w:r w:rsidR="00E01B84">
              <w:t>11</w:t>
            </w:r>
            <w:r w:rsidR="006D5799">
              <w:t xml:space="preserve"> </w:t>
            </w:r>
            <w:r w:rsidR="00CA3E26">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773008" w14:textId="77777777" w:rsidR="00110D2F" w:rsidRPr="00110D2F" w:rsidRDefault="00110D2F" w:rsidP="00110D2F">
      <w:pPr>
        <w:pStyle w:val="Heading2"/>
      </w:pPr>
      <w:bookmarkStart w:id="0" w:name="_Hlk159311944"/>
      <w:r w:rsidRPr="00110D2F">
        <w:t>I would be very grateful if you could provide the following information relating to the period 1st January 2023 to 31st December 2023:</w:t>
      </w:r>
    </w:p>
    <w:p w14:paraId="4B5627FF" w14:textId="77777777" w:rsidR="00110D2F" w:rsidRDefault="00110D2F" w:rsidP="00110D2F">
      <w:pPr>
        <w:pStyle w:val="Heading2"/>
      </w:pPr>
      <w:r w:rsidRPr="00110D2F">
        <w:t>Total number of speeding fines issued to all classes of vehicles travelling on the A75</w:t>
      </w:r>
    </w:p>
    <w:p w14:paraId="64EB39CC" w14:textId="46112603" w:rsidR="006850B6" w:rsidRPr="006850B6" w:rsidRDefault="006850B6" w:rsidP="006850B6">
      <w:r>
        <w:t>647 Conditional Offer of Fixed Penalty Notices (COFPNs) were issued, of which 64 drivers were reported to the Procurator Fiscal (PF) for non-payment. A further 131 drivers were reported to the PF without the issue of a COFPN.</w:t>
      </w:r>
    </w:p>
    <w:p w14:paraId="697BE003" w14:textId="77777777" w:rsidR="00110D2F" w:rsidRDefault="00110D2F" w:rsidP="00110D2F">
      <w:pPr>
        <w:pStyle w:val="Heading2"/>
      </w:pPr>
      <w:r w:rsidRPr="00110D2F">
        <w:t>Total number of speeding fines issued to HGVs travelling on the A75</w:t>
      </w:r>
    </w:p>
    <w:p w14:paraId="1967FC75" w14:textId="0A53B4AF" w:rsidR="006850B6" w:rsidRDefault="006850B6" w:rsidP="006850B6">
      <w:r>
        <w:t xml:space="preserve">68 COFPNs were issued, of which 5 drivers were reported to the PF for non-payment. A further 48 drivers were reported to the PF without the issue of a COFPN. </w:t>
      </w:r>
    </w:p>
    <w:p w14:paraId="02CED292" w14:textId="301BFD47" w:rsidR="006850B6" w:rsidRDefault="006850B6" w:rsidP="006850B6">
      <w:r>
        <w:t>The above figures are for COFPNs issued and reports to the PF for offences detected between 01/01/2023 and 31/12/2023, rather than by date of issue.</w:t>
      </w:r>
    </w:p>
    <w:p w14:paraId="5370EF4C" w14:textId="46A215FD" w:rsidR="006850B6" w:rsidRDefault="006850B6" w:rsidP="006850B6">
      <w:r>
        <w:t xml:space="preserve">The reports to the PF are provided for completeness, since a COFPN is not the only course of action following a speeding offence - </w:t>
      </w:r>
      <w:r w:rsidRPr="006850B6">
        <w:t xml:space="preserve">there are offences which are reported directly to the Procurator Fiscal due to a number of reasons, e.g. excessive speed, ineligible due to </w:t>
      </w:r>
      <w:r w:rsidR="00E0134F">
        <w:t xml:space="preserve">the </w:t>
      </w:r>
      <w:r w:rsidRPr="006850B6">
        <w:t>number of points</w:t>
      </w:r>
      <w:r w:rsidR="00E0134F">
        <w:t xml:space="preserve"> the</w:t>
      </w:r>
      <w:r w:rsidRPr="006850B6">
        <w:t xml:space="preserve"> driver </w:t>
      </w:r>
      <w:r w:rsidR="00E0134F">
        <w:t xml:space="preserve">has </w:t>
      </w:r>
      <w:r w:rsidRPr="006850B6">
        <w:t xml:space="preserve">already accrued, driver declines to accept COFPN as </w:t>
      </w:r>
      <w:r w:rsidR="00E0134F">
        <w:t>they</w:t>
      </w:r>
      <w:r w:rsidRPr="006850B6">
        <w:t xml:space="preserve"> wish to attend court, etc.</w:t>
      </w:r>
    </w:p>
    <w:p w14:paraId="4463BF11" w14:textId="2B2FFCCF" w:rsidR="006850B6" w:rsidRPr="006850B6" w:rsidRDefault="006850B6" w:rsidP="00E0134F">
      <w:r>
        <w:t>This data was taken from a live system which is subject to change and correct as of 06/03/2024.</w:t>
      </w:r>
    </w:p>
    <w:p w14:paraId="0C80259F" w14:textId="77777777" w:rsidR="00E0134F" w:rsidRDefault="00454174" w:rsidP="00CA3E26">
      <w:pPr>
        <w:tabs>
          <w:tab w:val="left" w:pos="5400"/>
        </w:tabs>
      </w:pPr>
      <w:r w:rsidRPr="00CA3E26">
        <w:t>Please be advised that t</w:t>
      </w:r>
      <w:r w:rsidR="006850B6" w:rsidRPr="00CA3E26">
        <w:t>he above figures relate to Safety Camera Unit detected offences only and do not include those issued by road</w:t>
      </w:r>
      <w:r w:rsidR="004172A8" w:rsidRPr="00CA3E26">
        <w:t>side police officers</w:t>
      </w:r>
      <w:r w:rsidR="00CA3E26">
        <w:t xml:space="preserve"> which are recorded on a different recording system</w:t>
      </w:r>
      <w:r w:rsidR="006850B6" w:rsidRPr="00CA3E26">
        <w:t>.</w:t>
      </w:r>
      <w:r w:rsidRPr="00CA3E26">
        <w:t xml:space="preserve"> </w:t>
      </w:r>
    </w:p>
    <w:p w14:paraId="560DB919" w14:textId="77777777" w:rsidR="00E0134F" w:rsidRDefault="00CA3E26" w:rsidP="00CA3E26">
      <w:pPr>
        <w:tabs>
          <w:tab w:val="left" w:pos="5400"/>
        </w:tabs>
      </w:pPr>
      <w:r w:rsidRPr="00CA3E26">
        <w:t>Unfortunately,</w:t>
      </w:r>
      <w:r w:rsidR="0034473A" w:rsidRPr="00CA3E26">
        <w:t xml:space="preserve"> it is estimated tha</w:t>
      </w:r>
      <w:r w:rsidRPr="00CA3E26">
        <w:t xml:space="preserve">t it would exceed the Cost of Compliance of the Act to provide this data. </w:t>
      </w:r>
      <w:r w:rsidR="006D7D05" w:rsidRPr="00CA3E26">
        <w:t xml:space="preserve"> </w:t>
      </w:r>
    </w:p>
    <w:p w14:paraId="395D9D91" w14:textId="77777777" w:rsidR="00E0134F" w:rsidRDefault="006D7D05" w:rsidP="00CA3E26">
      <w:pPr>
        <w:tabs>
          <w:tab w:val="left" w:pos="5400"/>
        </w:tabs>
      </w:pPr>
      <w:r w:rsidRPr="00CA3E26">
        <w:lastRenderedPageBreak/>
        <w:t>To explain,</w:t>
      </w:r>
      <w:r w:rsidR="00454174" w:rsidRPr="00CA3E26">
        <w:t xml:space="preserve"> </w:t>
      </w:r>
      <w:hyperlink r:id="rId11" w:history="1">
        <w:r w:rsidRPr="00CA3E26">
          <w:rPr>
            <w:rStyle w:val="Hyperlink"/>
          </w:rPr>
          <w:t>published figures</w:t>
        </w:r>
      </w:hyperlink>
      <w:r w:rsidRPr="00CA3E26">
        <w:t xml:space="preserve"> show that as at </w:t>
      </w:r>
      <w:r w:rsidR="00E0134F">
        <w:t xml:space="preserve">quarter </w:t>
      </w:r>
      <w:r w:rsidRPr="00CA3E26">
        <w:t>2 of financial year 2023/24 there were 1322 speeding offences for Dumfries and Galloway Division</w:t>
      </w:r>
      <w:r w:rsidR="004172A8" w:rsidRPr="00CA3E26">
        <w:t xml:space="preserve">. </w:t>
      </w:r>
    </w:p>
    <w:p w14:paraId="63D7F9B3" w14:textId="77777777" w:rsidR="00E0134F" w:rsidRDefault="003E7889" w:rsidP="00CA3E26">
      <w:pPr>
        <w:tabs>
          <w:tab w:val="left" w:pos="5400"/>
        </w:tabs>
      </w:pPr>
      <w:r w:rsidRPr="00CA3E26">
        <w:t xml:space="preserve">There are no relevant markers which allow the automatic retrieval of </w:t>
      </w:r>
      <w:r w:rsidR="004172A8" w:rsidRPr="00CA3E26">
        <w:t>the specific road and type of vehicle involved</w:t>
      </w:r>
      <w:r w:rsidR="00CA3E26">
        <w:t xml:space="preserve"> from crime reports and as such each report would require to </w:t>
      </w:r>
      <w:r w:rsidR="004172A8" w:rsidRPr="00CA3E26">
        <w:t>be manually examined</w:t>
      </w:r>
      <w:r w:rsidR="00CA3E26">
        <w:t xml:space="preserve">. </w:t>
      </w:r>
    </w:p>
    <w:p w14:paraId="6C18A0BB" w14:textId="5772A2AF" w:rsidR="00CA3E26" w:rsidRPr="00447A31" w:rsidRDefault="00CA3E26" w:rsidP="00CA3E26">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114E1DE6" w14:textId="77777777" w:rsidR="006850B6" w:rsidRPr="006850B6" w:rsidRDefault="006850B6" w:rsidP="006850B6"/>
    <w:p w14:paraId="4F90F0E4" w14:textId="77777777" w:rsidR="00110D2F" w:rsidRDefault="00110D2F" w:rsidP="00110D2F">
      <w:pPr>
        <w:pStyle w:val="Heading2"/>
      </w:pPr>
      <w:r w:rsidRPr="00110D2F">
        <w:t>Total number of RTAs that required police attendance on the A75</w:t>
      </w:r>
    </w:p>
    <w:p w14:paraId="7710B118" w14:textId="3CBD703A" w:rsidR="00BF361A" w:rsidRPr="00BF361A" w:rsidRDefault="00BF361A" w:rsidP="00BF361A">
      <w:r>
        <w:t>In relation to this question and the one below, we have answered based on formal recorded road traffic collisions rather than road traffic incidents (calls made to police to report a crime/incident/accident etc).</w:t>
      </w:r>
    </w:p>
    <w:p w14:paraId="6C680796" w14:textId="37519F93" w:rsidR="003E7889" w:rsidRPr="003E7889" w:rsidRDefault="003E7889" w:rsidP="00E0134F">
      <w:r w:rsidRPr="003E7889">
        <w:t xml:space="preserve">Recorded Road Traffic Collisions, Police Attended, A75, Stranraer to Gretna, </w:t>
      </w:r>
      <w:r w:rsidR="00E0134F">
        <w:t>by s</w:t>
      </w:r>
      <w:r w:rsidRPr="003E7889">
        <w:t>everity</w:t>
      </w:r>
    </w:p>
    <w:tbl>
      <w:tblPr>
        <w:tblStyle w:val="TableGrid"/>
        <w:tblW w:w="3797" w:type="dxa"/>
        <w:tblLook w:val="04A0" w:firstRow="1" w:lastRow="0" w:firstColumn="1" w:lastColumn="0" w:noHBand="0" w:noVBand="1"/>
        <w:tblCaption w:val="Road traffic collisions by severity A75 2023"/>
        <w:tblDescription w:val="Road traffic collisions by severity A75 2023"/>
      </w:tblPr>
      <w:tblGrid>
        <w:gridCol w:w="2547"/>
        <w:gridCol w:w="1250"/>
      </w:tblGrid>
      <w:tr w:rsidR="003E7889" w:rsidRPr="00E0134F" w14:paraId="2A2B2942" w14:textId="77777777" w:rsidTr="003E7889">
        <w:trPr>
          <w:tblHeader/>
        </w:trPr>
        <w:tc>
          <w:tcPr>
            <w:tcW w:w="2547" w:type="dxa"/>
            <w:shd w:val="clear" w:color="auto" w:fill="D9D9D9" w:themeFill="background1" w:themeFillShade="D9"/>
          </w:tcPr>
          <w:p w14:paraId="75AC02DC" w14:textId="77777777" w:rsidR="003E7889" w:rsidRPr="00E0134F" w:rsidRDefault="003E7889" w:rsidP="00E0134F">
            <w:pPr>
              <w:spacing w:line="240" w:lineRule="auto"/>
              <w:rPr>
                <w:b/>
              </w:rPr>
            </w:pPr>
            <w:r w:rsidRPr="00E0134F">
              <w:rPr>
                <w:b/>
              </w:rPr>
              <w:t>Collision Severity</w:t>
            </w:r>
          </w:p>
        </w:tc>
        <w:tc>
          <w:tcPr>
            <w:tcW w:w="1250" w:type="dxa"/>
            <w:shd w:val="clear" w:color="auto" w:fill="D9D9D9" w:themeFill="background1" w:themeFillShade="D9"/>
          </w:tcPr>
          <w:p w14:paraId="62F69E7E" w14:textId="77777777" w:rsidR="003E7889" w:rsidRPr="00E0134F" w:rsidRDefault="003E7889" w:rsidP="00E0134F">
            <w:pPr>
              <w:spacing w:line="240" w:lineRule="auto"/>
              <w:rPr>
                <w:b/>
              </w:rPr>
            </w:pPr>
            <w:r w:rsidRPr="00E0134F">
              <w:rPr>
                <w:b/>
              </w:rPr>
              <w:t>2023</w:t>
            </w:r>
          </w:p>
        </w:tc>
      </w:tr>
      <w:tr w:rsidR="003E7889" w:rsidRPr="003E7889" w14:paraId="3BD8213E" w14:textId="77777777" w:rsidTr="003E7889">
        <w:trPr>
          <w:trHeight w:val="300"/>
        </w:trPr>
        <w:tc>
          <w:tcPr>
            <w:tcW w:w="2547" w:type="dxa"/>
            <w:noWrap/>
            <w:hideMark/>
          </w:tcPr>
          <w:p w14:paraId="0F1AEACD"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Fatal</w:t>
            </w:r>
          </w:p>
        </w:tc>
        <w:tc>
          <w:tcPr>
            <w:tcW w:w="1250" w:type="dxa"/>
            <w:noWrap/>
            <w:hideMark/>
          </w:tcPr>
          <w:p w14:paraId="16AE67FD"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1</w:t>
            </w:r>
          </w:p>
        </w:tc>
      </w:tr>
      <w:tr w:rsidR="003E7889" w:rsidRPr="003E7889" w14:paraId="7BB164D7" w14:textId="77777777" w:rsidTr="003E7889">
        <w:trPr>
          <w:trHeight w:val="300"/>
        </w:trPr>
        <w:tc>
          <w:tcPr>
            <w:tcW w:w="2547" w:type="dxa"/>
            <w:noWrap/>
            <w:hideMark/>
          </w:tcPr>
          <w:p w14:paraId="6D802CBB"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Serious</w:t>
            </w:r>
          </w:p>
        </w:tc>
        <w:tc>
          <w:tcPr>
            <w:tcW w:w="1250" w:type="dxa"/>
            <w:noWrap/>
            <w:hideMark/>
          </w:tcPr>
          <w:p w14:paraId="6940F2D9"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17</w:t>
            </w:r>
          </w:p>
        </w:tc>
      </w:tr>
      <w:tr w:rsidR="003E7889" w:rsidRPr="003E7889" w14:paraId="0F4992F2" w14:textId="77777777" w:rsidTr="003E7889">
        <w:trPr>
          <w:trHeight w:val="300"/>
        </w:trPr>
        <w:tc>
          <w:tcPr>
            <w:tcW w:w="2547" w:type="dxa"/>
            <w:noWrap/>
            <w:hideMark/>
          </w:tcPr>
          <w:p w14:paraId="5F768F87"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Slight</w:t>
            </w:r>
          </w:p>
        </w:tc>
        <w:tc>
          <w:tcPr>
            <w:tcW w:w="1250" w:type="dxa"/>
            <w:noWrap/>
            <w:hideMark/>
          </w:tcPr>
          <w:p w14:paraId="626D1EF5"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23</w:t>
            </w:r>
          </w:p>
        </w:tc>
      </w:tr>
      <w:tr w:rsidR="003E7889" w:rsidRPr="003E7889" w14:paraId="7275E705" w14:textId="77777777" w:rsidTr="003E7889">
        <w:trPr>
          <w:trHeight w:val="330"/>
        </w:trPr>
        <w:tc>
          <w:tcPr>
            <w:tcW w:w="2547" w:type="dxa"/>
            <w:noWrap/>
            <w:hideMark/>
          </w:tcPr>
          <w:p w14:paraId="66BAB87D"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Total</w:t>
            </w:r>
          </w:p>
        </w:tc>
        <w:tc>
          <w:tcPr>
            <w:tcW w:w="1250" w:type="dxa"/>
            <w:noWrap/>
            <w:hideMark/>
          </w:tcPr>
          <w:p w14:paraId="24447CD6"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41</w:t>
            </w:r>
          </w:p>
        </w:tc>
      </w:tr>
    </w:tbl>
    <w:p w14:paraId="60337714" w14:textId="77777777" w:rsidR="003E7889" w:rsidRPr="003E7889" w:rsidRDefault="003E7889" w:rsidP="00E0134F"/>
    <w:p w14:paraId="7FA7179A" w14:textId="77777777" w:rsidR="00110D2F" w:rsidRPr="00110D2F" w:rsidRDefault="00110D2F" w:rsidP="00110D2F">
      <w:pPr>
        <w:pStyle w:val="Heading2"/>
      </w:pPr>
      <w:r w:rsidRPr="00110D2F">
        <w:t>Number of RTAs requiring police attendance that involved an HGV</w:t>
      </w:r>
    </w:p>
    <w:bookmarkEnd w:id="0"/>
    <w:p w14:paraId="34BDABAB" w14:textId="283EAE39" w:rsidR="00255F1E" w:rsidRDefault="003E7889" w:rsidP="00E0134F">
      <w:r w:rsidRPr="003E7889">
        <w:t>Recorded Road Traffic Collisions Involving at least 1 x Goods Vehicle, A75, Stranraer to Gretna, b</w:t>
      </w:r>
      <w:r w:rsidR="00E0134F">
        <w:t>y s</w:t>
      </w:r>
      <w:r w:rsidRPr="003E7889">
        <w:t>everity</w:t>
      </w:r>
      <w:r w:rsidR="007F2C80">
        <w:t>. Please be advised that these figures are also included in the table above.</w:t>
      </w:r>
    </w:p>
    <w:tbl>
      <w:tblPr>
        <w:tblStyle w:val="TableGrid"/>
        <w:tblW w:w="7508" w:type="dxa"/>
        <w:tblLook w:val="04A0" w:firstRow="1" w:lastRow="0" w:firstColumn="1" w:lastColumn="0" w:noHBand="0" w:noVBand="1"/>
        <w:tblCaption w:val="Road traffic collisions involving HGV's by severity A75 2023"/>
        <w:tblDescription w:val="Road traffic collisions involving HGV's by severity A75 2023"/>
      </w:tblPr>
      <w:tblGrid>
        <w:gridCol w:w="4106"/>
        <w:gridCol w:w="2410"/>
        <w:gridCol w:w="992"/>
      </w:tblGrid>
      <w:tr w:rsidR="003E7889" w:rsidRPr="00557306" w14:paraId="34BDABB1" w14:textId="77777777" w:rsidTr="003E7889">
        <w:trPr>
          <w:tblHeader/>
        </w:trPr>
        <w:tc>
          <w:tcPr>
            <w:tcW w:w="4106" w:type="dxa"/>
            <w:shd w:val="clear" w:color="auto" w:fill="D9D9D9" w:themeFill="background1" w:themeFillShade="D9"/>
          </w:tcPr>
          <w:p w14:paraId="34BDABAC" w14:textId="165579F5" w:rsidR="003E7889" w:rsidRPr="00557306" w:rsidRDefault="003E7889" w:rsidP="00E0134F">
            <w:pPr>
              <w:spacing w:line="240" w:lineRule="auto"/>
              <w:rPr>
                <w:b/>
              </w:rPr>
            </w:pPr>
            <w:r>
              <w:rPr>
                <w:b/>
              </w:rPr>
              <w:t>Vehicle Type</w:t>
            </w:r>
          </w:p>
        </w:tc>
        <w:tc>
          <w:tcPr>
            <w:tcW w:w="2410" w:type="dxa"/>
            <w:shd w:val="clear" w:color="auto" w:fill="D9D9D9" w:themeFill="background1" w:themeFillShade="D9"/>
          </w:tcPr>
          <w:p w14:paraId="34BDABAD" w14:textId="33EC7829" w:rsidR="003E7889" w:rsidRPr="00557306" w:rsidRDefault="003E7889" w:rsidP="00E0134F">
            <w:pPr>
              <w:spacing w:line="240" w:lineRule="auto"/>
              <w:rPr>
                <w:b/>
              </w:rPr>
            </w:pPr>
            <w:r>
              <w:rPr>
                <w:b/>
              </w:rPr>
              <w:t>Collision Severity</w:t>
            </w:r>
          </w:p>
        </w:tc>
        <w:tc>
          <w:tcPr>
            <w:tcW w:w="992" w:type="dxa"/>
            <w:shd w:val="clear" w:color="auto" w:fill="D9D9D9" w:themeFill="background1" w:themeFillShade="D9"/>
          </w:tcPr>
          <w:p w14:paraId="34BDABAE" w14:textId="18EF3EB2" w:rsidR="003E7889" w:rsidRPr="00557306" w:rsidRDefault="003E7889" w:rsidP="00E0134F">
            <w:pPr>
              <w:spacing w:line="240" w:lineRule="auto"/>
              <w:rPr>
                <w:b/>
              </w:rPr>
            </w:pPr>
            <w:r>
              <w:rPr>
                <w:b/>
              </w:rPr>
              <w:t>2023</w:t>
            </w:r>
          </w:p>
        </w:tc>
      </w:tr>
      <w:tr w:rsidR="003E7889" w:rsidRPr="003E7889" w14:paraId="00175FA0" w14:textId="77777777" w:rsidTr="003E7889">
        <w:trPr>
          <w:trHeight w:val="300"/>
        </w:trPr>
        <w:tc>
          <w:tcPr>
            <w:tcW w:w="4106" w:type="dxa"/>
            <w:vMerge w:val="restart"/>
            <w:noWrap/>
            <w:hideMark/>
          </w:tcPr>
          <w:p w14:paraId="2589D1EB"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Goods vehicle up to 3.5 tonnes</w:t>
            </w:r>
          </w:p>
          <w:p w14:paraId="221B06FD" w14:textId="3346E5A2"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 </w:t>
            </w:r>
          </w:p>
        </w:tc>
        <w:tc>
          <w:tcPr>
            <w:tcW w:w="2410" w:type="dxa"/>
            <w:noWrap/>
            <w:hideMark/>
          </w:tcPr>
          <w:p w14:paraId="01E7D7B7"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Fatal</w:t>
            </w:r>
          </w:p>
        </w:tc>
        <w:tc>
          <w:tcPr>
            <w:tcW w:w="992" w:type="dxa"/>
            <w:noWrap/>
            <w:hideMark/>
          </w:tcPr>
          <w:p w14:paraId="364B415D"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1</w:t>
            </w:r>
          </w:p>
        </w:tc>
      </w:tr>
      <w:tr w:rsidR="003E7889" w:rsidRPr="003E7889" w14:paraId="0AE3FCF0" w14:textId="77777777" w:rsidTr="003E7889">
        <w:trPr>
          <w:trHeight w:val="300"/>
        </w:trPr>
        <w:tc>
          <w:tcPr>
            <w:tcW w:w="4106" w:type="dxa"/>
            <w:vMerge/>
            <w:noWrap/>
            <w:hideMark/>
          </w:tcPr>
          <w:p w14:paraId="1BBC2CDB" w14:textId="5C7592B3" w:rsidR="003E7889" w:rsidRPr="003E7889" w:rsidRDefault="003E7889" w:rsidP="00E0134F">
            <w:pPr>
              <w:spacing w:line="240" w:lineRule="auto"/>
              <w:rPr>
                <w:rFonts w:eastAsia="Times New Roman"/>
                <w:color w:val="000000"/>
                <w:lang w:eastAsia="en-GB"/>
              </w:rPr>
            </w:pPr>
          </w:p>
        </w:tc>
        <w:tc>
          <w:tcPr>
            <w:tcW w:w="2410" w:type="dxa"/>
            <w:noWrap/>
            <w:hideMark/>
          </w:tcPr>
          <w:p w14:paraId="1D119C16"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Serious</w:t>
            </w:r>
          </w:p>
        </w:tc>
        <w:tc>
          <w:tcPr>
            <w:tcW w:w="992" w:type="dxa"/>
            <w:noWrap/>
            <w:hideMark/>
          </w:tcPr>
          <w:p w14:paraId="479DC6E4"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2</w:t>
            </w:r>
          </w:p>
        </w:tc>
      </w:tr>
      <w:tr w:rsidR="003E7889" w:rsidRPr="003E7889" w14:paraId="7A037ADA" w14:textId="77777777" w:rsidTr="003E7889">
        <w:trPr>
          <w:trHeight w:val="300"/>
        </w:trPr>
        <w:tc>
          <w:tcPr>
            <w:tcW w:w="4106" w:type="dxa"/>
            <w:vMerge/>
            <w:noWrap/>
            <w:hideMark/>
          </w:tcPr>
          <w:p w14:paraId="676B2A13" w14:textId="3EF68D95" w:rsidR="003E7889" w:rsidRPr="003E7889" w:rsidRDefault="003E7889" w:rsidP="00E0134F">
            <w:pPr>
              <w:spacing w:line="240" w:lineRule="auto"/>
              <w:rPr>
                <w:rFonts w:eastAsia="Times New Roman"/>
                <w:color w:val="000000"/>
                <w:lang w:eastAsia="en-GB"/>
              </w:rPr>
            </w:pPr>
          </w:p>
        </w:tc>
        <w:tc>
          <w:tcPr>
            <w:tcW w:w="2410" w:type="dxa"/>
            <w:noWrap/>
            <w:hideMark/>
          </w:tcPr>
          <w:p w14:paraId="1539FF29"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Slight</w:t>
            </w:r>
          </w:p>
        </w:tc>
        <w:tc>
          <w:tcPr>
            <w:tcW w:w="992" w:type="dxa"/>
            <w:noWrap/>
            <w:hideMark/>
          </w:tcPr>
          <w:p w14:paraId="6CFE7CB7"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2</w:t>
            </w:r>
          </w:p>
        </w:tc>
      </w:tr>
      <w:tr w:rsidR="003E7889" w:rsidRPr="003E7889" w14:paraId="2699EE08" w14:textId="77777777" w:rsidTr="003E7889">
        <w:trPr>
          <w:trHeight w:val="300"/>
        </w:trPr>
        <w:tc>
          <w:tcPr>
            <w:tcW w:w="4106" w:type="dxa"/>
            <w:vMerge w:val="restart"/>
            <w:noWrap/>
            <w:hideMark/>
          </w:tcPr>
          <w:p w14:paraId="728CFF7E"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lastRenderedPageBreak/>
              <w:t>Goods vehicle over 7.5 tonnes</w:t>
            </w:r>
          </w:p>
        </w:tc>
        <w:tc>
          <w:tcPr>
            <w:tcW w:w="2410" w:type="dxa"/>
            <w:noWrap/>
            <w:hideMark/>
          </w:tcPr>
          <w:p w14:paraId="2632802F"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Serious</w:t>
            </w:r>
          </w:p>
        </w:tc>
        <w:tc>
          <w:tcPr>
            <w:tcW w:w="992" w:type="dxa"/>
            <w:noWrap/>
            <w:hideMark/>
          </w:tcPr>
          <w:p w14:paraId="7A6C44D7"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1</w:t>
            </w:r>
          </w:p>
        </w:tc>
      </w:tr>
      <w:tr w:rsidR="003E7889" w:rsidRPr="003E7889" w14:paraId="4A83BDD4" w14:textId="77777777" w:rsidTr="003E7889">
        <w:trPr>
          <w:trHeight w:val="300"/>
        </w:trPr>
        <w:tc>
          <w:tcPr>
            <w:tcW w:w="4106" w:type="dxa"/>
            <w:vMerge/>
            <w:noWrap/>
            <w:hideMark/>
          </w:tcPr>
          <w:p w14:paraId="7A4D818B" w14:textId="77777777" w:rsidR="003E7889" w:rsidRPr="003E7889" w:rsidRDefault="003E7889" w:rsidP="00E0134F">
            <w:pPr>
              <w:spacing w:line="240" w:lineRule="auto"/>
              <w:rPr>
                <w:rFonts w:eastAsia="Times New Roman"/>
                <w:color w:val="000000"/>
                <w:lang w:eastAsia="en-GB"/>
              </w:rPr>
            </w:pPr>
          </w:p>
        </w:tc>
        <w:tc>
          <w:tcPr>
            <w:tcW w:w="2410" w:type="dxa"/>
            <w:noWrap/>
            <w:hideMark/>
          </w:tcPr>
          <w:p w14:paraId="0A6FAD22"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Slight</w:t>
            </w:r>
          </w:p>
        </w:tc>
        <w:tc>
          <w:tcPr>
            <w:tcW w:w="992" w:type="dxa"/>
            <w:noWrap/>
            <w:hideMark/>
          </w:tcPr>
          <w:p w14:paraId="795199BC"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2</w:t>
            </w:r>
          </w:p>
        </w:tc>
      </w:tr>
      <w:tr w:rsidR="003E7889" w:rsidRPr="003E7889" w14:paraId="2802D3AE" w14:textId="77777777" w:rsidTr="003E7889">
        <w:trPr>
          <w:trHeight w:val="330"/>
        </w:trPr>
        <w:tc>
          <w:tcPr>
            <w:tcW w:w="4106" w:type="dxa"/>
            <w:noWrap/>
            <w:hideMark/>
          </w:tcPr>
          <w:p w14:paraId="521EF8D4"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Total</w:t>
            </w:r>
          </w:p>
        </w:tc>
        <w:tc>
          <w:tcPr>
            <w:tcW w:w="2410" w:type="dxa"/>
            <w:noWrap/>
            <w:hideMark/>
          </w:tcPr>
          <w:p w14:paraId="093CABFE"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 </w:t>
            </w:r>
          </w:p>
        </w:tc>
        <w:tc>
          <w:tcPr>
            <w:tcW w:w="992" w:type="dxa"/>
            <w:noWrap/>
            <w:hideMark/>
          </w:tcPr>
          <w:p w14:paraId="779EF3FB" w14:textId="77777777" w:rsidR="003E7889" w:rsidRPr="003E7889" w:rsidRDefault="003E7889" w:rsidP="00E0134F">
            <w:pPr>
              <w:spacing w:line="240" w:lineRule="auto"/>
              <w:rPr>
                <w:rFonts w:eastAsia="Times New Roman"/>
                <w:color w:val="000000"/>
                <w:lang w:eastAsia="en-GB"/>
              </w:rPr>
            </w:pPr>
            <w:r w:rsidRPr="003E7889">
              <w:rPr>
                <w:rFonts w:eastAsia="Times New Roman"/>
                <w:color w:val="000000"/>
                <w:lang w:eastAsia="en-GB"/>
              </w:rPr>
              <w:t>8</w:t>
            </w:r>
          </w:p>
        </w:tc>
      </w:tr>
    </w:tbl>
    <w:p w14:paraId="123A9D80" w14:textId="77777777" w:rsidR="007F2C80" w:rsidRDefault="007F2C80" w:rsidP="00E0134F"/>
    <w:p w14:paraId="34BDABB8" w14:textId="0246D30B" w:rsidR="00255F1E" w:rsidRDefault="003E7889" w:rsidP="00E0134F">
      <w:r w:rsidRPr="003E7889">
        <w:t xml:space="preserve">All statistics are provisional and should be treated as management information. All data have been extracted from Police Scotland internal systems and are correct as at </w:t>
      </w:r>
      <w:r w:rsidR="00E01B84">
        <w:t>06/03/2024</w:t>
      </w:r>
      <w:r w:rsidRPr="003E7889">
        <w:t>.</w:t>
      </w:r>
    </w:p>
    <w:p w14:paraId="65C5A093" w14:textId="2EBC5184" w:rsidR="007F2C80" w:rsidRDefault="007F2C80" w:rsidP="00793DD5">
      <w:pPr>
        <w:tabs>
          <w:tab w:val="left" w:pos="5400"/>
        </w:tabs>
      </w:pPr>
      <w:r w:rsidRPr="007F2C80">
        <w:t>Note - the data is subject to change and will be updated on the next extract of data from CRaSH on 3rd April 2024.</w:t>
      </w:r>
    </w:p>
    <w:p w14:paraId="76F32F26" w14:textId="721B081D" w:rsidR="007F2C80" w:rsidRPr="00B11A55" w:rsidRDefault="007F2C80" w:rsidP="00793DD5">
      <w:pPr>
        <w:tabs>
          <w:tab w:val="left" w:pos="5400"/>
        </w:tabs>
      </w:pPr>
      <w:r w:rsidRPr="007F2C80">
        <w:t>Specified areas have been selected using GIS Mapping - The A75 from Stranraer to Gretna has been selected</w:t>
      </w:r>
      <w:r w:rsidR="00E01B84">
        <w:t>.</w:t>
      </w:r>
    </w:p>
    <w:p w14:paraId="50014E15" w14:textId="6DE92C94" w:rsidR="007F2C80" w:rsidRDefault="007F2C80" w:rsidP="007F2C80">
      <w:pPr>
        <w:pStyle w:val="ListParagraph"/>
        <w:tabs>
          <w:tab w:val="left" w:pos="5400"/>
        </w:tabs>
        <w:ind w:left="0"/>
        <w:outlineLvl w:val="0"/>
        <w:rPr>
          <w:iCs/>
        </w:rPr>
      </w:pPr>
      <w:r>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34BDABBD" w14:textId="6B00BF55" w:rsidR="00BF6B81" w:rsidRPr="00E0134F" w:rsidRDefault="007F2C80" w:rsidP="00E0134F">
      <w:pPr>
        <w:pStyle w:val="BodyText"/>
        <w:spacing w:before="120" w:after="120"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4" w14:textId="16B90B07" w:rsidR="007F490F" w:rsidRDefault="007F490F" w:rsidP="00E0134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C1623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BF13E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56DD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2CDB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E0C88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CE070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1B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747A"/>
    <w:multiLevelType w:val="hybridMultilevel"/>
    <w:tmpl w:val="70A4E7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48875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4E27"/>
    <w:rsid w:val="00090F3B"/>
    <w:rsid w:val="000E2F19"/>
    <w:rsid w:val="000E6526"/>
    <w:rsid w:val="00110D2F"/>
    <w:rsid w:val="00141533"/>
    <w:rsid w:val="00167528"/>
    <w:rsid w:val="00195CC4"/>
    <w:rsid w:val="00207326"/>
    <w:rsid w:val="00253DF6"/>
    <w:rsid w:val="00255F1E"/>
    <w:rsid w:val="0034473A"/>
    <w:rsid w:val="0036503B"/>
    <w:rsid w:val="003D6D03"/>
    <w:rsid w:val="003E12CA"/>
    <w:rsid w:val="003E7889"/>
    <w:rsid w:val="004010DC"/>
    <w:rsid w:val="004172A8"/>
    <w:rsid w:val="004341F0"/>
    <w:rsid w:val="00454174"/>
    <w:rsid w:val="00456324"/>
    <w:rsid w:val="00475460"/>
    <w:rsid w:val="00490317"/>
    <w:rsid w:val="00491644"/>
    <w:rsid w:val="00496A08"/>
    <w:rsid w:val="004E1605"/>
    <w:rsid w:val="004F653C"/>
    <w:rsid w:val="00540A52"/>
    <w:rsid w:val="00557306"/>
    <w:rsid w:val="00645CFA"/>
    <w:rsid w:val="006850B6"/>
    <w:rsid w:val="006D5799"/>
    <w:rsid w:val="006D7D05"/>
    <w:rsid w:val="00750D83"/>
    <w:rsid w:val="00785DBC"/>
    <w:rsid w:val="00793DD5"/>
    <w:rsid w:val="007D55F6"/>
    <w:rsid w:val="007F2C80"/>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361A"/>
    <w:rsid w:val="00BF6B81"/>
    <w:rsid w:val="00C077A8"/>
    <w:rsid w:val="00C14FF4"/>
    <w:rsid w:val="00C606A2"/>
    <w:rsid w:val="00C63872"/>
    <w:rsid w:val="00C84948"/>
    <w:rsid w:val="00CA3E26"/>
    <w:rsid w:val="00CF1111"/>
    <w:rsid w:val="00D05706"/>
    <w:rsid w:val="00D27DC5"/>
    <w:rsid w:val="00D47E36"/>
    <w:rsid w:val="00E0134F"/>
    <w:rsid w:val="00E01B84"/>
    <w:rsid w:val="00E55D79"/>
    <w:rsid w:val="00E70AC5"/>
    <w:rsid w:val="00EE2373"/>
    <w:rsid w:val="00EF4761"/>
    <w:rsid w:val="00F34CF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6850B6"/>
    <w:pPr>
      <w:spacing w:before="0" w:after="0" w:line="240" w:lineRule="auto"/>
    </w:pPr>
    <w:rPr>
      <w:rFonts w:ascii="Calibri" w:hAnsi="Calibri" w:cs="Times New Roman"/>
      <w:sz w:val="22"/>
      <w:szCs w:val="22"/>
    </w:rPr>
  </w:style>
  <w:style w:type="character" w:customStyle="1" w:styleId="PlainTextChar">
    <w:name w:val="Plain Text Char"/>
    <w:basedOn w:val="DefaultParagraphFont"/>
    <w:link w:val="PlainText"/>
    <w:uiPriority w:val="99"/>
    <w:rsid w:val="006850B6"/>
    <w:rPr>
      <w:rFonts w:ascii="Calibri" w:hAnsi="Calibri" w:cs="Times New Roman"/>
      <w:sz w:val="22"/>
      <w:szCs w:val="22"/>
    </w:rPr>
  </w:style>
  <w:style w:type="character" w:styleId="UnresolvedMention">
    <w:name w:val="Unresolved Mention"/>
    <w:basedOn w:val="DefaultParagraphFont"/>
    <w:uiPriority w:val="99"/>
    <w:semiHidden/>
    <w:unhideWhenUsed/>
    <w:rsid w:val="006D7D05"/>
    <w:rPr>
      <w:color w:val="605E5C"/>
      <w:shd w:val="clear" w:color="auto" w:fill="E1DFDD"/>
    </w:rPr>
  </w:style>
  <w:style w:type="paragraph" w:styleId="BodyText">
    <w:name w:val="Body Text"/>
    <w:basedOn w:val="Normal"/>
    <w:link w:val="BodyTextChar"/>
    <w:unhideWhenUsed/>
    <w:rsid w:val="007F2C80"/>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7F2C80"/>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431">
      <w:bodyDiv w:val="1"/>
      <w:marLeft w:val="0"/>
      <w:marRight w:val="0"/>
      <w:marTop w:val="0"/>
      <w:marBottom w:val="0"/>
      <w:divBdr>
        <w:top w:val="none" w:sz="0" w:space="0" w:color="auto"/>
        <w:left w:val="none" w:sz="0" w:space="0" w:color="auto"/>
        <w:bottom w:val="none" w:sz="0" w:space="0" w:color="auto"/>
        <w:right w:val="none" w:sz="0" w:space="0" w:color="auto"/>
      </w:divBdr>
    </w:div>
    <w:div w:id="224492733">
      <w:bodyDiv w:val="1"/>
      <w:marLeft w:val="0"/>
      <w:marRight w:val="0"/>
      <w:marTop w:val="0"/>
      <w:marBottom w:val="0"/>
      <w:divBdr>
        <w:top w:val="none" w:sz="0" w:space="0" w:color="auto"/>
        <w:left w:val="none" w:sz="0" w:space="0" w:color="auto"/>
        <w:bottom w:val="none" w:sz="0" w:space="0" w:color="auto"/>
        <w:right w:val="none" w:sz="0" w:space="0" w:color="auto"/>
      </w:divBdr>
    </w:div>
    <w:div w:id="350490751">
      <w:bodyDiv w:val="1"/>
      <w:marLeft w:val="0"/>
      <w:marRight w:val="0"/>
      <w:marTop w:val="0"/>
      <w:marBottom w:val="0"/>
      <w:divBdr>
        <w:top w:val="none" w:sz="0" w:space="0" w:color="auto"/>
        <w:left w:val="none" w:sz="0" w:space="0" w:color="auto"/>
        <w:bottom w:val="none" w:sz="0" w:space="0" w:color="auto"/>
        <w:right w:val="none" w:sz="0" w:space="0" w:color="auto"/>
      </w:divBdr>
    </w:div>
    <w:div w:id="391541666">
      <w:bodyDiv w:val="1"/>
      <w:marLeft w:val="0"/>
      <w:marRight w:val="0"/>
      <w:marTop w:val="0"/>
      <w:marBottom w:val="0"/>
      <w:divBdr>
        <w:top w:val="none" w:sz="0" w:space="0" w:color="auto"/>
        <w:left w:val="none" w:sz="0" w:space="0" w:color="auto"/>
        <w:bottom w:val="none" w:sz="0" w:space="0" w:color="auto"/>
        <w:right w:val="none" w:sz="0" w:space="0" w:color="auto"/>
      </w:divBdr>
    </w:div>
    <w:div w:id="1059014459">
      <w:bodyDiv w:val="1"/>
      <w:marLeft w:val="0"/>
      <w:marRight w:val="0"/>
      <w:marTop w:val="0"/>
      <w:marBottom w:val="0"/>
      <w:divBdr>
        <w:top w:val="none" w:sz="0" w:space="0" w:color="auto"/>
        <w:left w:val="none" w:sz="0" w:space="0" w:color="auto"/>
        <w:bottom w:val="none" w:sz="0" w:space="0" w:color="auto"/>
        <w:right w:val="none" w:sz="0" w:space="0" w:color="auto"/>
      </w:divBdr>
    </w:div>
    <w:div w:id="1714882400">
      <w:bodyDiv w:val="1"/>
      <w:marLeft w:val="0"/>
      <w:marRight w:val="0"/>
      <w:marTop w:val="0"/>
      <w:marBottom w:val="0"/>
      <w:divBdr>
        <w:top w:val="none" w:sz="0" w:space="0" w:color="auto"/>
        <w:left w:val="none" w:sz="0" w:space="0" w:color="auto"/>
        <w:bottom w:val="none" w:sz="0" w:space="0" w:color="auto"/>
        <w:right w:val="none" w:sz="0" w:space="0" w:color="auto"/>
      </w:divBdr>
    </w:div>
    <w:div w:id="21090820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2xyl3gss/management-information-division-area-report-quarter-2-2023-24.xlsx"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0e32d40b-a8f5-4c24-a46b-b72b5f0b9b52"/>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830</Words>
  <Characters>4737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2024-03-11T14:24:00Z</cp:lastPrinted>
  <dcterms:created xsi:type="dcterms:W3CDTF">2023-12-08T11:52:00Z</dcterms:created>
  <dcterms:modified xsi:type="dcterms:W3CDTF">2024-03-11T14:24:00Z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