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94FF1">
              <w:t>-2228</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bookmarkStart w:id="0" w:name="_GoBack"/>
            <w:bookmarkEnd w:id="0"/>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594FF1" w:rsidRDefault="00594FF1" w:rsidP="00594FF1">
      <w:pPr>
        <w:pStyle w:val="Heading2"/>
      </w:pPr>
      <w:r>
        <w:t>I previously requested details of all unresolved murders currently on the books of Police Scotland, which were kindly provided (see FOI request 23-1355).</w:t>
      </w:r>
    </w:p>
    <w:p w:rsidR="00594FF1" w:rsidRDefault="00594FF1" w:rsidP="00594FF1">
      <w:pPr>
        <w:pStyle w:val="Heading2"/>
      </w:pPr>
      <w:r>
        <w:t>The below cases were not included on the list, yet appear to meet the definition provided in your response, could you please confirm if they are currently regarded as unresolved?</w:t>
      </w:r>
    </w:p>
    <w:p w:rsidR="00594FF1" w:rsidRDefault="00594FF1" w:rsidP="00594FF1">
      <w:pPr>
        <w:rPr>
          <w:rFonts w:eastAsia="Times New Roman"/>
        </w:rPr>
      </w:pPr>
      <w:r w:rsidRPr="00D37E39">
        <w:rPr>
          <w:rFonts w:eastAsia="Times New Roman"/>
        </w:rPr>
        <w:t>Having considered your request in terms of the above Act</w:t>
      </w:r>
      <w:r>
        <w:rPr>
          <w:rFonts w:eastAsia="Times New Roman"/>
        </w:rPr>
        <w:t xml:space="preserve">, please be </w:t>
      </w:r>
      <w:r w:rsidRPr="00D37E39">
        <w:rPr>
          <w:rFonts w:eastAsia="Times New Roman"/>
        </w:rPr>
        <w:t>advise</w:t>
      </w:r>
      <w:r>
        <w:rPr>
          <w:rFonts w:eastAsia="Times New Roman"/>
        </w:rPr>
        <w:t>d</w:t>
      </w:r>
      <w:r w:rsidRPr="00D37E39">
        <w:rPr>
          <w:rFonts w:eastAsia="Times New Roman"/>
        </w:rPr>
        <w:t xml:space="preserve"> that Police Scotland use the</w:t>
      </w:r>
      <w:r>
        <w:rPr>
          <w:rFonts w:eastAsia="Times New Roman"/>
        </w:rPr>
        <w:t xml:space="preserve"> following </w:t>
      </w:r>
      <w:r w:rsidRPr="00D37E39">
        <w:rPr>
          <w:rFonts w:eastAsia="Times New Roman"/>
        </w:rPr>
        <w:t>term</w:t>
      </w:r>
      <w:r>
        <w:rPr>
          <w:rFonts w:eastAsia="Times New Roman"/>
        </w:rPr>
        <w:t xml:space="preserve">s of reference;  </w:t>
      </w:r>
    </w:p>
    <w:p w:rsidR="00594FF1" w:rsidRDefault="00594FF1" w:rsidP="00594FF1">
      <w:pPr>
        <w:rPr>
          <w:rFonts w:eastAsia="Times New Roman"/>
          <w:u w:val="single"/>
        </w:rPr>
      </w:pPr>
      <w:r w:rsidRPr="00684AF4">
        <w:rPr>
          <w:rFonts w:eastAsia="Times New Roman"/>
          <w:b/>
          <w:u w:val="single"/>
        </w:rPr>
        <w:t>Unresolved Homicides</w:t>
      </w:r>
      <w:r w:rsidRPr="00D37E39">
        <w:rPr>
          <w:rFonts w:eastAsia="Times New Roman"/>
          <w:u w:val="single"/>
        </w:rPr>
        <w:t>:</w:t>
      </w:r>
    </w:p>
    <w:p w:rsidR="00594FF1" w:rsidRPr="00684AF4" w:rsidRDefault="00594FF1" w:rsidP="00594FF1">
      <w:pPr>
        <w:rPr>
          <w:rFonts w:eastAsia="Times New Roman"/>
          <w:u w:val="single"/>
        </w:rPr>
      </w:pPr>
      <w:r w:rsidRPr="00D37E39">
        <w:t>Unresolved homicides are considered those where:</w:t>
      </w:r>
    </w:p>
    <w:p w:rsidR="00594FF1" w:rsidRPr="00D37E39" w:rsidRDefault="00594FF1" w:rsidP="00594FF1">
      <w:r w:rsidRPr="00D37E39">
        <w:t xml:space="preserve">(a) No suspect has been identified </w:t>
      </w:r>
    </w:p>
    <w:p w:rsidR="00594FF1" w:rsidRPr="00D37E39" w:rsidRDefault="00594FF1" w:rsidP="00594FF1">
      <w:r w:rsidRPr="00D37E39">
        <w:t xml:space="preserve">(b) A suspect has been identified but not charged (no proceedings) </w:t>
      </w:r>
    </w:p>
    <w:p w:rsidR="00594FF1" w:rsidRPr="00D37E39" w:rsidRDefault="00594FF1" w:rsidP="00594FF1">
      <w:r w:rsidRPr="00D37E39">
        <w:t xml:space="preserve">(c) A suspect has been identified and charged but not placed on petition (no proceedings) </w:t>
      </w:r>
    </w:p>
    <w:p w:rsidR="00594FF1" w:rsidRPr="00D37E39" w:rsidRDefault="00594FF1" w:rsidP="00594FF1">
      <w:r w:rsidRPr="00D37E39">
        <w:t xml:space="preserve">(d) A suspect has appeared on petition but no indictment served due to there being considered an insufficiency of evidence at that time (no proceedings) </w:t>
      </w:r>
    </w:p>
    <w:p w:rsidR="00594FF1" w:rsidRPr="00D37E39" w:rsidRDefault="00594FF1" w:rsidP="00594FF1">
      <w:r w:rsidRPr="00D37E39">
        <w:t xml:space="preserve">(e) A suspect has been indicted and a trial concluded which has resulted in an acquittal (Not Guilty/Not Proven) </w:t>
      </w:r>
    </w:p>
    <w:p w:rsidR="00594FF1" w:rsidRPr="00D37E39" w:rsidRDefault="00594FF1" w:rsidP="00594FF1">
      <w:r w:rsidRPr="00D37E39">
        <w:t xml:space="preserve">(f) A suspect has been convicted but acquitted on appeal and no fresh prosecution has been authorised by the Appeal Court (Not Guilty) </w:t>
      </w:r>
    </w:p>
    <w:p w:rsidR="00594FF1" w:rsidRPr="00D37E39" w:rsidRDefault="00594FF1" w:rsidP="00594FF1">
      <w:r w:rsidRPr="00D37E39">
        <w:t>(g) A suspect has committed suicide prior to trial and no other person is being sought in connection with the case.</w:t>
      </w:r>
    </w:p>
    <w:p w:rsidR="00594FF1" w:rsidRPr="00D37E39" w:rsidRDefault="00594FF1" w:rsidP="00594FF1">
      <w:pPr>
        <w:rPr>
          <w:rFonts w:eastAsia="Times New Roman"/>
          <w:u w:val="single"/>
        </w:rPr>
      </w:pPr>
      <w:r w:rsidRPr="00684AF4">
        <w:rPr>
          <w:rFonts w:eastAsia="Times New Roman"/>
          <w:b/>
          <w:u w:val="single"/>
        </w:rPr>
        <w:t>Undetected Homicides</w:t>
      </w:r>
      <w:r w:rsidRPr="00D37E39">
        <w:rPr>
          <w:rFonts w:eastAsia="Times New Roman"/>
          <w:u w:val="single"/>
        </w:rPr>
        <w:t>:</w:t>
      </w:r>
    </w:p>
    <w:p w:rsidR="00594FF1" w:rsidRPr="00D37E39" w:rsidRDefault="00594FF1" w:rsidP="00594FF1">
      <w:r w:rsidRPr="00D37E39">
        <w:t>Undetected Homicides are those cases where no person has been formally identified as an accused or charged with the offence.</w:t>
      </w:r>
    </w:p>
    <w:p w:rsidR="00594FF1" w:rsidRPr="00D37E39" w:rsidRDefault="00594FF1" w:rsidP="00594FF1">
      <w:pPr>
        <w:ind w:left="720"/>
        <w:rPr>
          <w:rFonts w:ascii="Calibri" w:hAnsi="Calibri" w:cs="Calibri"/>
          <w:color w:val="1F497D"/>
        </w:rPr>
      </w:pPr>
    </w:p>
    <w:p w:rsidR="00594FF1" w:rsidRPr="00D37E39" w:rsidRDefault="00594FF1" w:rsidP="00594FF1">
      <w:pPr>
        <w:rPr>
          <w:rFonts w:eastAsia="Times New Roman"/>
        </w:rPr>
      </w:pPr>
      <w:r w:rsidRPr="00D37E39">
        <w:rPr>
          <w:rFonts w:eastAsia="Times New Roman"/>
        </w:rPr>
        <w:t xml:space="preserve">The distinction is important as many homicides are still awaiting court proceedings to bring them to a legal conclusion. In this regard Police Scotland categorise and record these homicides as unresolved. </w:t>
      </w:r>
    </w:p>
    <w:p w:rsidR="00594FF1" w:rsidRPr="00D37E39" w:rsidRDefault="00594FF1" w:rsidP="00594FF1">
      <w:r w:rsidRPr="00D37E39">
        <w:t>Homicide Governance and Review</w:t>
      </w:r>
      <w:r>
        <w:t xml:space="preserve"> (HGR)</w:t>
      </w:r>
      <w:r w:rsidRPr="00D37E39">
        <w:t xml:space="preserve"> conduct reviews of any </w:t>
      </w:r>
      <w:r>
        <w:t>undetected/</w:t>
      </w:r>
      <w:r w:rsidRPr="00D37E39">
        <w:t>unresolved homicides or other major crime investigations to identify any investigative opportunities. Members of the department ensure consistency of approach, identify best practice nationally and internationally and promote continuous improvement. This is supported by the debrief process for all homicides and other significant death enquiries which identifies areas for Organisational Learning and Development.</w:t>
      </w:r>
    </w:p>
    <w:p w:rsidR="00594FF1" w:rsidRPr="00D37E39" w:rsidRDefault="00594FF1" w:rsidP="00594FF1">
      <w:r w:rsidRPr="00D37E39">
        <w:t>Homicide Governance and Review</w:t>
      </w:r>
      <w:r>
        <w:t xml:space="preserve"> (HGR)</w:t>
      </w:r>
      <w:r w:rsidRPr="00D37E39">
        <w:t xml:space="preserve"> also work in close partnership with COPFS and SPA Forensic Services to review and investigate historic and unresolved homicide enquiries in order to ascertain if there are any new evidential developments, including advances in forensic techniques, which could assist in providing a basis for criminal proceedings.</w:t>
      </w:r>
    </w:p>
    <w:p w:rsidR="00594FF1" w:rsidRPr="00594FF1" w:rsidRDefault="00594FF1" w:rsidP="00594FF1">
      <w:pPr>
        <w:rPr>
          <w:rFonts w:eastAsia="Times New Roman"/>
        </w:rPr>
      </w:pPr>
      <w:r>
        <w:rPr>
          <w:rFonts w:eastAsia="Times New Roman"/>
        </w:rPr>
        <w:t>Please note that the dataset includes all unresolved homicides, including those which have been recorded with a crime c</w:t>
      </w:r>
      <w:r w:rsidRPr="00546756">
        <w:rPr>
          <w:rFonts w:eastAsia="Times New Roman"/>
        </w:rPr>
        <w:t>lassification</w:t>
      </w:r>
      <w:r>
        <w:rPr>
          <w:rFonts w:eastAsia="Times New Roman"/>
        </w:rPr>
        <w:t xml:space="preserve"> of </w:t>
      </w:r>
      <w:r w:rsidRPr="004054F3">
        <w:rPr>
          <w:rFonts w:eastAsia="Times New Roman"/>
        </w:rPr>
        <w:t>Culpable Homicide</w:t>
      </w:r>
      <w:r>
        <w:rPr>
          <w:rFonts w:eastAsia="Times New Roman"/>
          <w:i/>
        </w:rPr>
        <w:t xml:space="preserve">.  </w:t>
      </w:r>
      <w:r>
        <w:rPr>
          <w:rFonts w:eastAsia="Times New Roman"/>
        </w:rPr>
        <w:t xml:space="preserve"> </w:t>
      </w:r>
      <w:r w:rsidRPr="0030530C">
        <w:t xml:space="preserve">This data is subject to continuous review, updates and change. </w:t>
      </w:r>
    </w:p>
    <w:p w:rsidR="00594FF1" w:rsidRDefault="00594FF1" w:rsidP="00594FF1">
      <w:pPr>
        <w:rPr>
          <w:rFonts w:eastAsia="Times New Roman"/>
        </w:rPr>
      </w:pPr>
      <w:r w:rsidRPr="00812248">
        <w:rPr>
          <w:rFonts w:eastAsia="Times New Roman"/>
          <w:color w:val="000000"/>
        </w:rPr>
        <w:t xml:space="preserve">On that basis </w:t>
      </w:r>
      <w:r>
        <w:rPr>
          <w:rFonts w:eastAsia="Times New Roman"/>
          <w:color w:val="000000"/>
        </w:rPr>
        <w:t xml:space="preserve">the requested information </w:t>
      </w:r>
      <w:r>
        <w:rPr>
          <w:rFonts w:eastAsia="Times New Roman"/>
          <w:color w:val="000000"/>
        </w:rPr>
        <w:t>has been updated as follows:</w:t>
      </w:r>
    </w:p>
    <w:tbl>
      <w:tblPr>
        <w:tblW w:w="10075" w:type="dxa"/>
        <w:tblInd w:w="-3" w:type="dxa"/>
        <w:tblCellMar>
          <w:left w:w="0" w:type="dxa"/>
          <w:right w:w="0" w:type="dxa"/>
        </w:tblCellMar>
        <w:tblLook w:val="04A0" w:firstRow="1" w:lastRow="0" w:firstColumn="1" w:lastColumn="0" w:noHBand="0" w:noVBand="1"/>
      </w:tblPr>
      <w:tblGrid>
        <w:gridCol w:w="3539"/>
        <w:gridCol w:w="1983"/>
        <w:gridCol w:w="2835"/>
        <w:gridCol w:w="1718"/>
      </w:tblGrid>
      <w:tr w:rsidR="00594FF1" w:rsidTr="00594FF1">
        <w:trPr>
          <w:trHeight w:val="725"/>
        </w:trPr>
        <w:tc>
          <w:tcPr>
            <w:tcW w:w="353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594FF1" w:rsidRPr="00594FF1" w:rsidRDefault="00594FF1" w:rsidP="00594FF1">
            <w:pPr>
              <w:rPr>
                <w:b/>
              </w:rPr>
            </w:pPr>
            <w:r w:rsidRPr="00594FF1">
              <w:rPr>
                <w:b/>
              </w:rPr>
              <w:t>Name of Victim</w:t>
            </w:r>
          </w:p>
        </w:tc>
        <w:tc>
          <w:tcPr>
            <w:tcW w:w="198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594FF1" w:rsidRPr="00594FF1" w:rsidRDefault="00594FF1" w:rsidP="00594FF1">
            <w:pPr>
              <w:rPr>
                <w:b/>
              </w:rPr>
            </w:pPr>
            <w:r w:rsidRPr="00594FF1">
              <w:rPr>
                <w:b/>
              </w:rPr>
              <w:t>Year</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594FF1" w:rsidRPr="00594FF1" w:rsidRDefault="00594FF1" w:rsidP="00594FF1">
            <w:pPr>
              <w:rPr>
                <w:b/>
              </w:rPr>
            </w:pPr>
            <w:r w:rsidRPr="00594FF1">
              <w:rPr>
                <w:b/>
              </w:rPr>
              <w:t>Location</w:t>
            </w:r>
          </w:p>
        </w:tc>
        <w:tc>
          <w:tcPr>
            <w:tcW w:w="171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rsidR="00594FF1" w:rsidRPr="00594FF1" w:rsidRDefault="00594FF1" w:rsidP="00594FF1">
            <w:pPr>
              <w:rPr>
                <w:b/>
              </w:rPr>
            </w:pPr>
            <w:r w:rsidRPr="00594FF1">
              <w:rPr>
                <w:b/>
              </w:rPr>
              <w:t>Unresolved? Y/N</w:t>
            </w:r>
          </w:p>
        </w:tc>
      </w:tr>
      <w:tr w:rsidR="00594FF1" w:rsidTr="00594FF1">
        <w:trPr>
          <w:trHeight w:val="300"/>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John Wilson</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1960</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Edinburgh</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YES</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Harry Bruce</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1964</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Aberdeen</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YES</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Agnes Armstrong</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1968</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Scone</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YES</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Lorna Dooley</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1973</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Bute</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NO</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Bridget Findlay</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1973</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Bothwell/Bargeddie</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NO</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Ronald Armstrong</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1982</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Invergordon</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NO</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lastRenderedPageBreak/>
              <w:t>Margaret Foreman</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1982</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Glasgow</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YES</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Elizabeth Sutherland</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1984</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Culbokie</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YES</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Peter Smith</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1989</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Glasgow</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NO</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Unidentified Infant "Craig Millar"</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2001</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Edinburgh</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NO</w:t>
            </w:r>
          </w:p>
        </w:tc>
      </w:tr>
      <w:tr w:rsidR="00594FF1" w:rsidTr="00594FF1">
        <w:trPr>
          <w:trHeight w:val="285"/>
        </w:trPr>
        <w:tc>
          <w:tcPr>
            <w:tcW w:w="3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pPr>
              <w:rPr>
                <w:rFonts w:ascii="Calibri" w:hAnsi="Calibri" w:cs="Calibri"/>
                <w:sz w:val="22"/>
                <w:szCs w:val="22"/>
              </w:rPr>
            </w:pPr>
            <w:r>
              <w:t>Gary Morton</w:t>
            </w:r>
          </w:p>
        </w:tc>
        <w:tc>
          <w:tcPr>
            <w:tcW w:w="19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2007</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Hamilton</w:t>
            </w:r>
          </w:p>
        </w:tc>
        <w:tc>
          <w:tcPr>
            <w:tcW w:w="17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94FF1" w:rsidRDefault="00594FF1" w:rsidP="00594FF1">
            <w:r>
              <w:t>NO</w:t>
            </w:r>
          </w:p>
        </w:tc>
      </w:tr>
    </w:tbl>
    <w:p w:rsidR="000632A2" w:rsidRDefault="000632A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7F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7F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7F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7F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7F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7F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94FF1"/>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37FC2"/>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7883957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2023-09-15T14:47:00Z</dcterms:created>
  <dcterms:modified xsi:type="dcterms:W3CDTF">2023-09-15T14:47:00Z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